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EAP_v1_diversified_announcement_premium</w:t>
      </w:r>
    </w:p>
    <w:p>
      <w:pPr>
        <w:jc w:val="center"/>
      </w:pPr>
      <w:r>
        <w:rPr>
          <w:i/>
        </w:rPr>
        <w:t>Qlib-backed Earnings Factor Research Report</w:t>
      </w:r>
    </w:p>
    <w:p>
      <w:pPr>
        <w:pStyle w:val="Heading1"/>
      </w:pPr>
      <w:r>
        <w:t>Research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Research status</w:t>
            </w:r>
          </w:p>
        </w:tc>
        <w:tc>
          <w:tcPr>
            <w:tcW w:type="dxa" w:w="6336"/>
            <w:vAlign w:val="center"/>
          </w:tcPr>
          <w:p>
            <w:r>
              <w:t>research_only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Selected events</w:t>
            </w:r>
          </w:p>
        </w:tc>
        <w:tc>
          <w:tcPr>
            <w:tcW w:type="dxa" w:w="6336"/>
            <w:vAlign w:val="center"/>
          </w:tcPr>
          <w:p>
            <w:r>
              <w:t>279</w:t>
            </w:r>
          </w:p>
        </w:tc>
      </w:tr>
      <w:tr>
        <w:tc>
          <w:tcPr>
            <w:tcW w:type="dxa" w:w="3456"/>
            <w:vAlign w:val="center"/>
          </w:tcPr>
          <w:p>
            <w:r>
              <w:t>Net cumulative return</w:t>
            </w:r>
          </w:p>
        </w:tc>
        <w:tc>
          <w:tcPr>
            <w:tcW w:type="dxa" w:w="6336"/>
            <w:vAlign w:val="center"/>
          </w:tcPr>
          <w:p>
            <w:r>
              <w:t>0.88%</w:t>
            </w:r>
          </w:p>
        </w:tc>
      </w:tr>
      <w:tr>
        <w:tc>
          <w:tcPr>
            <w:tcW w:type="dxa" w:w="3456"/>
            <w:vAlign w:val="center"/>
          </w:tcPr>
          <w:p>
            <w:r>
              <w:t>Net annualized return</w:t>
            </w:r>
          </w:p>
        </w:tc>
        <w:tc>
          <w:tcPr>
            <w:tcW w:type="dxa" w:w="6336"/>
            <w:vAlign w:val="center"/>
          </w:tcPr>
          <w:p>
            <w:r>
              <w:t>0.14%</w:t>
            </w:r>
          </w:p>
        </w:tc>
      </w:tr>
      <w:tr>
        <w:tc>
          <w:tcPr>
            <w:tcW w:type="dxa" w:w="3456"/>
            <w:vAlign w:val="center"/>
          </w:tcPr>
          <w:p>
            <w:r>
              <w:t>Net Sharpe / IR</w:t>
            </w:r>
          </w:p>
        </w:tc>
        <w:tc>
          <w:tcPr>
            <w:tcW w:type="dxa" w:w="6336"/>
            <w:vAlign w:val="center"/>
          </w:tcPr>
          <w:p>
            <w:r>
              <w:t>0.08</w:t>
            </w:r>
          </w:p>
        </w:tc>
      </w:tr>
      <w:tr>
        <w:tc>
          <w:tcPr>
            <w:tcW w:type="dxa" w:w="3456"/>
            <w:vAlign w:val="center"/>
          </w:tcPr>
          <w:p>
            <w:r>
              <w:t>Max drawdown</w:t>
            </w:r>
          </w:p>
        </w:tc>
        <w:tc>
          <w:tcPr>
            <w:tcW w:type="dxa" w:w="6336"/>
            <w:vAlign w:val="center"/>
          </w:tcPr>
          <w:p>
            <w:r>
              <w:t>-7.81%</w:t>
            </w:r>
          </w:p>
        </w:tc>
      </w:tr>
      <w:tr>
        <w:tc>
          <w:tcPr>
            <w:tcW w:type="dxa" w:w="3456"/>
            <w:vAlign w:val="center"/>
          </w:tcPr>
          <w:p>
            <w:r>
              <w:t>Exposure-matched excess vs QQQ</w:t>
            </w:r>
          </w:p>
        </w:tc>
        <w:tc>
          <w:tcPr>
            <w:tcW w:type="dxa" w:w="6336"/>
            <w:vAlign w:val="center"/>
          </w:tcPr>
          <w:p>
            <w:r>
              <w:t>1.02%</w:t>
            </w:r>
          </w:p>
        </w:tc>
      </w:tr>
      <w:tr>
        <w:tc>
          <w:tcPr>
            <w:tcW w:type="dxa" w:w="3456"/>
            <w:vAlign w:val="center"/>
          </w:tcPr>
          <w:p>
            <w:r>
              <w:t>Excess Sharpe / IR</w:t>
            </w:r>
          </w:p>
        </w:tc>
        <w:tc>
          <w:tcPr>
            <w:tcW w:type="dxa" w:w="6336"/>
            <w:vAlign w:val="center"/>
          </w:tcPr>
          <w:p>
            <w:r>
              <w:t>0.10</w:t>
            </w:r>
          </w:p>
        </w:tc>
      </w:tr>
      <w:tr>
        <w:tc>
          <w:tcPr>
            <w:tcW w:type="dxa" w:w="3456"/>
            <w:vAlign w:val="center"/>
          </w:tcPr>
          <w:p>
            <w:r>
              <w:t>Avg event return after cost</w:t>
            </w:r>
          </w:p>
        </w:tc>
        <w:tc>
          <w:tcPr>
            <w:tcW w:type="dxa" w:w="6336"/>
            <w:vAlign w:val="center"/>
          </w:tcPr>
          <w:p>
            <w:r>
              <w:t>0.09%</w:t>
            </w:r>
          </w:p>
        </w:tc>
      </w:tr>
      <w:tr>
        <w:tc>
          <w:tcPr>
            <w:tcW w:type="dxa" w:w="3456"/>
            <w:vAlign w:val="center"/>
          </w:tcPr>
          <w:p>
            <w:r>
              <w:t>Avg event excess vs QQQ</w:t>
            </w:r>
          </w:p>
        </w:tc>
        <w:tc>
          <w:tcPr>
            <w:tcW w:type="dxa" w:w="6336"/>
            <w:vAlign w:val="center"/>
          </w:tcPr>
          <w:p>
            <w:r>
              <w:t>0.31%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Selected rank IC vs QQQ excess</w:t>
            </w:r>
          </w:p>
        </w:tc>
        <w:tc>
          <w:tcPr>
            <w:tcW w:type="dxa" w:w="6336"/>
            <w:vAlign w:val="center"/>
          </w:tcPr>
          <w:p>
            <w:r>
              <w:t>0.033</w:t>
            </w:r>
          </w:p>
        </w:tc>
      </w:tr>
    </w:tbl>
    <w:p>
      <w:pPr>
        <w:pStyle w:val="Heading1"/>
      </w:pPr>
      <w:r>
        <w:t>Research Interpretation</w:t>
      </w:r>
    </w:p>
    <w:p>
      <w:r>
        <w:t>This behaves as a weak baseline. The diversified announcement-premium idea is not enough by itself in the current technology sample; it needs stronger conditioning or a broader PIT universe.</w:t>
      </w:r>
    </w:p>
    <w:p>
      <w:pPr>
        <w:pStyle w:val="Heading1"/>
      </w:pPr>
      <w:r>
        <w:t>Economic Hypothesis</w:t>
      </w:r>
    </w:p>
    <w:p>
      <w:r>
        <w:t>Scheduled earnings announcements carry an event-risk premium when held as a diversified, liquid, non-mega-cap technology basket.</w:t>
      </w:r>
    </w:p>
    <w:p>
      <w:pPr>
        <w:pStyle w:val="Heading1"/>
      </w:pPr>
      <w:r>
        <w:t>Factor Expression</w:t>
      </w:r>
    </w:p>
    <w:p>
      <w:r>
        <w:rPr>
          <w:b/>
        </w:rPr>
        <w:t xml:space="preserve">alpha_score: </w:t>
      </w:r>
      <w:r>
        <w:t>0.35*prior_excess_component + 0.25*prior_hit_component + 0.20*liquidity_component - 0.12*runup_penalty - 0.08*volatility_penalty</w:t>
      </w:r>
    </w:p>
    <w:p>
      <w:r>
        <w:rPr>
          <w:b/>
        </w:rPr>
        <w:t xml:space="preserve">selection: </w:t>
      </w:r>
      <w:r>
        <w:t>holdable non-indicator symbol, liquid, volatility &lt;= max_volatility_20, runup_5 &lt;= max_runup_5, rolling score percentile &gt;= 30% after history exists</w:t>
      </w:r>
    </w:p>
    <w:p>
      <w:pPr>
        <w:pStyle w:val="Heading1"/>
      </w:pPr>
      <w:r>
        <w:t>Experiment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Date range</w:t>
            </w:r>
          </w:p>
        </w:tc>
        <w:tc>
          <w:tcPr>
            <w:tcW w:type="dxa" w:w="6336"/>
            <w:vAlign w:val="center"/>
          </w:tcPr>
          <w:p>
            <w:r>
              <w:t>2020-01-02 to 2026-05-07</w:t>
            </w:r>
          </w:p>
        </w:tc>
      </w:tr>
      <w:tr>
        <w:tc>
          <w:tcPr>
            <w:tcW w:type="dxa" w:w="3456"/>
            <w:vAlign w:val="center"/>
          </w:tcPr>
          <w:p>
            <w:r>
              <w:t>Benchmark</w:t>
            </w:r>
          </w:p>
        </w:tc>
        <w:tc>
          <w:tcPr>
            <w:tcW w:type="dxa" w:w="6336"/>
            <w:vAlign w:val="center"/>
          </w:tcPr>
          <w:p>
            <w:r>
              <w:t>QQQ</w:t>
            </w:r>
          </w:p>
        </w:tc>
      </w:tr>
      <w:tr>
        <w:tc>
          <w:tcPr>
            <w:tcW w:type="dxa" w:w="3456"/>
            <w:vAlign w:val="center"/>
          </w:tcPr>
          <w:p>
            <w:r>
              <w:t>Universe size</w:t>
            </w:r>
          </w:p>
        </w:tc>
        <w:tc>
          <w:tcPr>
            <w:tcW w:type="dxa" w:w="6336"/>
            <w:vAlign w:val="center"/>
          </w:tcPr>
          <w:p>
            <w:r>
              <w:t>49</w:t>
            </w:r>
          </w:p>
        </w:tc>
      </w:tr>
      <w:tr>
        <w:tc>
          <w:tcPr>
            <w:tcW w:type="dxa" w:w="3456"/>
            <w:vAlign w:val="center"/>
          </w:tcPr>
          <w:p>
            <w:r>
              <w:t>Entry</w:t>
            </w:r>
          </w:p>
        </w:tc>
        <w:tc>
          <w:tcPr>
            <w:tcW w:type="dxa" w:w="6336"/>
            <w:vAlign w:val="center"/>
          </w:tcPr>
          <w:p>
            <w:r>
              <w:t>previous trading-day close before reported earnings date</w:t>
            </w:r>
          </w:p>
        </w:tc>
      </w:tr>
      <w:tr>
        <w:tc>
          <w:tcPr>
            <w:tcW w:type="dxa" w:w="3456"/>
            <w:vAlign w:val="center"/>
          </w:tcPr>
          <w:p>
            <w:r>
              <w:t>Exit</w:t>
            </w:r>
          </w:p>
        </w:tc>
        <w:tc>
          <w:tcPr>
            <w:tcW w:type="dxa" w:w="6336"/>
            <w:vAlign w:val="center"/>
          </w:tcPr>
          <w:p>
            <w:r>
              <w:t>next trading-day close after reported earnings date</w:t>
            </w:r>
          </w:p>
        </w:tc>
      </w:tr>
      <w:tr>
        <w:tc>
          <w:tcPr>
            <w:tcW w:type="dxa" w:w="3456"/>
            <w:vAlign w:val="center"/>
          </w:tcPr>
          <w:p>
            <w:r>
              <w:t>Hold days</w:t>
            </w:r>
          </w:p>
        </w:tc>
        <w:tc>
          <w:tcPr>
            <w:tcW w:type="dxa" w:w="6336"/>
            <w:vAlign w:val="center"/>
          </w:tcPr>
          <w:p>
            <w:r>
              <w:t>2</w:t>
            </w:r>
          </w:p>
        </w:tc>
      </w:tr>
      <w:tr>
        <w:tc>
          <w:tcPr>
            <w:tcW w:type="dxa" w:w="3456"/>
            <w:vAlign w:val="center"/>
          </w:tcPr>
          <w:p>
            <w:r>
              <w:t>Max active positions</w:t>
            </w:r>
          </w:p>
        </w:tc>
        <w:tc>
          <w:tcPr>
            <w:tcW w:type="dxa" w:w="6336"/>
            <w:vAlign w:val="center"/>
          </w:tcPr>
          <w:p>
            <w:r>
              <w:t>40</w:t>
            </w:r>
          </w:p>
        </w:tc>
      </w:tr>
      <w:tr>
        <w:tc>
          <w:tcPr>
            <w:tcW w:type="dxa" w:w="3456"/>
            <w:vAlign w:val="center"/>
          </w:tcPr>
          <w:p>
            <w:r>
              <w:t>Max weight</w:t>
            </w:r>
          </w:p>
        </w:tc>
        <w:tc>
          <w:tcPr>
            <w:tcW w:type="dxa" w:w="6336"/>
            <w:vAlign w:val="center"/>
          </w:tcPr>
          <w:p>
            <w:r>
              <w:t>0.035</w:t>
            </w:r>
          </w:p>
        </w:tc>
      </w:tr>
      <w:tr>
        <w:tc>
          <w:tcPr>
            <w:tcW w:type="dxa" w:w="3456"/>
            <w:vAlign w:val="center"/>
          </w:tcPr>
          <w:p>
            <w:r>
              <w:t>One-way cost bps</w:t>
            </w:r>
          </w:p>
        </w:tc>
        <w:tc>
          <w:tcPr>
            <w:tcW w:type="dxa" w:w="6336"/>
            <w:vAlign w:val="center"/>
          </w:tcPr>
          <w:p>
            <w:r>
              <w:t>10.0</w:t>
            </w:r>
          </w:p>
        </w:tc>
      </w:tr>
    </w:tbl>
    <w:p>
      <w:pPr>
        <w:pStyle w:val="Heading1"/>
      </w:pPr>
      <w:r>
        <w:t>Signal Diagnostics / IC</w:t>
      </w:r>
    </w:p>
    <w:p>
      <w:r>
        <w:t>Rank IC is computed against the actual strategy holding-horizon return, not just the earnings announcement window. This makes PEAD and basket variants comparable despite different horizons.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9EAF7"/>
          </w:tcPr>
          <w:p>
            <w:r>
              <w:t>bucket</w:t>
            </w:r>
          </w:p>
        </w:tc>
        <w:tc>
          <w:tcPr>
            <w:tcW w:type="dxa" w:w="2033"/>
            <w:shd w:fill="D9EAF7"/>
          </w:tcPr>
          <w:p>
            <w:r>
              <w:t>n</w:t>
            </w:r>
          </w:p>
        </w:tc>
        <w:tc>
          <w:tcPr>
            <w:tcW w:type="dxa" w:w="2033"/>
            <w:shd w:fill="D9EAF7"/>
          </w:tcPr>
          <w:p>
            <w:r>
              <w:t>rank_ic_score_vs_ret</w:t>
            </w:r>
          </w:p>
        </w:tc>
        <w:tc>
          <w:tcPr>
            <w:tcW w:type="dxa" w:w="2033"/>
            <w:shd w:fill="D9EAF7"/>
          </w:tcPr>
          <w:p>
            <w:r>
              <w:t>rank_ic_score_vs_excess</w:t>
            </w:r>
          </w:p>
        </w:tc>
        <w:tc>
          <w:tcPr>
            <w:tcW w:type="dxa" w:w="2033"/>
            <w:shd w:fill="D9EAF7"/>
          </w:tcPr>
          <w:p>
            <w:r>
              <w:t>rank_ic_pct_vs_excess</w:t>
            </w:r>
          </w:p>
        </w:tc>
      </w:tr>
      <w:tr>
        <w:tc>
          <w:tcPr>
            <w:tcW w:type="dxa" w:w="2033"/>
            <w:vAlign w:val="center"/>
          </w:tcPr>
          <w:p>
            <w:r>
              <w:t>eligible</w:t>
            </w:r>
          </w:p>
        </w:tc>
        <w:tc>
          <w:tcPr>
            <w:tcW w:type="dxa" w:w="2033"/>
            <w:vAlign w:val="center"/>
          </w:tcPr>
          <w:p>
            <w:r>
              <w:t>417</w:t>
            </w:r>
          </w:p>
        </w:tc>
        <w:tc>
          <w:tcPr>
            <w:tcW w:type="dxa" w:w="2033"/>
            <w:vAlign w:val="center"/>
          </w:tcPr>
          <w:p>
            <w:r>
              <w:t>0.043</w:t>
            </w:r>
          </w:p>
        </w:tc>
        <w:tc>
          <w:tcPr>
            <w:tcW w:type="dxa" w:w="2033"/>
            <w:vAlign w:val="center"/>
          </w:tcPr>
          <w:p>
            <w:r>
              <w:t>0.046</w:t>
            </w:r>
          </w:p>
        </w:tc>
        <w:tc>
          <w:tcPr>
            <w:tcW w:type="dxa" w:w="2033"/>
            <w:vAlign w:val="center"/>
          </w:tcPr>
          <w:p>
            <w:r>
              <w:t>0.049</w:t>
            </w:r>
          </w:p>
        </w:tc>
      </w:tr>
      <w:tr>
        <w:tc>
          <w:tcPr>
            <w:tcW w:type="dxa" w:w="2033"/>
            <w:vAlign w:val="center"/>
          </w:tcPr>
          <w:p>
            <w:r>
              <w:t>tradable</w:t>
            </w:r>
          </w:p>
        </w:tc>
        <w:tc>
          <w:tcPr>
            <w:tcW w:type="dxa" w:w="2033"/>
            <w:vAlign w:val="center"/>
          </w:tcPr>
          <w:p>
            <w:r>
              <w:t>417</w:t>
            </w:r>
          </w:p>
        </w:tc>
        <w:tc>
          <w:tcPr>
            <w:tcW w:type="dxa" w:w="2033"/>
            <w:vAlign w:val="center"/>
          </w:tcPr>
          <w:p>
            <w:r>
              <w:t>0.043</w:t>
            </w:r>
          </w:p>
        </w:tc>
        <w:tc>
          <w:tcPr>
            <w:tcW w:type="dxa" w:w="2033"/>
            <w:vAlign w:val="center"/>
          </w:tcPr>
          <w:p>
            <w:r>
              <w:t>0.046</w:t>
            </w:r>
          </w:p>
        </w:tc>
        <w:tc>
          <w:tcPr>
            <w:tcW w:type="dxa" w:w="2033"/>
            <w:vAlign w:val="center"/>
          </w:tcPr>
          <w:p>
            <w:r>
              <w:t>0.049</w:t>
            </w:r>
          </w:p>
        </w:tc>
      </w:tr>
      <w:tr>
        <w:tc>
          <w:tcPr>
            <w:tcW w:type="dxa" w:w="2033"/>
            <w:vAlign w:val="center"/>
          </w:tcPr>
          <w:p>
            <w:r>
              <w:t>selected</w:t>
            </w:r>
          </w:p>
        </w:tc>
        <w:tc>
          <w:tcPr>
            <w:tcW w:type="dxa" w:w="2033"/>
            <w:vAlign w:val="center"/>
          </w:tcPr>
          <w:p>
            <w:r>
              <w:t>279</w:t>
            </w:r>
          </w:p>
        </w:tc>
        <w:tc>
          <w:tcPr>
            <w:tcW w:type="dxa" w:w="2033"/>
            <w:vAlign w:val="center"/>
          </w:tcPr>
          <w:p>
            <w:r>
              <w:t>0.046</w:t>
            </w:r>
          </w:p>
        </w:tc>
        <w:tc>
          <w:tcPr>
            <w:tcW w:type="dxa" w:w="2033"/>
            <w:vAlign w:val="center"/>
          </w:tcPr>
          <w:p>
            <w:r>
              <w:t>0.033</w:t>
            </w:r>
          </w:p>
        </w:tc>
        <w:tc>
          <w:tcPr>
            <w:tcW w:type="dxa" w:w="2033"/>
            <w:vAlign w:val="center"/>
          </w:tcPr>
          <w:p>
            <w:r>
              <w:t>0.051</w:t>
            </w:r>
          </w:p>
        </w:tc>
      </w:tr>
    </w:tbl>
    <w:p>
      <w:pPr>
        <w:pStyle w:val="Heading1"/>
      </w:pPr>
      <w:r>
        <w:t>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retu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Cumulative return: strategy, exposure-matched QQQ, and excess return.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Net strategy drawdown.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arly_retur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Yearly strategy and excess returns.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709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s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Daily portfolio exposure.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return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Selected event return distribution after cost.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trade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Selected trade timeline.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vs_event_retur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Score versus realized event return.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51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bottom_trad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Top and bottom selected trades.</w:t>
      </w:r>
    </w:p>
    <w:p>
      <w:pPr>
        <w:pStyle w:val="Heading1"/>
      </w:pPr>
      <w:r>
        <w:t>Metrics by 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shd w:fill="D9EAF7"/>
          </w:tcPr>
          <w:p>
            <w:r>
              <w:t>year</w:t>
            </w:r>
          </w:p>
        </w:tc>
        <w:tc>
          <w:tcPr>
            <w:tcW w:type="dxa" w:w="1271"/>
            <w:shd w:fill="D9EAF7"/>
          </w:tcPr>
          <w:p>
            <w:r>
              <w:t>strategy_net_return</w:t>
            </w:r>
          </w:p>
        </w:tc>
        <w:tc>
          <w:tcPr>
            <w:tcW w:type="dxa" w:w="1271"/>
            <w:shd w:fill="D9EAF7"/>
          </w:tcPr>
          <w:p>
            <w:r>
              <w:t>excess_vs_QQQ_year_return</w:t>
            </w:r>
          </w:p>
        </w:tc>
        <w:tc>
          <w:tcPr>
            <w:tcW w:type="dxa" w:w="1271"/>
            <w:shd w:fill="D9EAF7"/>
          </w:tcPr>
          <w:p>
            <w:r>
              <w:t>max_drawdown</w:t>
            </w:r>
          </w:p>
        </w:tc>
        <w:tc>
          <w:tcPr>
            <w:tcW w:type="dxa" w:w="1271"/>
            <w:shd w:fill="D9EAF7"/>
          </w:tcPr>
          <w:p>
            <w:r>
              <w:t>sharpe</w:t>
            </w:r>
          </w:p>
        </w:tc>
        <w:tc>
          <w:tcPr>
            <w:tcW w:type="dxa" w:w="1271"/>
            <w:shd w:fill="D9EAF7"/>
          </w:tcPr>
          <w:p>
            <w:r>
              <w:t>avg_exposure</w:t>
            </w:r>
          </w:p>
        </w:tc>
        <w:tc>
          <w:tcPr>
            <w:tcW w:type="dxa" w:w="1271"/>
            <w:shd w:fill="D9EAF7"/>
          </w:tcPr>
          <w:p>
            <w:r>
              <w:t>selected_events</w:t>
            </w:r>
          </w:p>
        </w:tc>
        <w:tc>
          <w:tcPr>
            <w:tcW w:type="dxa" w:w="1271"/>
            <w:shd w:fill="D9EAF7"/>
          </w:tcPr>
          <w:p>
            <w:r>
              <w:t>avg_event_return_after_cost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2020</w:t>
            </w:r>
          </w:p>
        </w:tc>
        <w:tc>
          <w:tcPr>
            <w:tcW w:type="dxa" w:w="1271"/>
            <w:vAlign w:val="center"/>
          </w:tcPr>
          <w:p>
            <w:r>
              <w:t>2.18%</w:t>
            </w:r>
          </w:p>
        </w:tc>
        <w:tc>
          <w:tcPr>
            <w:tcW w:type="dxa" w:w="1271"/>
            <w:vAlign w:val="center"/>
          </w:tcPr>
          <w:p>
            <w:r>
              <w:t>2.04%</w:t>
            </w:r>
          </w:p>
        </w:tc>
        <w:tc>
          <w:tcPr>
            <w:tcW w:type="dxa" w:w="1271"/>
            <w:vAlign w:val="center"/>
          </w:tcPr>
          <w:p>
            <w:r>
              <w:t>-1.73%</w:t>
            </w:r>
          </w:p>
        </w:tc>
        <w:tc>
          <w:tcPr>
            <w:tcW w:type="dxa" w:w="1271"/>
            <w:vAlign w:val="center"/>
          </w:tcPr>
          <w:p>
            <w:r>
              <w:t>0.96</w:t>
            </w:r>
          </w:p>
        </w:tc>
        <w:tc>
          <w:tcPr>
            <w:tcW w:type="dxa" w:w="1271"/>
            <w:vAlign w:val="center"/>
          </w:tcPr>
          <w:p>
            <w:r>
              <w:t>1.25%</w:t>
            </w:r>
          </w:p>
        </w:tc>
        <w:tc>
          <w:tcPr>
            <w:tcW w:type="dxa" w:w="1271"/>
            <w:vAlign w:val="center"/>
          </w:tcPr>
          <w:p>
            <w:r>
              <w:t>45</w:t>
            </w:r>
          </w:p>
        </w:tc>
        <w:tc>
          <w:tcPr>
            <w:tcW w:type="dxa" w:w="1271"/>
            <w:vAlign w:val="center"/>
          </w:tcPr>
          <w:p>
            <w:r>
              <w:t>1.35%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2021</w:t>
            </w:r>
          </w:p>
        </w:tc>
        <w:tc>
          <w:tcPr>
            <w:tcW w:type="dxa" w:w="1271"/>
            <w:vAlign w:val="center"/>
          </w:tcPr>
          <w:p>
            <w:r>
              <w:t>0.35%</w:t>
            </w:r>
          </w:p>
        </w:tc>
        <w:tc>
          <w:tcPr>
            <w:tcW w:type="dxa" w:w="1271"/>
            <w:vAlign w:val="center"/>
          </w:tcPr>
          <w:p>
            <w:r>
              <w:t>0.22%</w:t>
            </w:r>
          </w:p>
        </w:tc>
        <w:tc>
          <w:tcPr>
            <w:tcW w:type="dxa" w:w="1271"/>
            <w:vAlign w:val="center"/>
          </w:tcPr>
          <w:p>
            <w:r>
              <w:t>-1.11%</w:t>
            </w:r>
          </w:p>
        </w:tc>
        <w:tc>
          <w:tcPr>
            <w:tcW w:type="dxa" w:w="1271"/>
            <w:vAlign w:val="center"/>
          </w:tcPr>
          <w:p>
            <w:r>
              <w:t>0.23</w:t>
            </w:r>
          </w:p>
        </w:tc>
        <w:tc>
          <w:tcPr>
            <w:tcW w:type="dxa" w:w="1271"/>
            <w:vAlign w:val="center"/>
          </w:tcPr>
          <w:p>
            <w:r>
              <w:t>1.14%</w:t>
            </w:r>
          </w:p>
        </w:tc>
        <w:tc>
          <w:tcPr>
            <w:tcW w:type="dxa" w:w="1271"/>
            <w:vAlign w:val="center"/>
          </w:tcPr>
          <w:p>
            <w:r>
              <w:t>41</w:t>
            </w:r>
          </w:p>
        </w:tc>
        <w:tc>
          <w:tcPr>
            <w:tcW w:type="dxa" w:w="1271"/>
            <w:vAlign w:val="center"/>
          </w:tcPr>
          <w:p>
            <w:r>
              <w:t>0.26%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2022</w:t>
            </w:r>
          </w:p>
        </w:tc>
        <w:tc>
          <w:tcPr>
            <w:tcW w:type="dxa" w:w="1271"/>
            <w:vAlign w:val="center"/>
          </w:tcPr>
          <w:p>
            <w:r>
              <w:t>1.60%</w:t>
            </w:r>
          </w:p>
        </w:tc>
        <w:tc>
          <w:tcPr>
            <w:tcW w:type="dxa" w:w="1271"/>
            <w:vAlign w:val="center"/>
          </w:tcPr>
          <w:p>
            <w:r>
              <w:t>1.41%</w:t>
            </w:r>
          </w:p>
        </w:tc>
        <w:tc>
          <w:tcPr>
            <w:tcW w:type="dxa" w:w="1271"/>
            <w:vAlign w:val="center"/>
          </w:tcPr>
          <w:p>
            <w:r>
              <w:t>-1.38%</w:t>
            </w:r>
          </w:p>
        </w:tc>
        <w:tc>
          <w:tcPr>
            <w:tcW w:type="dxa" w:w="1271"/>
            <w:vAlign w:val="center"/>
          </w:tcPr>
          <w:p>
            <w:r>
              <w:t>0.83</w:t>
            </w:r>
          </w:p>
        </w:tc>
        <w:tc>
          <w:tcPr>
            <w:tcW w:type="dxa" w:w="1271"/>
            <w:vAlign w:val="center"/>
          </w:tcPr>
          <w:p>
            <w:r>
              <w:t>1.25%</w:t>
            </w:r>
          </w:p>
        </w:tc>
        <w:tc>
          <w:tcPr>
            <w:tcW w:type="dxa" w:w="1271"/>
            <w:vAlign w:val="center"/>
          </w:tcPr>
          <w:p>
            <w:r>
              <w:t>45</w:t>
            </w:r>
          </w:p>
        </w:tc>
        <w:tc>
          <w:tcPr>
            <w:tcW w:type="dxa" w:w="1271"/>
            <w:vAlign w:val="center"/>
          </w:tcPr>
          <w:p>
            <w:r>
              <w:t>0.99%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2023</w:t>
            </w:r>
          </w:p>
        </w:tc>
        <w:tc>
          <w:tcPr>
            <w:tcW w:type="dxa" w:w="1271"/>
            <w:vAlign w:val="center"/>
          </w:tcPr>
          <w:p>
            <w:r>
              <w:t>2.95%</w:t>
            </w:r>
          </w:p>
        </w:tc>
        <w:tc>
          <w:tcPr>
            <w:tcW w:type="dxa" w:w="1271"/>
            <w:vAlign w:val="center"/>
          </w:tcPr>
          <w:p>
            <w:r>
              <w:t>2.95%</w:t>
            </w:r>
          </w:p>
        </w:tc>
        <w:tc>
          <w:tcPr>
            <w:tcW w:type="dxa" w:w="1271"/>
            <w:vAlign w:val="center"/>
          </w:tcPr>
          <w:p>
            <w:r>
              <w:t>-1.15%</w:t>
            </w:r>
          </w:p>
        </w:tc>
        <w:tc>
          <w:tcPr>
            <w:tcW w:type="dxa" w:w="1271"/>
            <w:vAlign w:val="center"/>
          </w:tcPr>
          <w:p>
            <w:r>
              <w:t>1.65</w:t>
            </w:r>
          </w:p>
        </w:tc>
        <w:tc>
          <w:tcPr>
            <w:tcW w:type="dxa" w:w="1271"/>
            <w:vAlign w:val="center"/>
          </w:tcPr>
          <w:p>
            <w:r>
              <w:t>1.43%</w:t>
            </w:r>
          </w:p>
        </w:tc>
        <w:tc>
          <w:tcPr>
            <w:tcW w:type="dxa" w:w="1271"/>
            <w:vAlign w:val="center"/>
          </w:tcPr>
          <w:p>
            <w:r>
              <w:t>51</w:t>
            </w:r>
          </w:p>
        </w:tc>
        <w:tc>
          <w:tcPr>
            <w:tcW w:type="dxa" w:w="1271"/>
            <w:vAlign w:val="center"/>
          </w:tcPr>
          <w:p>
            <w:r>
              <w:t>1.64%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2024</w:t>
            </w:r>
          </w:p>
        </w:tc>
        <w:tc>
          <w:tcPr>
            <w:tcW w:type="dxa" w:w="1271"/>
            <w:vAlign w:val="center"/>
          </w:tcPr>
          <w:p>
            <w:r>
              <w:t>-3.00%</w:t>
            </w:r>
          </w:p>
        </w:tc>
        <w:tc>
          <w:tcPr>
            <w:tcW w:type="dxa" w:w="1271"/>
            <w:vAlign w:val="center"/>
          </w:tcPr>
          <w:p>
            <w:r>
              <w:t>-2.15%</w:t>
            </w:r>
          </w:p>
        </w:tc>
        <w:tc>
          <w:tcPr>
            <w:tcW w:type="dxa" w:w="1271"/>
            <w:vAlign w:val="center"/>
          </w:tcPr>
          <w:p>
            <w:r>
              <w:t>-4.63%</w:t>
            </w:r>
          </w:p>
        </w:tc>
        <w:tc>
          <w:tcPr>
            <w:tcW w:type="dxa" w:w="1271"/>
            <w:vAlign w:val="center"/>
          </w:tcPr>
          <w:p>
            <w:r>
              <w:t>-1.07</w:t>
            </w:r>
          </w:p>
        </w:tc>
        <w:tc>
          <w:tcPr>
            <w:tcW w:type="dxa" w:w="1271"/>
            <w:vAlign w:val="center"/>
          </w:tcPr>
          <w:p>
            <w:r>
              <w:t>1.28%</w:t>
            </w:r>
          </w:p>
        </w:tc>
        <w:tc>
          <w:tcPr>
            <w:tcW w:type="dxa" w:w="1271"/>
            <w:vAlign w:val="center"/>
          </w:tcPr>
          <w:p>
            <w:r>
              <w:t>46</w:t>
            </w:r>
          </w:p>
        </w:tc>
        <w:tc>
          <w:tcPr>
            <w:tcW w:type="dxa" w:w="1271"/>
            <w:vAlign w:val="center"/>
          </w:tcPr>
          <w:p>
            <w:r>
              <w:t>-1.90%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2025</w:t>
            </w:r>
          </w:p>
        </w:tc>
        <w:tc>
          <w:tcPr>
            <w:tcW w:type="dxa" w:w="1271"/>
            <w:vAlign w:val="center"/>
          </w:tcPr>
          <w:p>
            <w:r>
              <w:t>-2.92%</w:t>
            </w:r>
          </w:p>
        </w:tc>
        <w:tc>
          <w:tcPr>
            <w:tcW w:type="dxa" w:w="1271"/>
            <w:vAlign w:val="center"/>
          </w:tcPr>
          <w:p>
            <w:r>
              <w:t>-3.32%</w:t>
            </w:r>
          </w:p>
        </w:tc>
        <w:tc>
          <w:tcPr>
            <w:tcW w:type="dxa" w:w="1271"/>
            <w:vAlign w:val="center"/>
          </w:tcPr>
          <w:p>
            <w:r>
              <w:t>-3.96%</w:t>
            </w:r>
          </w:p>
        </w:tc>
        <w:tc>
          <w:tcPr>
            <w:tcW w:type="dxa" w:w="1271"/>
            <w:vAlign w:val="center"/>
          </w:tcPr>
          <w:p>
            <w:r>
              <w:t>-1.46</w:t>
            </w:r>
          </w:p>
        </w:tc>
        <w:tc>
          <w:tcPr>
            <w:tcW w:type="dxa" w:w="1271"/>
            <w:vAlign w:val="center"/>
          </w:tcPr>
          <w:p>
            <w:r>
              <w:t>1.15%</w:t>
            </w:r>
          </w:p>
        </w:tc>
        <w:tc>
          <w:tcPr>
            <w:tcW w:type="dxa" w:w="1271"/>
            <w:vAlign w:val="center"/>
          </w:tcPr>
          <w:p>
            <w:r>
              <w:t>41</w:t>
            </w:r>
          </w:p>
        </w:tc>
        <w:tc>
          <w:tcPr>
            <w:tcW w:type="dxa" w:w="1271"/>
            <w:vAlign w:val="center"/>
          </w:tcPr>
          <w:p>
            <w:r>
              <w:t>-2.04%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2026</w:t>
            </w:r>
          </w:p>
        </w:tc>
        <w:tc>
          <w:tcPr>
            <w:tcW w:type="dxa" w:w="1271"/>
            <w:vAlign w:val="center"/>
          </w:tcPr>
          <w:p>
            <w:r>
              <w:t>-0.12%</w:t>
            </w:r>
          </w:p>
        </w:tc>
        <w:tc>
          <w:tcPr>
            <w:tcW w:type="dxa" w:w="1271"/>
            <w:vAlign w:val="center"/>
          </w:tcPr>
          <w:p>
            <w:r>
              <w:t>0.02%</w:t>
            </w:r>
          </w:p>
        </w:tc>
        <w:tc>
          <w:tcPr>
            <w:tcW w:type="dxa" w:w="1271"/>
            <w:vAlign w:val="center"/>
          </w:tcPr>
          <w:p>
            <w:r>
              <w:t>-1.47%</w:t>
            </w:r>
          </w:p>
        </w:tc>
        <w:tc>
          <w:tcPr>
            <w:tcW w:type="dxa" w:w="1271"/>
            <w:vAlign w:val="center"/>
          </w:tcPr>
          <w:p>
            <w:r>
              <w:t>-0.19</w:t>
            </w:r>
          </w:p>
        </w:tc>
        <w:tc>
          <w:tcPr>
            <w:tcW w:type="dxa" w:w="1271"/>
            <w:vAlign w:val="center"/>
          </w:tcPr>
          <w:p>
            <w:r>
              <w:t>0.80%</w:t>
            </w:r>
          </w:p>
        </w:tc>
        <w:tc>
          <w:tcPr>
            <w:tcW w:type="dxa" w:w="1271"/>
            <w:vAlign w:val="center"/>
          </w:tcPr>
          <w:p>
            <w:r>
              <w:t>10</w:t>
            </w:r>
          </w:p>
        </w:tc>
        <w:tc>
          <w:tcPr>
            <w:tcW w:type="dxa" w:w="1271"/>
            <w:vAlign w:val="center"/>
          </w:tcPr>
          <w:p>
            <w:r>
              <w:t>-0.29%</w:t>
            </w:r>
          </w:p>
        </w:tc>
      </w:tr>
    </w:tbl>
    <w:p>
      <w:pPr>
        <w:pStyle w:val="Heading1"/>
      </w:pPr>
      <w:r>
        <w:t>Selected Trades</w:t>
      </w:r>
    </w:p>
    <w:p>
      <w:pPr>
        <w:pStyle w:val="Heading2"/>
      </w:pPr>
      <w:r>
        <w:t>Top trades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D9EAF7"/>
          </w:tcPr>
          <w:p>
            <w:r>
              <w:t>symbol</w:t>
            </w:r>
          </w:p>
        </w:tc>
        <w:tc>
          <w:tcPr>
            <w:tcW w:type="dxa" w:w="1694"/>
            <w:shd w:fill="D9EAF7"/>
          </w:tcPr>
          <w:p>
            <w:r>
              <w:t>entry_date</w:t>
            </w:r>
          </w:p>
        </w:tc>
        <w:tc>
          <w:tcPr>
            <w:tcW w:type="dxa" w:w="1694"/>
            <w:shd w:fill="D9EAF7"/>
          </w:tcPr>
          <w:p>
            <w:r>
              <w:t>exit_date</w:t>
            </w:r>
          </w:p>
        </w:tc>
        <w:tc>
          <w:tcPr>
            <w:tcW w:type="dxa" w:w="1694"/>
            <w:shd w:fill="D9EAF7"/>
          </w:tcPr>
          <w:p>
            <w:r>
              <w:t>event_return_after_cost</w:t>
            </w:r>
          </w:p>
        </w:tc>
        <w:tc>
          <w:tcPr>
            <w:tcW w:type="dxa" w:w="1694"/>
            <w:shd w:fill="D9EAF7"/>
          </w:tcPr>
          <w:p>
            <w:r>
              <w:t>excess_vs_QQQ_event_return</w:t>
            </w:r>
          </w:p>
        </w:tc>
        <w:tc>
          <w:tcPr>
            <w:tcW w:type="dxa" w:w="1694"/>
            <w:shd w:fill="D9EAF7"/>
          </w:tcPr>
          <w:p>
            <w:r>
              <w:t>rank_score</w:t>
            </w:r>
          </w:p>
        </w:tc>
      </w:tr>
      <w:tr>
        <w:tc>
          <w:tcPr>
            <w:tcW w:type="dxa" w:w="1694"/>
            <w:vAlign w:val="center"/>
          </w:tcPr>
          <w:p>
            <w:r>
              <w:t>CRWD</w:t>
            </w:r>
          </w:p>
        </w:tc>
        <w:tc>
          <w:tcPr>
            <w:tcW w:type="dxa" w:w="1694"/>
            <w:vAlign w:val="center"/>
          </w:tcPr>
          <w:p>
            <w:r>
              <w:t>2020-03-18</w:t>
            </w:r>
          </w:p>
        </w:tc>
        <w:tc>
          <w:tcPr>
            <w:tcW w:type="dxa" w:w="1694"/>
            <w:vAlign w:val="center"/>
          </w:tcPr>
          <w:p>
            <w:r>
              <w:t>2020-03-20</w:t>
            </w:r>
          </w:p>
        </w:tc>
        <w:tc>
          <w:tcPr>
            <w:tcW w:type="dxa" w:w="1694"/>
            <w:vAlign w:val="center"/>
          </w:tcPr>
          <w:p>
            <w:r>
              <w:t>0.2667</w:t>
            </w:r>
          </w:p>
        </w:tc>
        <w:tc>
          <w:tcPr>
            <w:tcW w:type="dxa" w:w="1694"/>
            <w:vAlign w:val="center"/>
          </w:tcPr>
          <w:p>
            <w:r>
              <w:t>0.3021</w:t>
            </w:r>
          </w:p>
        </w:tc>
        <w:tc>
          <w:tcPr>
            <w:tcW w:type="dxa" w:w="1694"/>
            <w:vAlign w:val="center"/>
          </w:tcPr>
          <w:p>
            <w:r>
              <w:t>0.1672</w:t>
            </w:r>
          </w:p>
        </w:tc>
      </w:tr>
      <w:tr>
        <w:tc>
          <w:tcPr>
            <w:tcW w:type="dxa" w:w="1694"/>
            <w:vAlign w:val="center"/>
          </w:tcPr>
          <w:p>
            <w:r>
              <w:t>AVGO</w:t>
            </w:r>
          </w:p>
        </w:tc>
        <w:tc>
          <w:tcPr>
            <w:tcW w:type="dxa" w:w="1694"/>
            <w:vAlign w:val="center"/>
          </w:tcPr>
          <w:p>
            <w:r>
              <w:t>2024-12-11</w:t>
            </w:r>
          </w:p>
        </w:tc>
        <w:tc>
          <w:tcPr>
            <w:tcW w:type="dxa" w:w="1694"/>
            <w:vAlign w:val="center"/>
          </w:tcPr>
          <w:p>
            <w:r>
              <w:t>2024-12-13</w:t>
            </w:r>
          </w:p>
        </w:tc>
        <w:tc>
          <w:tcPr>
            <w:tcW w:type="dxa" w:w="1694"/>
            <w:vAlign w:val="center"/>
          </w:tcPr>
          <w:p>
            <w:r>
              <w:t>0.2251</w:t>
            </w:r>
          </w:p>
        </w:tc>
        <w:tc>
          <w:tcPr>
            <w:tcW w:type="dxa" w:w="1694"/>
            <w:vAlign w:val="center"/>
          </w:tcPr>
          <w:p>
            <w:r>
              <w:t>0.2259</w:t>
            </w:r>
          </w:p>
        </w:tc>
        <w:tc>
          <w:tcPr>
            <w:tcW w:type="dxa" w:w="1694"/>
            <w:vAlign w:val="center"/>
          </w:tcPr>
          <w:p>
            <w:r>
              <w:t>0.2205</w:t>
            </w:r>
          </w:p>
        </w:tc>
      </w:tr>
      <w:tr>
        <w:tc>
          <w:tcPr>
            <w:tcW w:type="dxa" w:w="1694"/>
            <w:vAlign w:val="center"/>
          </w:tcPr>
          <w:p>
            <w:r>
              <w:t>NOW</w:t>
            </w:r>
          </w:p>
        </w:tc>
        <w:tc>
          <w:tcPr>
            <w:tcW w:type="dxa" w:w="1694"/>
            <w:vAlign w:val="center"/>
          </w:tcPr>
          <w:p>
            <w:r>
              <w:t>2025-04-22</w:t>
            </w:r>
          </w:p>
        </w:tc>
        <w:tc>
          <w:tcPr>
            <w:tcW w:type="dxa" w:w="1694"/>
            <w:vAlign w:val="center"/>
          </w:tcPr>
          <w:p>
            <w:r>
              <w:t>2025-04-24</w:t>
            </w:r>
          </w:p>
        </w:tc>
        <w:tc>
          <w:tcPr>
            <w:tcW w:type="dxa" w:w="1694"/>
            <w:vAlign w:val="center"/>
          </w:tcPr>
          <w:p>
            <w:r>
              <w:t>0.2220</w:t>
            </w:r>
          </w:p>
        </w:tc>
        <w:tc>
          <w:tcPr>
            <w:tcW w:type="dxa" w:w="1694"/>
            <w:vAlign w:val="center"/>
          </w:tcPr>
          <w:p>
            <w:r>
              <w:t>0.1725</w:t>
            </w:r>
          </w:p>
        </w:tc>
        <w:tc>
          <w:tcPr>
            <w:tcW w:type="dxa" w:w="1694"/>
            <w:vAlign w:val="center"/>
          </w:tcPr>
          <w:p>
            <w:r>
              <w:t>0.4335</w:t>
            </w:r>
          </w:p>
        </w:tc>
      </w:tr>
      <w:tr>
        <w:tc>
          <w:tcPr>
            <w:tcW w:type="dxa" w:w="1694"/>
            <w:vAlign w:val="center"/>
          </w:tcPr>
          <w:p>
            <w:r>
              <w:t>TXN</w:t>
            </w:r>
          </w:p>
        </w:tc>
        <w:tc>
          <w:tcPr>
            <w:tcW w:type="dxa" w:w="1694"/>
            <w:vAlign w:val="center"/>
          </w:tcPr>
          <w:p>
            <w:r>
              <w:t>2026-04-21</w:t>
            </w:r>
          </w:p>
        </w:tc>
        <w:tc>
          <w:tcPr>
            <w:tcW w:type="dxa" w:w="1694"/>
            <w:vAlign w:val="center"/>
          </w:tcPr>
          <w:p>
            <w:r>
              <w:t>2026-04-23</w:t>
            </w:r>
          </w:p>
        </w:tc>
        <w:tc>
          <w:tcPr>
            <w:tcW w:type="dxa" w:w="1694"/>
            <w:vAlign w:val="center"/>
          </w:tcPr>
          <w:p>
            <w:r>
              <w:t>0.2085</w:t>
            </w:r>
          </w:p>
        </w:tc>
        <w:tc>
          <w:tcPr>
            <w:tcW w:type="dxa" w:w="1694"/>
            <w:vAlign w:val="center"/>
          </w:tcPr>
          <w:p>
            <w:r>
              <w:t>0.1995</w:t>
            </w:r>
          </w:p>
        </w:tc>
        <w:tc>
          <w:tcPr>
            <w:tcW w:type="dxa" w:w="1694"/>
            <w:vAlign w:val="center"/>
          </w:tcPr>
          <w:p>
            <w:r>
              <w:t>0.3501</w:t>
            </w:r>
          </w:p>
        </w:tc>
      </w:tr>
      <w:tr>
        <w:tc>
          <w:tcPr>
            <w:tcW w:type="dxa" w:w="1694"/>
            <w:vAlign w:val="center"/>
          </w:tcPr>
          <w:p>
            <w:r>
              <w:t>PANW</w:t>
            </w:r>
          </w:p>
        </w:tc>
        <w:tc>
          <w:tcPr>
            <w:tcW w:type="dxa" w:w="1694"/>
            <w:vAlign w:val="center"/>
          </w:tcPr>
          <w:p>
            <w:r>
              <w:t>2021-08-20</w:t>
            </w:r>
          </w:p>
        </w:tc>
        <w:tc>
          <w:tcPr>
            <w:tcW w:type="dxa" w:w="1694"/>
            <w:vAlign w:val="center"/>
          </w:tcPr>
          <w:p>
            <w:r>
              <w:t>2021-08-24</w:t>
            </w:r>
          </w:p>
        </w:tc>
        <w:tc>
          <w:tcPr>
            <w:tcW w:type="dxa" w:w="1694"/>
            <w:vAlign w:val="center"/>
          </w:tcPr>
          <w:p>
            <w:r>
              <w:t>0.2005</w:t>
            </w:r>
          </w:p>
        </w:tc>
        <w:tc>
          <w:tcPr>
            <w:tcW w:type="dxa" w:w="1694"/>
            <w:vAlign w:val="center"/>
          </w:tcPr>
          <w:p>
            <w:r>
              <w:t>0.1844</w:t>
            </w:r>
          </w:p>
        </w:tc>
        <w:tc>
          <w:tcPr>
            <w:tcW w:type="dxa" w:w="1694"/>
            <w:vAlign w:val="center"/>
          </w:tcPr>
          <w:p>
            <w:r>
              <w:t>0.5543</w:t>
            </w:r>
          </w:p>
        </w:tc>
      </w:tr>
      <w:tr>
        <w:tc>
          <w:tcPr>
            <w:tcW w:type="dxa" w:w="1694"/>
            <w:vAlign w:val="center"/>
          </w:tcPr>
          <w:p>
            <w:r>
              <w:t>NOW</w:t>
            </w:r>
          </w:p>
        </w:tc>
        <w:tc>
          <w:tcPr>
            <w:tcW w:type="dxa" w:w="1694"/>
            <w:vAlign w:val="center"/>
          </w:tcPr>
          <w:p>
            <w:r>
              <w:t>2020-04-28</w:t>
            </w:r>
          </w:p>
        </w:tc>
        <w:tc>
          <w:tcPr>
            <w:tcW w:type="dxa" w:w="1694"/>
            <w:vAlign w:val="center"/>
          </w:tcPr>
          <w:p>
            <w:r>
              <w:t>2020-04-30</w:t>
            </w:r>
          </w:p>
        </w:tc>
        <w:tc>
          <w:tcPr>
            <w:tcW w:type="dxa" w:w="1694"/>
            <w:vAlign w:val="center"/>
          </w:tcPr>
          <w:p>
            <w:r>
              <w:t>0.1856</w:t>
            </w:r>
          </w:p>
        </w:tc>
        <w:tc>
          <w:tcPr>
            <w:tcW w:type="dxa" w:w="1694"/>
            <w:vAlign w:val="center"/>
          </w:tcPr>
          <w:p>
            <w:r>
              <w:t>0.1526</w:t>
            </w:r>
          </w:p>
        </w:tc>
        <w:tc>
          <w:tcPr>
            <w:tcW w:type="dxa" w:w="1694"/>
            <w:vAlign w:val="center"/>
          </w:tcPr>
          <w:p>
            <w:r>
              <w:t>1.4799</w:t>
            </w:r>
          </w:p>
        </w:tc>
      </w:tr>
      <w:tr>
        <w:tc>
          <w:tcPr>
            <w:tcW w:type="dxa" w:w="1694"/>
            <w:vAlign w:val="center"/>
          </w:tcPr>
          <w:p>
            <w:r>
              <w:t>QCOM</w:t>
            </w:r>
          </w:p>
        </w:tc>
        <w:tc>
          <w:tcPr>
            <w:tcW w:type="dxa" w:w="1694"/>
            <w:vAlign w:val="center"/>
          </w:tcPr>
          <w:p>
            <w:r>
              <w:t>2020-07-28</w:t>
            </w:r>
          </w:p>
        </w:tc>
        <w:tc>
          <w:tcPr>
            <w:tcW w:type="dxa" w:w="1694"/>
            <w:vAlign w:val="center"/>
          </w:tcPr>
          <w:p>
            <w:r>
              <w:t>2020-07-30</w:t>
            </w:r>
          </w:p>
        </w:tc>
        <w:tc>
          <w:tcPr>
            <w:tcW w:type="dxa" w:w="1694"/>
            <w:vAlign w:val="center"/>
          </w:tcPr>
          <w:p>
            <w:r>
              <w:t>0.1701</w:t>
            </w:r>
          </w:p>
        </w:tc>
        <w:tc>
          <w:tcPr>
            <w:tcW w:type="dxa" w:w="1694"/>
            <w:vAlign w:val="center"/>
          </w:tcPr>
          <w:p>
            <w:r>
              <w:t>0.1553</w:t>
            </w:r>
          </w:p>
        </w:tc>
        <w:tc>
          <w:tcPr>
            <w:tcW w:type="dxa" w:w="1694"/>
            <w:vAlign w:val="center"/>
          </w:tcPr>
          <w:p>
            <w:r>
              <w:t>0.6703</w:t>
            </w:r>
          </w:p>
        </w:tc>
      </w:tr>
      <w:tr>
        <w:tc>
          <w:tcPr>
            <w:tcW w:type="dxa" w:w="1694"/>
            <w:vAlign w:val="center"/>
          </w:tcPr>
          <w:p>
            <w:r>
              <w:t>MU</w:t>
            </w:r>
          </w:p>
        </w:tc>
        <w:tc>
          <w:tcPr>
            <w:tcW w:type="dxa" w:w="1694"/>
            <w:vAlign w:val="center"/>
          </w:tcPr>
          <w:p>
            <w:r>
              <w:t>2024-09-24</w:t>
            </w:r>
          </w:p>
        </w:tc>
        <w:tc>
          <w:tcPr>
            <w:tcW w:type="dxa" w:w="1694"/>
            <w:vAlign w:val="center"/>
          </w:tcPr>
          <w:p>
            <w:r>
              <w:t>2024-09-26</w:t>
            </w:r>
          </w:p>
        </w:tc>
        <w:tc>
          <w:tcPr>
            <w:tcW w:type="dxa" w:w="1694"/>
            <w:vAlign w:val="center"/>
          </w:tcPr>
          <w:p>
            <w:r>
              <w:t>0.1669</w:t>
            </w:r>
          </w:p>
        </w:tc>
        <w:tc>
          <w:tcPr>
            <w:tcW w:type="dxa" w:w="1694"/>
            <w:vAlign w:val="center"/>
          </w:tcPr>
          <w:p>
            <w:r>
              <w:t>0.1605</w:t>
            </w:r>
          </w:p>
        </w:tc>
        <w:tc>
          <w:tcPr>
            <w:tcW w:type="dxa" w:w="1694"/>
            <w:vAlign w:val="center"/>
          </w:tcPr>
          <w:p>
            <w:r>
              <w:t>0.2182</w:t>
            </w:r>
          </w:p>
        </w:tc>
      </w:tr>
    </w:tbl>
    <w:p>
      <w:pPr>
        <w:pStyle w:val="Heading2"/>
      </w:pPr>
      <w:r>
        <w:t>Bottom trades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D9EAF7"/>
          </w:tcPr>
          <w:p>
            <w:r>
              <w:t>symbol</w:t>
            </w:r>
          </w:p>
        </w:tc>
        <w:tc>
          <w:tcPr>
            <w:tcW w:type="dxa" w:w="1694"/>
            <w:shd w:fill="D9EAF7"/>
          </w:tcPr>
          <w:p>
            <w:r>
              <w:t>entry_date</w:t>
            </w:r>
          </w:p>
        </w:tc>
        <w:tc>
          <w:tcPr>
            <w:tcW w:type="dxa" w:w="1694"/>
            <w:shd w:fill="D9EAF7"/>
          </w:tcPr>
          <w:p>
            <w:r>
              <w:t>exit_date</w:t>
            </w:r>
          </w:p>
        </w:tc>
        <w:tc>
          <w:tcPr>
            <w:tcW w:type="dxa" w:w="1694"/>
            <w:shd w:fill="D9EAF7"/>
          </w:tcPr>
          <w:p>
            <w:r>
              <w:t>event_return_after_cost</w:t>
            </w:r>
          </w:p>
        </w:tc>
        <w:tc>
          <w:tcPr>
            <w:tcW w:type="dxa" w:w="1694"/>
            <w:shd w:fill="D9EAF7"/>
          </w:tcPr>
          <w:p>
            <w:r>
              <w:t>excess_vs_QQQ_event_return</w:t>
            </w:r>
          </w:p>
        </w:tc>
        <w:tc>
          <w:tcPr>
            <w:tcW w:type="dxa" w:w="1694"/>
            <w:shd w:fill="D9EAF7"/>
          </w:tcPr>
          <w:p>
            <w:r>
              <w:t>rank_score</w:t>
            </w:r>
          </w:p>
        </w:tc>
      </w:tr>
      <w:tr>
        <w:tc>
          <w:tcPr>
            <w:tcW w:type="dxa" w:w="1694"/>
            <w:vAlign w:val="center"/>
          </w:tcPr>
          <w:p>
            <w:r>
              <w:t>INTC</w:t>
            </w:r>
          </w:p>
        </w:tc>
        <w:tc>
          <w:tcPr>
            <w:tcW w:type="dxa" w:w="1694"/>
            <w:vAlign w:val="center"/>
          </w:tcPr>
          <w:p>
            <w:r>
              <w:t>2024-07-31</w:t>
            </w:r>
          </w:p>
        </w:tc>
        <w:tc>
          <w:tcPr>
            <w:tcW w:type="dxa" w:w="1694"/>
            <w:vAlign w:val="center"/>
          </w:tcPr>
          <w:p>
            <w:r>
              <w:t>2024-08-02</w:t>
            </w:r>
          </w:p>
        </w:tc>
        <w:tc>
          <w:tcPr>
            <w:tcW w:type="dxa" w:w="1694"/>
            <w:vAlign w:val="center"/>
          </w:tcPr>
          <w:p>
            <w:r>
              <w:t>-0.3032</w:t>
            </w:r>
          </w:p>
        </w:tc>
        <w:tc>
          <w:tcPr>
            <w:tcW w:type="dxa" w:w="1694"/>
            <w:vAlign w:val="center"/>
          </w:tcPr>
          <w:p>
            <w:r>
              <w:t>-0.2539</w:t>
            </w:r>
          </w:p>
        </w:tc>
        <w:tc>
          <w:tcPr>
            <w:tcW w:type="dxa" w:w="1694"/>
            <w:vAlign w:val="center"/>
          </w:tcPr>
          <w:p>
            <w:r>
              <w:t>0.1799</w:t>
            </w:r>
          </w:p>
        </w:tc>
      </w:tr>
      <w:tr>
        <w:tc>
          <w:tcPr>
            <w:tcW w:type="dxa" w:w="1694"/>
            <w:vAlign w:val="center"/>
          </w:tcPr>
          <w:p>
            <w:r>
              <w:t>PANW</w:t>
            </w:r>
          </w:p>
        </w:tc>
        <w:tc>
          <w:tcPr>
            <w:tcW w:type="dxa" w:w="1694"/>
            <w:vAlign w:val="center"/>
          </w:tcPr>
          <w:p>
            <w:r>
              <w:t>2024-02-16</w:t>
            </w:r>
          </w:p>
        </w:tc>
        <w:tc>
          <w:tcPr>
            <w:tcW w:type="dxa" w:w="1694"/>
            <w:vAlign w:val="center"/>
          </w:tcPr>
          <w:p>
            <w:r>
              <w:t>2024-02-21</w:t>
            </w:r>
          </w:p>
        </w:tc>
        <w:tc>
          <w:tcPr>
            <w:tcW w:type="dxa" w:w="1694"/>
            <w:vAlign w:val="center"/>
          </w:tcPr>
          <w:p>
            <w:r>
              <w:t>-0.2870</w:t>
            </w:r>
          </w:p>
        </w:tc>
        <w:tc>
          <w:tcPr>
            <w:tcW w:type="dxa" w:w="1694"/>
            <w:vAlign w:val="center"/>
          </w:tcPr>
          <w:p>
            <w:r>
              <w:t>-0.2735</w:t>
            </w:r>
          </w:p>
        </w:tc>
        <w:tc>
          <w:tcPr>
            <w:tcW w:type="dxa" w:w="1694"/>
            <w:vAlign w:val="center"/>
          </w:tcPr>
          <w:p>
            <w:r>
              <w:t>1.5447</w:t>
            </w:r>
          </w:p>
        </w:tc>
      </w:tr>
      <w:tr>
        <w:tc>
          <w:tcPr>
            <w:tcW w:type="dxa" w:w="1694"/>
            <w:vAlign w:val="center"/>
          </w:tcPr>
          <w:p>
            <w:r>
              <w:t>FTNT</w:t>
            </w:r>
          </w:p>
        </w:tc>
        <w:tc>
          <w:tcPr>
            <w:tcW w:type="dxa" w:w="1694"/>
            <w:vAlign w:val="center"/>
          </w:tcPr>
          <w:p>
            <w:r>
              <w:t>2025-08-05</w:t>
            </w:r>
          </w:p>
        </w:tc>
        <w:tc>
          <w:tcPr>
            <w:tcW w:type="dxa" w:w="1694"/>
            <w:vAlign w:val="center"/>
          </w:tcPr>
          <w:p>
            <w:r>
              <w:t>2025-08-07</w:t>
            </w:r>
          </w:p>
        </w:tc>
        <w:tc>
          <w:tcPr>
            <w:tcW w:type="dxa" w:w="1694"/>
            <w:vAlign w:val="center"/>
          </w:tcPr>
          <w:p>
            <w:r>
              <w:t>-0.2193</w:t>
            </w:r>
          </w:p>
        </w:tc>
        <w:tc>
          <w:tcPr>
            <w:tcW w:type="dxa" w:w="1694"/>
            <w:vAlign w:val="center"/>
          </w:tcPr>
          <w:p>
            <w:r>
              <w:t>-0.2333</w:t>
            </w:r>
          </w:p>
        </w:tc>
        <w:tc>
          <w:tcPr>
            <w:tcW w:type="dxa" w:w="1694"/>
            <w:vAlign w:val="center"/>
          </w:tcPr>
          <w:p>
            <w:r>
              <w:t>1.3032</w:t>
            </w:r>
          </w:p>
        </w:tc>
      </w:tr>
      <w:tr>
        <w:tc>
          <w:tcPr>
            <w:tcW w:type="dxa" w:w="1694"/>
            <w:vAlign w:val="center"/>
          </w:tcPr>
          <w:p>
            <w:r>
              <w:t>MU</w:t>
            </w:r>
          </w:p>
        </w:tc>
        <w:tc>
          <w:tcPr>
            <w:tcW w:type="dxa" w:w="1694"/>
            <w:vAlign w:val="center"/>
          </w:tcPr>
          <w:p>
            <w:r>
              <w:t>2024-12-17</w:t>
            </w:r>
          </w:p>
        </w:tc>
        <w:tc>
          <w:tcPr>
            <w:tcW w:type="dxa" w:w="1694"/>
            <w:vAlign w:val="center"/>
          </w:tcPr>
          <w:p>
            <w:r>
              <w:t>2024-12-19</w:t>
            </w:r>
          </w:p>
        </w:tc>
        <w:tc>
          <w:tcPr>
            <w:tcW w:type="dxa" w:w="1694"/>
            <w:vAlign w:val="center"/>
          </w:tcPr>
          <w:p>
            <w:r>
              <w:t>-0.2001</w:t>
            </w:r>
          </w:p>
        </w:tc>
        <w:tc>
          <w:tcPr>
            <w:tcW w:type="dxa" w:w="1694"/>
            <w:vAlign w:val="center"/>
          </w:tcPr>
          <w:p>
            <w:r>
              <w:t>-0.1577</w:t>
            </w:r>
          </w:p>
        </w:tc>
        <w:tc>
          <w:tcPr>
            <w:tcW w:type="dxa" w:w="1694"/>
            <w:vAlign w:val="center"/>
          </w:tcPr>
          <w:p>
            <w:r>
              <w:t>1.3681</w:t>
            </w:r>
          </w:p>
        </w:tc>
      </w:tr>
      <w:tr>
        <w:tc>
          <w:tcPr>
            <w:tcW w:type="dxa" w:w="1694"/>
            <w:vAlign w:val="center"/>
          </w:tcPr>
          <w:p>
            <w:r>
              <w:t>CRM</w:t>
            </w:r>
          </w:p>
        </w:tc>
        <w:tc>
          <w:tcPr>
            <w:tcW w:type="dxa" w:w="1694"/>
            <w:vAlign w:val="center"/>
          </w:tcPr>
          <w:p>
            <w:r>
              <w:t>2024-05-28</w:t>
            </w:r>
          </w:p>
        </w:tc>
        <w:tc>
          <w:tcPr>
            <w:tcW w:type="dxa" w:w="1694"/>
            <w:vAlign w:val="center"/>
          </w:tcPr>
          <w:p>
            <w:r>
              <w:t>2024-05-30</w:t>
            </w:r>
          </w:p>
        </w:tc>
        <w:tc>
          <w:tcPr>
            <w:tcW w:type="dxa" w:w="1694"/>
            <w:vAlign w:val="center"/>
          </w:tcPr>
          <w:p>
            <w:r>
              <w:t>-0.1940</w:t>
            </w:r>
          </w:p>
        </w:tc>
        <w:tc>
          <w:tcPr>
            <w:tcW w:type="dxa" w:w="1694"/>
            <w:vAlign w:val="center"/>
          </w:tcPr>
          <w:p>
            <w:r>
              <w:t>-0.1744</w:t>
            </w:r>
          </w:p>
        </w:tc>
        <w:tc>
          <w:tcPr>
            <w:tcW w:type="dxa" w:w="1694"/>
            <w:vAlign w:val="center"/>
          </w:tcPr>
          <w:p>
            <w:r>
              <w:t>0.8764</w:t>
            </w:r>
          </w:p>
        </w:tc>
      </w:tr>
      <w:tr>
        <w:tc>
          <w:tcPr>
            <w:tcW w:type="dxa" w:w="1694"/>
            <w:vAlign w:val="center"/>
          </w:tcPr>
          <w:p>
            <w:r>
              <w:t>PANW</w:t>
            </w:r>
          </w:p>
        </w:tc>
        <w:tc>
          <w:tcPr>
            <w:tcW w:type="dxa" w:w="1694"/>
            <w:vAlign w:val="center"/>
          </w:tcPr>
          <w:p>
            <w:r>
              <w:t>2020-02-21</w:t>
            </w:r>
          </w:p>
        </w:tc>
        <w:tc>
          <w:tcPr>
            <w:tcW w:type="dxa" w:w="1694"/>
            <w:vAlign w:val="center"/>
          </w:tcPr>
          <w:p>
            <w:r>
              <w:t>2020-02-25</w:t>
            </w:r>
          </w:p>
        </w:tc>
        <w:tc>
          <w:tcPr>
            <w:tcW w:type="dxa" w:w="1694"/>
            <w:vAlign w:val="center"/>
          </w:tcPr>
          <w:p>
            <w:r>
              <w:t>-0.1915</w:t>
            </w:r>
          </w:p>
        </w:tc>
        <w:tc>
          <w:tcPr>
            <w:tcW w:type="dxa" w:w="1694"/>
            <w:vAlign w:val="center"/>
          </w:tcPr>
          <w:p>
            <w:r>
              <w:t>-0.1248</w:t>
            </w:r>
          </w:p>
        </w:tc>
        <w:tc>
          <w:tcPr>
            <w:tcW w:type="dxa" w:w="1694"/>
            <w:vAlign w:val="center"/>
          </w:tcPr>
          <w:p>
            <w:r>
              <w:t>0.2427</w:t>
            </w:r>
          </w:p>
        </w:tc>
      </w:tr>
      <w:tr>
        <w:tc>
          <w:tcPr>
            <w:tcW w:type="dxa" w:w="1694"/>
            <w:vAlign w:val="center"/>
          </w:tcPr>
          <w:p>
            <w:r>
              <w:t>AMD</w:t>
            </w:r>
          </w:p>
        </w:tc>
        <w:tc>
          <w:tcPr>
            <w:tcW w:type="dxa" w:w="1694"/>
            <w:vAlign w:val="center"/>
          </w:tcPr>
          <w:p>
            <w:r>
              <w:t>2026-02-02</w:t>
            </w:r>
          </w:p>
        </w:tc>
        <w:tc>
          <w:tcPr>
            <w:tcW w:type="dxa" w:w="1694"/>
            <w:vAlign w:val="center"/>
          </w:tcPr>
          <w:p>
            <w:r>
              <w:t>2026-02-04</w:t>
            </w:r>
          </w:p>
        </w:tc>
        <w:tc>
          <w:tcPr>
            <w:tcW w:type="dxa" w:w="1694"/>
            <w:vAlign w:val="center"/>
          </w:tcPr>
          <w:p>
            <w:r>
              <w:t>-0.1891</w:t>
            </w:r>
          </w:p>
        </w:tc>
        <w:tc>
          <w:tcPr>
            <w:tcW w:type="dxa" w:w="1694"/>
            <w:vAlign w:val="center"/>
          </w:tcPr>
          <w:p>
            <w:r>
              <w:t>-0.1545</w:t>
            </w:r>
          </w:p>
        </w:tc>
        <w:tc>
          <w:tcPr>
            <w:tcW w:type="dxa" w:w="1694"/>
            <w:vAlign w:val="center"/>
          </w:tcPr>
          <w:p>
            <w:r>
              <w:t>0.1408</w:t>
            </w:r>
          </w:p>
        </w:tc>
      </w:tr>
      <w:tr>
        <w:tc>
          <w:tcPr>
            <w:tcW w:type="dxa" w:w="1694"/>
            <w:vAlign w:val="center"/>
          </w:tcPr>
          <w:p>
            <w:r>
              <w:t>FTNT</w:t>
            </w:r>
          </w:p>
        </w:tc>
        <w:tc>
          <w:tcPr>
            <w:tcW w:type="dxa" w:w="1694"/>
            <w:vAlign w:val="center"/>
          </w:tcPr>
          <w:p>
            <w:r>
              <w:t>2022-11-01</w:t>
            </w:r>
          </w:p>
        </w:tc>
        <w:tc>
          <w:tcPr>
            <w:tcW w:type="dxa" w:w="1694"/>
            <w:vAlign w:val="center"/>
          </w:tcPr>
          <w:p>
            <w:r>
              <w:t>2022-11-03</w:t>
            </w:r>
          </w:p>
        </w:tc>
        <w:tc>
          <w:tcPr>
            <w:tcW w:type="dxa" w:w="1694"/>
            <w:vAlign w:val="center"/>
          </w:tcPr>
          <w:p>
            <w:r>
              <w:t>-0.1879</w:t>
            </w:r>
          </w:p>
        </w:tc>
        <w:tc>
          <w:tcPr>
            <w:tcW w:type="dxa" w:w="1694"/>
            <w:vAlign w:val="center"/>
          </w:tcPr>
          <w:p>
            <w:r>
              <w:t>-0.1328</w:t>
            </w:r>
          </w:p>
        </w:tc>
        <w:tc>
          <w:tcPr>
            <w:tcW w:type="dxa" w:w="1694"/>
            <w:vAlign w:val="center"/>
          </w:tcPr>
          <w:p>
            <w:r>
              <w:t>0.5430</w:t>
            </w:r>
          </w:p>
        </w:tc>
      </w:tr>
    </w:tbl>
    <w:p>
      <w:pPr>
        <w:pStyle w:val="Heading1"/>
      </w:pPr>
      <w:r>
        <w:t>Literature Support</w:t>
      </w:r>
    </w:p>
    <w:p>
      <w:r>
        <w:rPr>
          <w:b/>
        </w:rPr>
        <w:t>Earnings Announcements and Systematic Risk</w:t>
      </w:r>
      <w:r>
        <w:t xml:space="preserve"> - Savor and Wilson. </w:t>
      </w:r>
      <w:r>
        <w:t>https://papers.ssrn.com/sol3/papers.cfm?abstract_id=1786308</w:t>
      </w:r>
    </w:p>
    <w:p>
      <w:pPr>
        <w:pStyle w:val="Heading1"/>
      </w:pPr>
      <w:r>
        <w:t>Data and Research Caveats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Requested symbols</w:t>
            </w:r>
          </w:p>
        </w:tc>
        <w:tc>
          <w:tcPr>
            <w:tcW w:type="dxa" w:w="6336"/>
            <w:vAlign w:val="center"/>
          </w:tcPr>
          <w:p>
            <w:r>
              <w:t>51</w:t>
            </w:r>
          </w:p>
        </w:tc>
      </w:tr>
      <w:tr>
        <w:tc>
          <w:tcPr>
            <w:tcW w:type="dxa" w:w="3456"/>
            <w:vAlign w:val="center"/>
          </w:tcPr>
          <w:p>
            <w:r>
              <w:t>Available price symbols</w:t>
            </w:r>
          </w:p>
        </w:tc>
        <w:tc>
          <w:tcPr>
            <w:tcW w:type="dxa" w:w="6336"/>
            <w:vAlign w:val="center"/>
          </w:tcPr>
          <w:p>
            <w:r>
              <w:t>49</w:t>
            </w:r>
          </w:p>
        </w:tc>
      </w:tr>
      <w:tr>
        <w:tc>
          <w:tcPr>
            <w:tcW w:type="dxa" w:w="3456"/>
            <w:vAlign w:val="center"/>
          </w:tcPr>
          <w:p>
            <w:r>
              <w:t>Event count</w:t>
            </w:r>
          </w:p>
        </w:tc>
        <w:tc>
          <w:tcPr>
            <w:tcW w:type="dxa" w:w="6336"/>
            <w:vAlign w:val="center"/>
          </w:tcPr>
          <w:p>
            <w:r>
              <w:t>638</w:t>
            </w:r>
          </w:p>
        </w:tc>
      </w:tr>
      <w:tr>
        <w:tc>
          <w:tcPr>
            <w:tcW w:type="dxa" w:w="3456"/>
            <w:vAlign w:val="center"/>
          </w:tcPr>
          <w:p>
            <w:r>
              <w:t>Missing price symbols</w:t>
            </w:r>
          </w:p>
        </w:tc>
        <w:tc>
          <w:tcPr>
            <w:tcW w:type="dxa" w:w="6336"/>
            <w:vAlign w:val="center"/>
          </w:tcPr>
          <w:p>
            <w:r>
              <w:t>SNOW, TSM</w:t>
            </w:r>
          </w:p>
        </w:tc>
      </w:tr>
      <w:tr>
        <w:tc>
          <w:tcPr>
            <w:tcW w:type="dxa" w:w="3456"/>
            <w:vAlign w:val="center"/>
          </w:tcPr>
          <w:p>
            <w:r>
              <w:t>Missing earnings symbols</w:t>
            </w:r>
          </w:p>
        </w:tc>
        <w:tc>
          <w:tcPr>
            <w:tcW w:type="dxa" w:w="6336"/>
            <w:vAlign w:val="center"/>
          </w:tcPr>
          <w:p>
            <w:r>
              <w:t>ADI, ADSK, ANET, ASML, CSCO, DDOG, DE, DELL, GOOG, HPE, HPQ, IBM, MPWR, MRVL, NXPI, ON, PYPL, SHOP, SMCI, TSLA, TTD, UBER, WDAY, ZS</w:t>
            </w:r>
          </w:p>
        </w:tc>
      </w:tr>
    </w:tbl>
    <w:p>
      <w:pPr>
        <w:pStyle w:val="ListBullet"/>
      </w:pPr>
      <w:r>
        <w:t>Alpha Vantage earnings history is research-grade and may not be point-in-time revised history.</w:t>
      </w:r>
    </w:p>
    <w:p>
      <w:pPr>
        <w:pStyle w:val="ListBullet"/>
      </w:pPr>
      <w:r>
        <w:t>US universe is curated/current and therefore survivorship-biased.</w:t>
      </w:r>
    </w:p>
    <w:p>
      <w:pPr>
        <w:pStyle w:val="ListBullet"/>
      </w:pPr>
      <w:r>
        <w:t>Daily close-to-close execution approximates earnings timing.</w:t>
      </w:r>
    </w:p>
    <w:p>
      <w:pPr>
        <w:pStyle w:val="ListBullet"/>
      </w:pPr>
      <w:r>
        <w:t>No revenue surprise, guidance, analyst revision, or option-implied move feed is included.</w:t>
      </w:r>
    </w:p>
    <w:p>
      <w:pPr>
        <w:pStyle w:val="Heading1"/>
      </w:pPr>
      <w:r>
        <w:t>Reproducibility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Run directory</w:t>
            </w:r>
          </w:p>
        </w:tc>
        <w:tc>
          <w:tcPr>
            <w:tcW w:type="dxa" w:w="6336"/>
            <w:vAlign w:val="center"/>
          </w:tcPr>
          <w:p>
            <w:r>
              <w:t>.tmp\factor_runs\EAP_v1_diversified_announcement_premium\20260508_122946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Provider URI</w:t>
            </w:r>
          </w:p>
        </w:tc>
        <w:tc>
          <w:tcPr>
            <w:tcW w:type="dxa" w:w="6336"/>
            <w:vAlign w:val="center"/>
          </w:tcPr>
          <w:p>
            <w:r>
              <w:t>~/.qlib/qlib_data/us_data_recent</w:t>
            </w:r>
          </w:p>
        </w:tc>
      </w:tr>
      <w:tr>
        <w:tc>
          <w:tcPr>
            <w:tcW w:type="dxa" w:w="3456"/>
            <w:vAlign w:val="center"/>
          </w:tcPr>
          <w:p>
            <w:r>
              <w:t>Command</w:t>
            </w:r>
          </w:p>
        </w:tc>
        <w:tc>
          <w:tcPr>
            <w:tcW w:type="dxa" w:w="6336"/>
            <w:vAlign w:val="center"/>
          </w:tcPr>
          <w:p>
            <w:r>
              <w:t>'scripts\run_earnings_seasonal_factors.py' --factor all --tracking-uri=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