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EBS_v1_leader_confirmed_basket_drift_10d</w:t>
      </w:r>
    </w:p>
    <w:p>
      <w:pPr>
        <w:jc w:val="center"/>
      </w:pPr>
      <w:r>
        <w:rPr>
          <w:i/>
        </w:rPr>
        <w:t>Qlib-backed Earnings Factor Research Report</w:t>
      </w:r>
    </w:p>
    <w:p>
      <w:pPr>
        <w:pStyle w:val="Heading1"/>
      </w:pPr>
      <w:r>
        <w:t>Research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Research status</w:t>
            </w:r>
          </w:p>
        </w:tc>
        <w:tc>
          <w:tcPr>
            <w:tcW w:type="dxa" w:w="6336"/>
            <w:vAlign w:val="center"/>
          </w:tcPr>
          <w:p>
            <w:r>
              <w:t>research_only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events</w:t>
            </w:r>
          </w:p>
        </w:tc>
        <w:tc>
          <w:tcPr>
            <w:tcW w:type="dxa" w:w="6336"/>
            <w:vAlign w:val="center"/>
          </w:tcPr>
          <w:p>
            <w:r>
              <w:t>260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cumulative return</w:t>
            </w:r>
          </w:p>
        </w:tc>
        <w:tc>
          <w:tcPr>
            <w:tcW w:type="dxa" w:w="6336"/>
            <w:vAlign w:val="center"/>
          </w:tcPr>
          <w:p>
            <w:r>
              <w:t>8.01%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annualized return</w:t>
            </w:r>
          </w:p>
        </w:tc>
        <w:tc>
          <w:tcPr>
            <w:tcW w:type="dxa" w:w="6336"/>
            <w:vAlign w:val="center"/>
          </w:tcPr>
          <w:p>
            <w:r>
              <w:t>1.23%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Sharpe / IR</w:t>
            </w:r>
          </w:p>
        </w:tc>
        <w:tc>
          <w:tcPr>
            <w:tcW w:type="dxa" w:w="6336"/>
            <w:vAlign w:val="center"/>
          </w:tcPr>
          <w:p>
            <w:r>
              <w:t>0.26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drawdown</w:t>
            </w:r>
          </w:p>
        </w:tc>
        <w:tc>
          <w:tcPr>
            <w:tcW w:type="dxa" w:w="6336"/>
            <w:vAlign w:val="center"/>
          </w:tcPr>
          <w:p>
            <w:r>
              <w:t>-8.15%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Exposure-matched excess vs QQQ</w:t>
            </w:r>
          </w:p>
        </w:tc>
        <w:tc>
          <w:tcPr>
            <w:tcW w:type="dxa" w:w="6336"/>
            <w:vAlign w:val="center"/>
          </w:tcPr>
          <w:p>
            <w:r>
              <w:t>10.66%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Excess Sharpe / IR</w:t>
            </w:r>
          </w:p>
        </w:tc>
        <w:tc>
          <w:tcPr>
            <w:tcW w:type="dxa" w:w="6336"/>
            <w:vAlign w:val="center"/>
          </w:tcPr>
          <w:p>
            <w:r>
              <w:t>0.63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return after cost</w:t>
            </w:r>
          </w:p>
        </w:tc>
        <w:tc>
          <w:tcPr>
            <w:tcW w:type="dxa" w:w="6336"/>
            <w:vAlign w:val="center"/>
          </w:tcPr>
          <w:p>
            <w:r>
              <w:t>0.72%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excess vs QQQ</w:t>
            </w:r>
          </w:p>
        </w:tc>
        <w:tc>
          <w:tcPr>
            <w:tcW w:type="dxa" w:w="6336"/>
            <w:vAlign w:val="center"/>
          </w:tcPr>
          <w:p>
            <w:r>
              <w:t>1.13%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rank IC vs QQQ excess</w:t>
            </w:r>
          </w:p>
        </w:tc>
        <w:tc>
          <w:tcPr>
            <w:tcW w:type="dxa" w:w="6336"/>
            <w:vAlign w:val="center"/>
          </w:tcPr>
          <w:p>
            <w:r>
              <w:t>0.154</w:t>
            </w:r>
          </w:p>
        </w:tc>
      </w:tr>
    </w:tbl>
    <w:p>
      <w:pPr>
        <w:pStyle w:val="Heading1"/>
      </w:pPr>
      <w:r>
        <w:t>Research Interpretation</w:t>
      </w:r>
    </w:p>
    <w:p>
      <w:r>
        <w:t>This is a weak but economically coherent basket-timing candidate. QQQ-relative excess is better than the absolute return headline, which means the basket timing is partially hedging market beta, but the absolute return and Sharpe remain too low.</w:t>
      </w:r>
    </w:p>
    <w:p>
      <w:pPr>
        <w:pStyle w:val="Heading1"/>
      </w:pPr>
      <w:r>
        <w:t>Economic Hypothesis</w:t>
      </w:r>
    </w:p>
    <w:p>
      <w:r>
        <w:t>After several leaders in a technology basket report positive surprise and positive benchmark-excess reaction, the whole basket drifts higher over the next 10 trading days.</w:t>
      </w:r>
    </w:p>
    <w:p>
      <w:pPr>
        <w:pStyle w:val="Heading1"/>
      </w:pPr>
      <w:r>
        <w:t>Factor Expression</w:t>
      </w:r>
    </w:p>
    <w:p>
      <w:r>
        <w:rPr>
          <w:b/>
        </w:rPr>
        <w:t xml:space="preserve">leader_score: </w:t>
      </w:r>
      <w:r>
        <w:t>0.35*z(leader_surprise_mean) + 0.35*z(leader_excess_mean) + 0.20*leader_excess_hit_component - 0.10*basket_overextension_penalty</w:t>
      </w:r>
    </w:p>
    <w:p>
      <w:r>
        <w:rPr>
          <w:b/>
        </w:rPr>
        <w:t xml:space="preserve">selection: </w:t>
      </w:r>
      <w:r>
        <w:t>leader_count &gt;= 3, leader_surprise_mean &gt; 0, leader_excess_mean &gt; 0, leader_excess_hit_rate &gt;= 55%, basket response &lt;= 12%, QQQ 20d return &gt; -8%</w:t>
      </w:r>
    </w:p>
    <w:p>
      <w:pPr>
        <w:pStyle w:val="Heading1"/>
      </w:pPr>
      <w:r>
        <w:t>Experiment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Date range</w:t>
            </w:r>
          </w:p>
        </w:tc>
        <w:tc>
          <w:tcPr>
            <w:tcW w:type="dxa" w:w="6336"/>
            <w:vAlign w:val="center"/>
          </w:tcPr>
          <w:p>
            <w:r>
              <w:t>2020-01-02 to 2026-05-07</w:t>
            </w:r>
          </w:p>
        </w:tc>
      </w:tr>
      <w:tr>
        <w:tc>
          <w:tcPr>
            <w:tcW w:type="dxa" w:w="3456"/>
            <w:vAlign w:val="center"/>
          </w:tcPr>
          <w:p>
            <w:r>
              <w:t>Benchmark</w:t>
            </w:r>
          </w:p>
        </w:tc>
        <w:tc>
          <w:tcPr>
            <w:tcW w:type="dxa" w:w="6336"/>
            <w:vAlign w:val="center"/>
          </w:tcPr>
          <w:p>
            <w:r>
              <w:t>QQQ</w:t>
            </w:r>
          </w:p>
        </w:tc>
      </w:tr>
      <w:tr>
        <w:tc>
          <w:tcPr>
            <w:tcW w:type="dxa" w:w="3456"/>
            <w:vAlign w:val="center"/>
          </w:tcPr>
          <w:p>
            <w:r>
              <w:t>Universe size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Entry</w:t>
            </w:r>
          </w:p>
        </w:tc>
        <w:tc>
          <w:tcPr>
            <w:tcW w:type="dxa" w:w="6336"/>
            <w:vAlign w:val="center"/>
          </w:tcPr>
          <w:p>
            <w:r>
              <w:t>close after the confirming leader event is observable</w:t>
            </w:r>
          </w:p>
        </w:tc>
      </w:tr>
      <w:tr>
        <w:tc>
          <w:tcPr>
            <w:tcW w:type="dxa" w:w="3456"/>
            <w:vAlign w:val="center"/>
          </w:tcPr>
          <w:p>
            <w:r>
              <w:t>Exit</w:t>
            </w:r>
          </w:p>
        </w:tc>
        <w:tc>
          <w:tcPr>
            <w:tcW w:type="dxa" w:w="6336"/>
            <w:vAlign w:val="center"/>
          </w:tcPr>
          <w:p>
            <w:r>
              <w:t>entry close plus 10 trading days</w:t>
            </w:r>
          </w:p>
        </w:tc>
      </w:tr>
      <w:tr>
        <w:tc>
          <w:tcPr>
            <w:tcW w:type="dxa" w:w="3456"/>
            <w:vAlign w:val="center"/>
          </w:tcPr>
          <w:p>
            <w:r>
              <w:t>Hold days</w:t>
            </w:r>
          </w:p>
        </w:tc>
        <w:tc>
          <w:tcPr>
            <w:tcW w:type="dxa" w:w="6336"/>
            <w:vAlign w:val="center"/>
          </w:tcPr>
          <w:p>
            <w:r>
              <w:t>10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active positions</w:t>
            </w:r>
          </w:p>
        </w:tc>
        <w:tc>
          <w:tcPr>
            <w:tcW w:type="dxa" w:w="6336"/>
            <w:vAlign w:val="center"/>
          </w:tcPr>
          <w:p>
            <w:r>
              <w:t>50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weight</w:t>
            </w:r>
          </w:p>
        </w:tc>
        <w:tc>
          <w:tcPr>
            <w:tcW w:type="dxa" w:w="6336"/>
            <w:vAlign w:val="center"/>
          </w:tcPr>
          <w:p>
            <w:r>
              <w:t>0.04</w:t>
            </w:r>
          </w:p>
        </w:tc>
      </w:tr>
      <w:tr>
        <w:tc>
          <w:tcPr>
            <w:tcW w:type="dxa" w:w="3456"/>
            <w:vAlign w:val="center"/>
          </w:tcPr>
          <w:p>
            <w:r>
              <w:t>One-way cost bps</w:t>
            </w:r>
          </w:p>
        </w:tc>
        <w:tc>
          <w:tcPr>
            <w:tcW w:type="dxa" w:w="6336"/>
            <w:vAlign w:val="center"/>
          </w:tcPr>
          <w:p>
            <w:r>
              <w:t>10.0</w:t>
            </w:r>
          </w:p>
        </w:tc>
      </w:tr>
    </w:tbl>
    <w:p>
      <w:pPr>
        <w:pStyle w:val="Heading1"/>
      </w:pPr>
      <w:r>
        <w:t>Signal Diagnostics / IC</w:t>
      </w:r>
    </w:p>
    <w:p>
      <w:r>
        <w:t>Rank IC is computed against the actual strategy holding-horizon return, not just the earnings announcement window. This makes PEAD and basket variants comparable despite different horizons.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</w:tcPr>
          <w:p>
            <w:r>
              <w:t>bucket</w:t>
            </w:r>
          </w:p>
        </w:tc>
        <w:tc>
          <w:tcPr>
            <w:tcW w:type="dxa" w:w="2033"/>
            <w:shd w:fill="D9EAF7"/>
          </w:tcPr>
          <w:p>
            <w:r>
              <w:t>n</w:t>
            </w:r>
          </w:p>
        </w:tc>
        <w:tc>
          <w:tcPr>
            <w:tcW w:type="dxa" w:w="2033"/>
            <w:shd w:fill="D9EAF7"/>
          </w:tcPr>
          <w:p>
            <w:r>
              <w:t>rank_ic_score_vs_ret</w:t>
            </w:r>
          </w:p>
        </w:tc>
        <w:tc>
          <w:tcPr>
            <w:tcW w:type="dxa" w:w="2033"/>
            <w:shd w:fill="D9EAF7"/>
          </w:tcPr>
          <w:p>
            <w:r>
              <w:t>rank_ic_score_vs_excess</w:t>
            </w:r>
          </w:p>
        </w:tc>
        <w:tc>
          <w:tcPr>
            <w:tcW w:type="dxa" w:w="2033"/>
            <w:shd w:fill="D9EAF7"/>
          </w:tcPr>
          <w:p>
            <w:r>
              <w:t>rank_ic_pct_vs_excess</w:t>
            </w:r>
          </w:p>
        </w:tc>
      </w:tr>
      <w:tr>
        <w:tc>
          <w:tcPr>
            <w:tcW w:type="dxa" w:w="2033"/>
            <w:vAlign w:val="center"/>
          </w:tcPr>
          <w:p>
            <w:r>
              <w:t>eligible</w:t>
            </w:r>
          </w:p>
        </w:tc>
        <w:tc>
          <w:tcPr>
            <w:tcW w:type="dxa" w:w="2033"/>
            <w:vAlign w:val="center"/>
          </w:tcPr>
          <w:p>
            <w:r>
              <w:t>260</w:t>
            </w:r>
          </w:p>
        </w:tc>
        <w:tc>
          <w:tcPr>
            <w:tcW w:type="dxa" w:w="2033"/>
            <w:vAlign w:val="center"/>
          </w:tcPr>
          <w:p>
            <w:r>
              <w:t>0.295</w:t>
            </w:r>
          </w:p>
        </w:tc>
        <w:tc>
          <w:tcPr>
            <w:tcW w:type="dxa" w:w="2033"/>
            <w:vAlign w:val="center"/>
          </w:tcPr>
          <w:p>
            <w:r>
              <w:t>0.154</w:t>
            </w:r>
          </w:p>
        </w:tc>
        <w:tc>
          <w:tcPr>
            <w:tcW w:type="dxa" w:w="2033"/>
            <w:vAlign w:val="center"/>
          </w:tcPr>
          <w:p>
            <w:r>
              <w:t>n/a</w:t>
            </w:r>
          </w:p>
        </w:tc>
      </w:tr>
      <w:tr>
        <w:tc>
          <w:tcPr>
            <w:tcW w:type="dxa" w:w="2033"/>
            <w:vAlign w:val="center"/>
          </w:tcPr>
          <w:p>
            <w:r>
              <w:t>tradable</w:t>
            </w:r>
          </w:p>
        </w:tc>
        <w:tc>
          <w:tcPr>
            <w:tcW w:type="dxa" w:w="2033"/>
            <w:vAlign w:val="center"/>
          </w:tcPr>
          <w:p>
            <w:r>
              <w:t>260</w:t>
            </w:r>
          </w:p>
        </w:tc>
        <w:tc>
          <w:tcPr>
            <w:tcW w:type="dxa" w:w="2033"/>
            <w:vAlign w:val="center"/>
          </w:tcPr>
          <w:p>
            <w:r>
              <w:t>0.295</w:t>
            </w:r>
          </w:p>
        </w:tc>
        <w:tc>
          <w:tcPr>
            <w:tcW w:type="dxa" w:w="2033"/>
            <w:vAlign w:val="center"/>
          </w:tcPr>
          <w:p>
            <w:r>
              <w:t>0.154</w:t>
            </w:r>
          </w:p>
        </w:tc>
        <w:tc>
          <w:tcPr>
            <w:tcW w:type="dxa" w:w="2033"/>
            <w:vAlign w:val="center"/>
          </w:tcPr>
          <w:p>
            <w:r>
              <w:t>n/a</w:t>
            </w:r>
          </w:p>
        </w:tc>
      </w:tr>
      <w:tr>
        <w:tc>
          <w:tcPr>
            <w:tcW w:type="dxa" w:w="2033"/>
            <w:vAlign w:val="center"/>
          </w:tcPr>
          <w:p>
            <w:r>
              <w:t>selected</w:t>
            </w:r>
          </w:p>
        </w:tc>
        <w:tc>
          <w:tcPr>
            <w:tcW w:type="dxa" w:w="2033"/>
            <w:vAlign w:val="center"/>
          </w:tcPr>
          <w:p>
            <w:r>
              <w:t>260</w:t>
            </w:r>
          </w:p>
        </w:tc>
        <w:tc>
          <w:tcPr>
            <w:tcW w:type="dxa" w:w="2033"/>
            <w:vAlign w:val="center"/>
          </w:tcPr>
          <w:p>
            <w:r>
              <w:t>0.295</w:t>
            </w:r>
          </w:p>
        </w:tc>
        <w:tc>
          <w:tcPr>
            <w:tcW w:type="dxa" w:w="2033"/>
            <w:vAlign w:val="center"/>
          </w:tcPr>
          <w:p>
            <w:r>
              <w:t>0.154</w:t>
            </w:r>
          </w:p>
        </w:tc>
        <w:tc>
          <w:tcPr>
            <w:tcW w:type="dxa" w:w="2033"/>
            <w:vAlign w:val="center"/>
          </w:tcPr>
          <w:p>
            <w:r>
              <w:t>n/a</w:t>
            </w:r>
          </w:p>
        </w:tc>
      </w:tr>
    </w:tbl>
    <w:p>
      <w:pPr>
        <w:pStyle w:val="Heading1"/>
      </w:pPr>
      <w:r>
        <w:t>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Cumulative return: strategy, exposure-matched QQQ, and excess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Net strategy drawdown.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Yearly strategy and excess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Daily portfolio exposure.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tur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event return distribution after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trad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trade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vs_event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Score versus realized event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bottom_tr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and bottom selected trades.</w:t>
      </w:r>
    </w:p>
    <w:p>
      <w:pPr>
        <w:pStyle w:val="Heading1"/>
      </w:pPr>
      <w:r>
        <w:t>Metrics by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9EAF7"/>
          </w:tcPr>
          <w:p>
            <w:r>
              <w:t>year</w:t>
            </w:r>
          </w:p>
        </w:tc>
        <w:tc>
          <w:tcPr>
            <w:tcW w:type="dxa" w:w="1271"/>
            <w:shd w:fill="D9EAF7"/>
          </w:tcPr>
          <w:p>
            <w:r>
              <w:t>strategy_net_return</w:t>
            </w:r>
          </w:p>
        </w:tc>
        <w:tc>
          <w:tcPr>
            <w:tcW w:type="dxa" w:w="1271"/>
            <w:shd w:fill="D9EAF7"/>
          </w:tcPr>
          <w:p>
            <w:r>
              <w:t>excess_vs_QQQ_year_return</w:t>
            </w:r>
          </w:p>
        </w:tc>
        <w:tc>
          <w:tcPr>
            <w:tcW w:type="dxa" w:w="1271"/>
            <w:shd w:fill="D9EAF7"/>
          </w:tcPr>
          <w:p>
            <w:r>
              <w:t>max_drawdown</w:t>
            </w:r>
          </w:p>
        </w:tc>
        <w:tc>
          <w:tcPr>
            <w:tcW w:type="dxa" w:w="1271"/>
            <w:shd w:fill="D9EAF7"/>
          </w:tcPr>
          <w:p>
            <w:r>
              <w:t>sharpe</w:t>
            </w:r>
          </w:p>
        </w:tc>
        <w:tc>
          <w:tcPr>
            <w:tcW w:type="dxa" w:w="1271"/>
            <w:shd w:fill="D9EAF7"/>
          </w:tcPr>
          <w:p>
            <w:r>
              <w:t>avg_exposure</w:t>
            </w:r>
          </w:p>
        </w:tc>
        <w:tc>
          <w:tcPr>
            <w:tcW w:type="dxa" w:w="1271"/>
            <w:shd w:fill="D9EAF7"/>
          </w:tcPr>
          <w:p>
            <w:r>
              <w:t>selected_events</w:t>
            </w:r>
          </w:p>
        </w:tc>
        <w:tc>
          <w:tcPr>
            <w:tcW w:type="dxa" w:w="1271"/>
            <w:shd w:fill="D9EAF7"/>
          </w:tcPr>
          <w:p>
            <w:r>
              <w:t>avg_event_return_after_cost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2020</w:t>
            </w:r>
          </w:p>
        </w:tc>
        <w:tc>
          <w:tcPr>
            <w:tcW w:type="dxa" w:w="1271"/>
            <w:vAlign w:val="center"/>
          </w:tcPr>
          <w:p>
            <w:r>
              <w:t>4.79%</w:t>
            </w:r>
          </w:p>
        </w:tc>
        <w:tc>
          <w:tcPr>
            <w:tcW w:type="dxa" w:w="1271"/>
            <w:vAlign w:val="center"/>
          </w:tcPr>
          <w:p>
            <w:r>
              <w:t>2.99%</w:t>
            </w:r>
          </w:p>
        </w:tc>
        <w:tc>
          <w:tcPr>
            <w:tcW w:type="dxa" w:w="1271"/>
            <w:vAlign w:val="center"/>
          </w:tcPr>
          <w:p>
            <w:r>
              <w:t>-4.09%</w:t>
            </w:r>
          </w:p>
        </w:tc>
        <w:tc>
          <w:tcPr>
            <w:tcW w:type="dxa" w:w="1271"/>
            <w:vAlign w:val="center"/>
          </w:tcPr>
          <w:p>
            <w:r>
              <w:t>0.82</w:t>
            </w:r>
          </w:p>
        </w:tc>
        <w:tc>
          <w:tcPr>
            <w:tcW w:type="dxa" w:w="1271"/>
            <w:vAlign w:val="center"/>
          </w:tcPr>
          <w:p>
            <w:r>
              <w:t>7.14%</w:t>
            </w:r>
          </w:p>
        </w:tc>
        <w:tc>
          <w:tcPr>
            <w:tcW w:type="dxa" w:w="1271"/>
            <w:vAlign w:val="center"/>
          </w:tcPr>
          <w:p>
            <w:r>
              <w:t>45</w:t>
            </w:r>
          </w:p>
        </w:tc>
        <w:tc>
          <w:tcPr>
            <w:tcW w:type="dxa" w:w="1271"/>
            <w:vAlign w:val="center"/>
          </w:tcPr>
          <w:p>
            <w:r>
              <w:t>2.52%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2021</w:t>
            </w:r>
          </w:p>
        </w:tc>
        <w:tc>
          <w:tcPr>
            <w:tcW w:type="dxa" w:w="1271"/>
            <w:vAlign w:val="center"/>
          </w:tcPr>
          <w:p>
            <w:r>
              <w:t>2.41%</w:t>
            </w:r>
          </w:p>
        </w:tc>
        <w:tc>
          <w:tcPr>
            <w:tcW w:type="dxa" w:w="1271"/>
            <w:vAlign w:val="center"/>
          </w:tcPr>
          <w:p>
            <w:r>
              <w:t>2.14%</w:t>
            </w:r>
          </w:p>
        </w:tc>
        <w:tc>
          <w:tcPr>
            <w:tcW w:type="dxa" w:w="1271"/>
            <w:vAlign w:val="center"/>
          </w:tcPr>
          <w:p>
            <w:r>
              <w:t>-4.34%</w:t>
            </w:r>
          </w:p>
        </w:tc>
        <w:tc>
          <w:tcPr>
            <w:tcW w:type="dxa" w:w="1271"/>
            <w:vAlign w:val="center"/>
          </w:tcPr>
          <w:p>
            <w:r>
              <w:t>0.47</w:t>
            </w:r>
          </w:p>
        </w:tc>
        <w:tc>
          <w:tcPr>
            <w:tcW w:type="dxa" w:w="1271"/>
            <w:vAlign w:val="center"/>
          </w:tcPr>
          <w:p>
            <w:r>
              <w:t>7.62%</w:t>
            </w:r>
          </w:p>
        </w:tc>
        <w:tc>
          <w:tcPr>
            <w:tcW w:type="dxa" w:w="1271"/>
            <w:vAlign w:val="center"/>
          </w:tcPr>
          <w:p>
            <w:r>
              <w:t>48</w:t>
            </w:r>
          </w:p>
        </w:tc>
        <w:tc>
          <w:tcPr>
            <w:tcW w:type="dxa" w:w="1271"/>
            <w:vAlign w:val="center"/>
          </w:tcPr>
          <w:p>
            <w:r>
              <w:t>1.22%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2022</w:t>
            </w:r>
          </w:p>
        </w:tc>
        <w:tc>
          <w:tcPr>
            <w:tcW w:type="dxa" w:w="1271"/>
            <w:vAlign w:val="center"/>
          </w:tcPr>
          <w:p>
            <w:r>
              <w:t>-4.36%</w:t>
            </w:r>
          </w:p>
        </w:tc>
        <w:tc>
          <w:tcPr>
            <w:tcW w:type="dxa" w:w="1271"/>
            <w:vAlign w:val="center"/>
          </w:tcPr>
          <w:p>
            <w:r>
              <w:t>1.33%</w:t>
            </w:r>
          </w:p>
        </w:tc>
        <w:tc>
          <w:tcPr>
            <w:tcW w:type="dxa" w:w="1271"/>
            <w:vAlign w:val="center"/>
          </w:tcPr>
          <w:p>
            <w:r>
              <w:t>-7.13%</w:t>
            </w:r>
          </w:p>
        </w:tc>
        <w:tc>
          <w:tcPr>
            <w:tcW w:type="dxa" w:w="1271"/>
            <w:vAlign w:val="center"/>
          </w:tcPr>
          <w:p>
            <w:r>
              <w:t>-0.60</w:t>
            </w:r>
          </w:p>
        </w:tc>
        <w:tc>
          <w:tcPr>
            <w:tcW w:type="dxa" w:w="1271"/>
            <w:vAlign w:val="center"/>
          </w:tcPr>
          <w:p>
            <w:r>
              <w:t>7.97%</w:t>
            </w:r>
          </w:p>
        </w:tc>
        <w:tc>
          <w:tcPr>
            <w:tcW w:type="dxa" w:w="1271"/>
            <w:vAlign w:val="center"/>
          </w:tcPr>
          <w:p>
            <w:r>
              <w:t>50</w:t>
            </w:r>
          </w:p>
        </w:tc>
        <w:tc>
          <w:tcPr>
            <w:tcW w:type="dxa" w:w="1271"/>
            <w:vAlign w:val="center"/>
          </w:tcPr>
          <w:p>
            <w:r>
              <w:t>-2.17%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2023</w:t>
            </w:r>
          </w:p>
        </w:tc>
        <w:tc>
          <w:tcPr>
            <w:tcW w:type="dxa" w:w="1271"/>
            <w:vAlign w:val="center"/>
          </w:tcPr>
          <w:p>
            <w:r>
              <w:t>1.07%</w:t>
            </w:r>
          </w:p>
        </w:tc>
        <w:tc>
          <w:tcPr>
            <w:tcW w:type="dxa" w:w="1271"/>
            <w:vAlign w:val="center"/>
          </w:tcPr>
          <w:p>
            <w:r>
              <w:t>0.76%</w:t>
            </w:r>
          </w:p>
        </w:tc>
        <w:tc>
          <w:tcPr>
            <w:tcW w:type="dxa" w:w="1271"/>
            <w:vAlign w:val="center"/>
          </w:tcPr>
          <w:p>
            <w:r>
              <w:t>-3.00%</w:t>
            </w:r>
          </w:p>
        </w:tc>
        <w:tc>
          <w:tcPr>
            <w:tcW w:type="dxa" w:w="1271"/>
            <w:vAlign w:val="center"/>
          </w:tcPr>
          <w:p>
            <w:r>
              <w:t>0.24</w:t>
            </w:r>
          </w:p>
        </w:tc>
        <w:tc>
          <w:tcPr>
            <w:tcW w:type="dxa" w:w="1271"/>
            <w:vAlign w:val="center"/>
          </w:tcPr>
          <w:p>
            <w:r>
              <w:t>7.36%</w:t>
            </w:r>
          </w:p>
        </w:tc>
        <w:tc>
          <w:tcPr>
            <w:tcW w:type="dxa" w:w="1271"/>
            <w:vAlign w:val="center"/>
          </w:tcPr>
          <w:p>
            <w:r>
              <w:t>46</w:t>
            </w:r>
          </w:p>
        </w:tc>
        <w:tc>
          <w:tcPr>
            <w:tcW w:type="dxa" w:w="1271"/>
            <w:vAlign w:val="center"/>
          </w:tcPr>
          <w:p>
            <w:r>
              <w:t>0.62%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2024</w:t>
            </w:r>
          </w:p>
        </w:tc>
        <w:tc>
          <w:tcPr>
            <w:tcW w:type="dxa" w:w="1271"/>
            <w:vAlign w:val="center"/>
          </w:tcPr>
          <w:p>
            <w:r>
              <w:t>2.29%</w:t>
            </w:r>
          </w:p>
        </w:tc>
        <w:tc>
          <w:tcPr>
            <w:tcW w:type="dxa" w:w="1271"/>
            <w:vAlign w:val="center"/>
          </w:tcPr>
          <w:p>
            <w:r>
              <w:t>-0.94%</w:t>
            </w:r>
          </w:p>
        </w:tc>
        <w:tc>
          <w:tcPr>
            <w:tcW w:type="dxa" w:w="1271"/>
            <w:vAlign w:val="center"/>
          </w:tcPr>
          <w:p>
            <w:r>
              <w:t>-3.61%</w:t>
            </w:r>
          </w:p>
        </w:tc>
        <w:tc>
          <w:tcPr>
            <w:tcW w:type="dxa" w:w="1271"/>
            <w:vAlign w:val="center"/>
          </w:tcPr>
          <w:p>
            <w:r>
              <w:t>0.56</w:t>
            </w:r>
          </w:p>
        </w:tc>
        <w:tc>
          <w:tcPr>
            <w:tcW w:type="dxa" w:w="1271"/>
            <w:vAlign w:val="center"/>
          </w:tcPr>
          <w:p>
            <w:r>
              <w:t>6.51%</w:t>
            </w:r>
          </w:p>
        </w:tc>
        <w:tc>
          <w:tcPr>
            <w:tcW w:type="dxa" w:w="1271"/>
            <w:vAlign w:val="center"/>
          </w:tcPr>
          <w:p>
            <w:r>
              <w:t>41</w:t>
            </w:r>
          </w:p>
        </w:tc>
        <w:tc>
          <w:tcPr>
            <w:tcW w:type="dxa" w:w="1271"/>
            <w:vAlign w:val="center"/>
          </w:tcPr>
          <w:p>
            <w:r>
              <w:t>1.28%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2025</w:t>
            </w:r>
          </w:p>
        </w:tc>
        <w:tc>
          <w:tcPr>
            <w:tcW w:type="dxa" w:w="1271"/>
            <w:vAlign w:val="center"/>
          </w:tcPr>
          <w:p>
            <w:r>
              <w:t>-0.66%</w:t>
            </w:r>
          </w:p>
        </w:tc>
        <w:tc>
          <w:tcPr>
            <w:tcW w:type="dxa" w:w="1271"/>
            <w:vAlign w:val="center"/>
          </w:tcPr>
          <w:p>
            <w:r>
              <w:t>-0.08%</w:t>
            </w:r>
          </w:p>
        </w:tc>
        <w:tc>
          <w:tcPr>
            <w:tcW w:type="dxa" w:w="1271"/>
            <w:vAlign w:val="center"/>
          </w:tcPr>
          <w:p>
            <w:r>
              <w:t>-1.36%</w:t>
            </w:r>
          </w:p>
        </w:tc>
        <w:tc>
          <w:tcPr>
            <w:tcW w:type="dxa" w:w="1271"/>
            <w:vAlign w:val="center"/>
          </w:tcPr>
          <w:p>
            <w:r>
              <w:t>-0.36</w:t>
            </w:r>
          </w:p>
        </w:tc>
        <w:tc>
          <w:tcPr>
            <w:tcW w:type="dxa" w:w="1271"/>
            <w:vAlign w:val="center"/>
          </w:tcPr>
          <w:p>
            <w:r>
              <w:t>2.24%</w:t>
            </w:r>
          </w:p>
        </w:tc>
        <w:tc>
          <w:tcPr>
            <w:tcW w:type="dxa" w:w="1271"/>
            <w:vAlign w:val="center"/>
          </w:tcPr>
          <w:p>
            <w:r>
              <w:t>14</w:t>
            </w:r>
          </w:p>
        </w:tc>
        <w:tc>
          <w:tcPr>
            <w:tcW w:type="dxa" w:w="1271"/>
            <w:vAlign w:val="center"/>
          </w:tcPr>
          <w:p>
            <w:r>
              <w:t>-1.22%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2026</w:t>
            </w:r>
          </w:p>
        </w:tc>
        <w:tc>
          <w:tcPr>
            <w:tcW w:type="dxa" w:w="1271"/>
            <w:vAlign w:val="center"/>
          </w:tcPr>
          <w:p>
            <w:r>
              <w:t>2.47%</w:t>
            </w:r>
          </w:p>
        </w:tc>
        <w:tc>
          <w:tcPr>
            <w:tcW w:type="dxa" w:w="1271"/>
            <w:vAlign w:val="center"/>
          </w:tcPr>
          <w:p>
            <w:r>
              <w:t>4.10%</w:t>
            </w:r>
          </w:p>
        </w:tc>
        <w:tc>
          <w:tcPr>
            <w:tcW w:type="dxa" w:w="1271"/>
            <w:vAlign w:val="center"/>
          </w:tcPr>
          <w:p>
            <w:r>
              <w:t>-1.61%</w:t>
            </w:r>
          </w:p>
        </w:tc>
        <w:tc>
          <w:tcPr>
            <w:tcW w:type="dxa" w:w="1271"/>
            <w:vAlign w:val="center"/>
          </w:tcPr>
          <w:p>
            <w:r>
              <w:t>1.47</w:t>
            </w:r>
          </w:p>
        </w:tc>
        <w:tc>
          <w:tcPr>
            <w:tcW w:type="dxa" w:w="1271"/>
            <w:vAlign w:val="center"/>
          </w:tcPr>
          <w:p>
            <w:r>
              <w:t>7.36%</w:t>
            </w:r>
          </w:p>
        </w:tc>
        <w:tc>
          <w:tcPr>
            <w:tcW w:type="dxa" w:w="1271"/>
            <w:vAlign w:val="center"/>
          </w:tcPr>
          <w:p>
            <w:r>
              <w:t>16</w:t>
            </w:r>
          </w:p>
        </w:tc>
        <w:tc>
          <w:tcPr>
            <w:tcW w:type="dxa" w:w="1271"/>
            <w:vAlign w:val="center"/>
          </w:tcPr>
          <w:p>
            <w:r>
              <w:t>3.77%</w:t>
            </w:r>
          </w:p>
        </w:tc>
      </w:tr>
    </w:tbl>
    <w:p>
      <w:pPr>
        <w:pStyle w:val="Heading1"/>
      </w:pPr>
      <w:r>
        <w:t>Selected Trades</w:t>
      </w:r>
    </w:p>
    <w:p>
      <w:pPr>
        <w:pStyle w:val="Heading2"/>
      </w:pPr>
      <w:r>
        <w:t>Top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FTNT</w:t>
            </w:r>
          </w:p>
        </w:tc>
        <w:tc>
          <w:tcPr>
            <w:tcW w:type="dxa" w:w="1694"/>
            <w:vAlign w:val="center"/>
          </w:tcPr>
          <w:p>
            <w:r>
              <w:t>2020-04-30</w:t>
            </w:r>
          </w:p>
        </w:tc>
        <w:tc>
          <w:tcPr>
            <w:tcW w:type="dxa" w:w="1694"/>
            <w:vAlign w:val="center"/>
          </w:tcPr>
          <w:p>
            <w:r>
              <w:t>2020-05-14</w:t>
            </w:r>
          </w:p>
        </w:tc>
        <w:tc>
          <w:tcPr>
            <w:tcW w:type="dxa" w:w="1694"/>
            <w:vAlign w:val="center"/>
          </w:tcPr>
          <w:p>
            <w:r>
              <w:t>0.2794</w:t>
            </w:r>
          </w:p>
        </w:tc>
        <w:tc>
          <w:tcPr>
            <w:tcW w:type="dxa" w:w="1694"/>
            <w:vAlign w:val="center"/>
          </w:tcPr>
          <w:p>
            <w:r>
              <w:t>0.2681</w:t>
            </w:r>
          </w:p>
        </w:tc>
        <w:tc>
          <w:tcPr>
            <w:tcW w:type="dxa" w:w="1694"/>
            <w:vAlign w:val="center"/>
          </w:tcPr>
          <w:p>
            <w:r>
              <w:t>0.9330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2023-03-03</w:t>
            </w:r>
          </w:p>
        </w:tc>
        <w:tc>
          <w:tcPr>
            <w:tcW w:type="dxa" w:w="1694"/>
            <w:vAlign w:val="center"/>
          </w:tcPr>
          <w:p>
            <w:r>
              <w:t>2023-03-17</w:t>
            </w:r>
          </w:p>
        </w:tc>
        <w:tc>
          <w:tcPr>
            <w:tcW w:type="dxa" w:w="1694"/>
            <w:vAlign w:val="center"/>
          </w:tcPr>
          <w:p>
            <w:r>
              <w:t>0.1982</w:t>
            </w:r>
          </w:p>
        </w:tc>
        <w:tc>
          <w:tcPr>
            <w:tcW w:type="dxa" w:w="1694"/>
            <w:vAlign w:val="center"/>
          </w:tcPr>
          <w:p>
            <w:r>
              <w:t>0.1812</w:t>
            </w:r>
          </w:p>
        </w:tc>
        <w:tc>
          <w:tcPr>
            <w:tcW w:type="dxa" w:w="1694"/>
            <w:vAlign w:val="center"/>
          </w:tcPr>
          <w:p>
            <w:r>
              <w:t>0.4629</w:t>
            </w:r>
          </w:p>
        </w:tc>
      </w:tr>
      <w:tr>
        <w:tc>
          <w:tcPr>
            <w:tcW w:type="dxa" w:w="1694"/>
            <w:vAlign w:val="center"/>
          </w:tcPr>
          <w:p>
            <w:r>
              <w:t>FTNT</w:t>
            </w:r>
          </w:p>
        </w:tc>
        <w:tc>
          <w:tcPr>
            <w:tcW w:type="dxa" w:w="1694"/>
            <w:vAlign w:val="center"/>
          </w:tcPr>
          <w:p>
            <w:r>
              <w:t>2024-07-25</w:t>
            </w:r>
          </w:p>
        </w:tc>
        <w:tc>
          <w:tcPr>
            <w:tcW w:type="dxa" w:w="1694"/>
            <w:vAlign w:val="center"/>
          </w:tcPr>
          <w:p>
            <w:r>
              <w:t>2024-08-08</w:t>
            </w:r>
          </w:p>
        </w:tc>
        <w:tc>
          <w:tcPr>
            <w:tcW w:type="dxa" w:w="1694"/>
            <w:vAlign w:val="center"/>
          </w:tcPr>
          <w:p>
            <w:r>
              <w:t>0.1964</w:t>
            </w:r>
          </w:p>
        </w:tc>
        <w:tc>
          <w:tcPr>
            <w:tcW w:type="dxa" w:w="1694"/>
            <w:vAlign w:val="center"/>
          </w:tcPr>
          <w:p>
            <w:r>
              <w:t>0.2207</w:t>
            </w:r>
          </w:p>
        </w:tc>
        <w:tc>
          <w:tcPr>
            <w:tcW w:type="dxa" w:w="1694"/>
            <w:vAlign w:val="center"/>
          </w:tcPr>
          <w:p>
            <w:r>
              <w:t>0.2186</w:t>
            </w:r>
          </w:p>
        </w:tc>
      </w:tr>
      <w:tr>
        <w:tc>
          <w:tcPr>
            <w:tcW w:type="dxa" w:w="1694"/>
            <w:vAlign w:val="center"/>
          </w:tcPr>
          <w:p>
            <w:r>
              <w:t>CRWD</w:t>
            </w:r>
          </w:p>
        </w:tc>
        <w:tc>
          <w:tcPr>
            <w:tcW w:type="dxa" w:w="1694"/>
            <w:vAlign w:val="center"/>
          </w:tcPr>
          <w:p>
            <w:r>
              <w:t>2026-02-27</w:t>
            </w:r>
          </w:p>
        </w:tc>
        <w:tc>
          <w:tcPr>
            <w:tcW w:type="dxa" w:w="1694"/>
            <w:vAlign w:val="center"/>
          </w:tcPr>
          <w:p>
            <w:r>
              <w:t>2026-03-13</w:t>
            </w:r>
          </w:p>
        </w:tc>
        <w:tc>
          <w:tcPr>
            <w:tcW w:type="dxa" w:w="1694"/>
            <w:vAlign w:val="center"/>
          </w:tcPr>
          <w:p>
            <w:r>
              <w:t>0.1856</w:t>
            </w:r>
          </w:p>
        </w:tc>
        <w:tc>
          <w:tcPr>
            <w:tcW w:type="dxa" w:w="1694"/>
            <w:vAlign w:val="center"/>
          </w:tcPr>
          <w:p>
            <w:r>
              <w:t>0.2100</w:t>
            </w:r>
          </w:p>
        </w:tc>
        <w:tc>
          <w:tcPr>
            <w:tcW w:type="dxa" w:w="1694"/>
            <w:vAlign w:val="center"/>
          </w:tcPr>
          <w:p>
            <w:r>
              <w:t>0.4190</w:t>
            </w:r>
          </w:p>
        </w:tc>
      </w:tr>
      <w:tr>
        <w:tc>
          <w:tcPr>
            <w:tcW w:type="dxa" w:w="1694"/>
            <w:vAlign w:val="center"/>
          </w:tcPr>
          <w:p>
            <w:r>
              <w:t>CRWD</w:t>
            </w:r>
          </w:p>
        </w:tc>
        <w:tc>
          <w:tcPr>
            <w:tcW w:type="dxa" w:w="1694"/>
            <w:vAlign w:val="center"/>
          </w:tcPr>
          <w:p>
            <w:r>
              <w:t>2024-09-10</w:t>
            </w:r>
          </w:p>
        </w:tc>
        <w:tc>
          <w:tcPr>
            <w:tcW w:type="dxa" w:w="1694"/>
            <w:vAlign w:val="center"/>
          </w:tcPr>
          <w:p>
            <w:r>
              <w:t>2024-09-24</w:t>
            </w:r>
          </w:p>
        </w:tc>
        <w:tc>
          <w:tcPr>
            <w:tcW w:type="dxa" w:w="1694"/>
            <w:vAlign w:val="center"/>
          </w:tcPr>
          <w:p>
            <w:r>
              <w:t>0.1627</w:t>
            </w:r>
          </w:p>
        </w:tc>
        <w:tc>
          <w:tcPr>
            <w:tcW w:type="dxa" w:w="1694"/>
            <w:vAlign w:val="center"/>
          </w:tcPr>
          <w:p>
            <w:r>
              <w:t>0.1050</w:t>
            </w:r>
          </w:p>
        </w:tc>
        <w:tc>
          <w:tcPr>
            <w:tcW w:type="dxa" w:w="1694"/>
            <w:vAlign w:val="center"/>
          </w:tcPr>
          <w:p>
            <w:r>
              <w:t>0.2569</w:t>
            </w:r>
          </w:p>
        </w:tc>
      </w:tr>
      <w:tr>
        <w:tc>
          <w:tcPr>
            <w:tcW w:type="dxa" w:w="1694"/>
            <w:vAlign w:val="center"/>
          </w:tcPr>
          <w:p>
            <w:r>
              <w:t>CRWD</w:t>
            </w:r>
          </w:p>
        </w:tc>
        <w:tc>
          <w:tcPr>
            <w:tcW w:type="dxa" w:w="1694"/>
            <w:vAlign w:val="center"/>
          </w:tcPr>
          <w:p>
            <w:r>
              <w:t>2020-04-30</w:t>
            </w:r>
          </w:p>
        </w:tc>
        <w:tc>
          <w:tcPr>
            <w:tcW w:type="dxa" w:w="1694"/>
            <w:vAlign w:val="center"/>
          </w:tcPr>
          <w:p>
            <w:r>
              <w:t>2020-05-14</w:t>
            </w:r>
          </w:p>
        </w:tc>
        <w:tc>
          <w:tcPr>
            <w:tcW w:type="dxa" w:w="1694"/>
            <w:vAlign w:val="center"/>
          </w:tcPr>
          <w:p>
            <w:r>
              <w:t>0.1381</w:t>
            </w:r>
          </w:p>
        </w:tc>
        <w:tc>
          <w:tcPr>
            <w:tcW w:type="dxa" w:w="1694"/>
            <w:vAlign w:val="center"/>
          </w:tcPr>
          <w:p>
            <w:r>
              <w:t>0.1268</w:t>
            </w:r>
          </w:p>
        </w:tc>
        <w:tc>
          <w:tcPr>
            <w:tcW w:type="dxa" w:w="1694"/>
            <w:vAlign w:val="center"/>
          </w:tcPr>
          <w:p>
            <w:r>
              <w:t>0.9330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2024-10-23</w:t>
            </w:r>
          </w:p>
        </w:tc>
        <w:tc>
          <w:tcPr>
            <w:tcW w:type="dxa" w:w="1694"/>
            <w:vAlign w:val="center"/>
          </w:tcPr>
          <w:p>
            <w:r>
              <w:t>2024-11-06</w:t>
            </w:r>
          </w:p>
        </w:tc>
        <w:tc>
          <w:tcPr>
            <w:tcW w:type="dxa" w:w="1694"/>
            <w:vAlign w:val="center"/>
          </w:tcPr>
          <w:p>
            <w:r>
              <w:t>0.1377</w:t>
            </w:r>
          </w:p>
        </w:tc>
        <w:tc>
          <w:tcPr>
            <w:tcW w:type="dxa" w:w="1694"/>
            <w:vAlign w:val="center"/>
          </w:tcPr>
          <w:p>
            <w:r>
              <w:t>0.1044</w:t>
            </w:r>
          </w:p>
        </w:tc>
        <w:tc>
          <w:tcPr>
            <w:tcW w:type="dxa" w:w="1694"/>
            <w:vAlign w:val="center"/>
          </w:tcPr>
          <w:p>
            <w:r>
              <w:t>0.1761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2022-10-20</w:t>
            </w:r>
          </w:p>
        </w:tc>
        <w:tc>
          <w:tcPr>
            <w:tcW w:type="dxa" w:w="1694"/>
            <w:vAlign w:val="center"/>
          </w:tcPr>
          <w:p>
            <w:r>
              <w:t>2022-11-03</w:t>
            </w:r>
          </w:p>
        </w:tc>
        <w:tc>
          <w:tcPr>
            <w:tcW w:type="dxa" w:w="1694"/>
            <w:vAlign w:val="center"/>
          </w:tcPr>
          <w:p>
            <w:r>
              <w:t>0.1331</w:t>
            </w:r>
          </w:p>
        </w:tc>
        <w:tc>
          <w:tcPr>
            <w:tcW w:type="dxa" w:w="1694"/>
            <w:vAlign w:val="center"/>
          </w:tcPr>
          <w:p>
            <w:r>
              <w:t>0.1672</w:t>
            </w:r>
          </w:p>
        </w:tc>
        <w:tc>
          <w:tcPr>
            <w:tcW w:type="dxa" w:w="1694"/>
            <w:vAlign w:val="center"/>
          </w:tcPr>
          <w:p>
            <w:r>
              <w:t>0.4915</w:t>
            </w:r>
          </w:p>
        </w:tc>
      </w:tr>
    </w:tbl>
    <w:p>
      <w:pPr>
        <w:pStyle w:val="Heading2"/>
      </w:pPr>
      <w:r>
        <w:t>Bottom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MU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-0.1995</w:t>
            </w:r>
          </w:p>
        </w:tc>
        <w:tc>
          <w:tcPr>
            <w:tcW w:type="dxa" w:w="1694"/>
            <w:vAlign w:val="center"/>
          </w:tcPr>
          <w:p>
            <w:r>
              <w:t>-0.0885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  <w:tr>
        <w:tc>
          <w:tcPr>
            <w:tcW w:type="dxa" w:w="1694"/>
            <w:vAlign w:val="center"/>
          </w:tcPr>
          <w:p>
            <w:r>
              <w:t>AMAT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-0.1958</w:t>
            </w:r>
          </w:p>
        </w:tc>
        <w:tc>
          <w:tcPr>
            <w:tcW w:type="dxa" w:w="1694"/>
            <w:vAlign w:val="center"/>
          </w:tcPr>
          <w:p>
            <w:r>
              <w:t>-0.0848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  <w:tr>
        <w:tc>
          <w:tcPr>
            <w:tcW w:type="dxa" w:w="1694"/>
            <w:vAlign w:val="center"/>
          </w:tcPr>
          <w:p>
            <w:r>
              <w:t>LRCX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-0.1601</w:t>
            </w:r>
          </w:p>
        </w:tc>
        <w:tc>
          <w:tcPr>
            <w:tcW w:type="dxa" w:w="1694"/>
            <w:vAlign w:val="center"/>
          </w:tcPr>
          <w:p>
            <w:r>
              <w:t>-0.0491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-0.1566</w:t>
            </w:r>
          </w:p>
        </w:tc>
        <w:tc>
          <w:tcPr>
            <w:tcW w:type="dxa" w:w="1694"/>
            <w:vAlign w:val="center"/>
          </w:tcPr>
          <w:p>
            <w:r>
              <w:t>-0.0456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-0.1542</w:t>
            </w:r>
          </w:p>
        </w:tc>
        <w:tc>
          <w:tcPr>
            <w:tcW w:type="dxa" w:w="1694"/>
            <w:vAlign w:val="center"/>
          </w:tcPr>
          <w:p>
            <w:r>
              <w:t>-0.0432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-0.1513</w:t>
            </w:r>
          </w:p>
        </w:tc>
        <w:tc>
          <w:tcPr>
            <w:tcW w:type="dxa" w:w="1694"/>
            <w:vAlign w:val="center"/>
          </w:tcPr>
          <w:p>
            <w:r>
              <w:t>-0.0403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  <w:tr>
        <w:tc>
          <w:tcPr>
            <w:tcW w:type="dxa" w:w="1694"/>
            <w:vAlign w:val="center"/>
          </w:tcPr>
          <w:p>
            <w:r>
              <w:t>ADBE</w:t>
            </w:r>
          </w:p>
        </w:tc>
        <w:tc>
          <w:tcPr>
            <w:tcW w:type="dxa" w:w="1694"/>
            <w:vAlign w:val="center"/>
          </w:tcPr>
          <w:p>
            <w:r>
              <w:t>2023-02-14</w:t>
            </w:r>
          </w:p>
        </w:tc>
        <w:tc>
          <w:tcPr>
            <w:tcW w:type="dxa" w:w="1694"/>
            <w:vAlign w:val="center"/>
          </w:tcPr>
          <w:p>
            <w:r>
              <w:t>2023-03-01</w:t>
            </w:r>
          </w:p>
        </w:tc>
        <w:tc>
          <w:tcPr>
            <w:tcW w:type="dxa" w:w="1694"/>
            <w:vAlign w:val="center"/>
          </w:tcPr>
          <w:p>
            <w:r>
              <w:t>-0.1463</w:t>
            </w:r>
          </w:p>
        </w:tc>
        <w:tc>
          <w:tcPr>
            <w:tcW w:type="dxa" w:w="1694"/>
            <w:vAlign w:val="center"/>
          </w:tcPr>
          <w:p>
            <w:r>
              <w:t>-0.0936</w:t>
            </w:r>
          </w:p>
        </w:tc>
        <w:tc>
          <w:tcPr>
            <w:tcW w:type="dxa" w:w="1694"/>
            <w:vAlign w:val="center"/>
          </w:tcPr>
          <w:p>
            <w:r>
              <w:t>0.4031</w:t>
            </w:r>
          </w:p>
        </w:tc>
      </w:tr>
      <w:tr>
        <w:tc>
          <w:tcPr>
            <w:tcW w:type="dxa" w:w="1694"/>
            <w:vAlign w:val="center"/>
          </w:tcPr>
          <w:p>
            <w:r>
              <w:t>TXN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2022-06-13</w:t>
            </w:r>
          </w:p>
        </w:tc>
        <w:tc>
          <w:tcPr>
            <w:tcW w:type="dxa" w:w="1694"/>
            <w:vAlign w:val="center"/>
          </w:tcPr>
          <w:p>
            <w:r>
              <w:t>-0.1393</w:t>
            </w:r>
          </w:p>
        </w:tc>
        <w:tc>
          <w:tcPr>
            <w:tcW w:type="dxa" w:w="1694"/>
            <w:vAlign w:val="center"/>
          </w:tcPr>
          <w:p>
            <w:r>
              <w:t>-0.0283</w:t>
            </w:r>
          </w:p>
        </w:tc>
        <w:tc>
          <w:tcPr>
            <w:tcW w:type="dxa" w:w="1694"/>
            <w:vAlign w:val="center"/>
          </w:tcPr>
          <w:p>
            <w:r>
              <w:t>0.1537</w:t>
            </w:r>
          </w:p>
        </w:tc>
      </w:tr>
    </w:tbl>
    <w:p>
      <w:pPr>
        <w:pStyle w:val="Heading1"/>
      </w:pPr>
      <w:r>
        <w:t>Literature Support</w:t>
      </w:r>
    </w:p>
    <w:p>
      <w:r>
        <w:rPr>
          <w:b/>
        </w:rPr>
        <w:t>Algorithmic Trading and Intra-industry Information Transfers</w:t>
      </w:r>
      <w:r>
        <w:t xml:space="preserve"> - Zhang, Jiang, and Young. </w:t>
      </w:r>
      <w:r>
        <w:t>https://link.springer.com/article/10.1007/s11142-026-09954-3</w:t>
      </w:r>
    </w:p>
    <w:p>
      <w:r>
        <w:rPr>
          <w:b/>
        </w:rPr>
        <w:t>ETFs and Information Transfer Across Firms</w:t>
      </w:r>
      <w:r>
        <w:t xml:space="preserve"> - Bhojraj, Mohanram, and Zhang. </w:t>
      </w:r>
      <w:r>
        <w:t>https://papers.ssrn.com/sol3/papers.cfm?abstract_id=3175382</w:t>
      </w:r>
    </w:p>
    <w:p>
      <w:pPr>
        <w:pStyle w:val="Heading1"/>
      </w:pPr>
      <w:r>
        <w:t>Data and Research Caveats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Requested symbols</w:t>
            </w:r>
          </w:p>
        </w:tc>
        <w:tc>
          <w:tcPr>
            <w:tcW w:type="dxa" w:w="6336"/>
            <w:vAlign w:val="center"/>
          </w:tcPr>
          <w:p>
            <w:r>
              <w:t>51</w:t>
            </w:r>
          </w:p>
        </w:tc>
      </w:tr>
      <w:tr>
        <w:tc>
          <w:tcPr>
            <w:tcW w:type="dxa" w:w="3456"/>
            <w:vAlign w:val="center"/>
          </w:tcPr>
          <w:p>
            <w:r>
              <w:t>Available price symbols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Event count</w:t>
            </w:r>
          </w:p>
        </w:tc>
        <w:tc>
          <w:tcPr>
            <w:tcW w:type="dxa" w:w="6336"/>
            <w:vAlign w:val="center"/>
          </w:tcPr>
          <w:p>
            <w:r>
              <w:t>638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price symbols</w:t>
            </w:r>
          </w:p>
        </w:tc>
        <w:tc>
          <w:tcPr>
            <w:tcW w:type="dxa" w:w="6336"/>
            <w:vAlign w:val="center"/>
          </w:tcPr>
          <w:p>
            <w:r>
              <w:t>SNOW, TSM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earnings symbols</w:t>
            </w:r>
          </w:p>
        </w:tc>
        <w:tc>
          <w:tcPr>
            <w:tcW w:type="dxa" w:w="6336"/>
            <w:vAlign w:val="center"/>
          </w:tcPr>
          <w:p>
            <w:r>
              <w:t>ADI, ADSK, ANET, ASML, CSCO, DDOG, DE, DELL, GOOG, HPE, HPQ, IBM, MPWR, MRVL, NXPI, ON, PYPL, SHOP, SMCI, TSLA, TTD, UBER, WDAY, ZS</w:t>
            </w:r>
          </w:p>
        </w:tc>
      </w:tr>
    </w:tbl>
    <w:p>
      <w:pPr>
        <w:pStyle w:val="ListBullet"/>
      </w:pPr>
      <w:r>
        <w:t>Alpha Vantage earnings history is research-grade and may not be point-in-time revised history.</w:t>
      </w:r>
    </w:p>
    <w:p>
      <w:pPr>
        <w:pStyle w:val="ListBullet"/>
      </w:pPr>
      <w:r>
        <w:t>US universe is curated/current and therefore survivorship-biased.</w:t>
      </w:r>
    </w:p>
    <w:p>
      <w:pPr>
        <w:pStyle w:val="ListBullet"/>
      </w:pPr>
      <w:r>
        <w:t>Daily close-to-close execution approximates earnings timing.</w:t>
      </w:r>
    </w:p>
    <w:p>
      <w:pPr>
        <w:pStyle w:val="ListBullet"/>
      </w:pPr>
      <w:r>
        <w:t>No revenue surprise, guidance, analyst revision, or option-implied move feed is included.</w:t>
      </w:r>
    </w:p>
    <w:p>
      <w:pPr>
        <w:pStyle w:val="Heading1"/>
      </w:pPr>
      <w:r>
        <w:t>Reproducibility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Run directory</w:t>
            </w:r>
          </w:p>
        </w:tc>
        <w:tc>
          <w:tcPr>
            <w:tcW w:type="dxa" w:w="6336"/>
            <w:vAlign w:val="center"/>
          </w:tcPr>
          <w:p>
            <w:r>
              <w:t>.tmp\factor_runs\EBS_v1_leader_confirmed_basket_drift_10d\20260508_123039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Provider URI</w:t>
            </w:r>
          </w:p>
        </w:tc>
        <w:tc>
          <w:tcPr>
            <w:tcW w:type="dxa" w:w="6336"/>
            <w:vAlign w:val="center"/>
          </w:tcPr>
          <w:p>
            <w:r>
              <w:t>~/.qlib/qlib_data/us_data_recent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Command</w:t>
            </w:r>
          </w:p>
        </w:tc>
        <w:tc>
          <w:tcPr>
            <w:tcW w:type="dxa" w:w="6336"/>
            <w:vAlign w:val="center"/>
          </w:tcPr>
          <w:p>
            <w:r>
              <w:t>'scripts\run_earnings_seasonal_factors.py' --factor all --tracking-uri=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