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EBS_v2_leader_follower_gap_40d</w:t>
      </w:r>
    </w:p>
    <w:p>
      <w:pPr>
        <w:jc w:val="center"/>
      </w:pPr>
      <w:r>
        <w:rPr>
          <w:i/>
        </w:rPr>
        <w:t>Qlib-backed Earnings Factor Research Report</w:t>
      </w:r>
    </w:p>
    <w:p>
      <w:pPr>
        <w:pStyle w:val="Heading1"/>
      </w:pPr>
      <w:r>
        <w:t>Research Decision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3456"/>
            <w:shd w:fill="D9EAF7"/>
            <w:vAlign w:val="center"/>
          </w:tcPr>
          <w:p>
            <w:r>
              <w:t>Field</w:t>
            </w:r>
          </w:p>
        </w:tc>
        <w:tc>
          <w:tcPr>
            <w:tcW w:type="dxa" w:w="6336"/>
            <w:shd w:fill="D9EAF7"/>
            <w:vAlign w:val="center"/>
          </w:tcPr>
          <w:p>
            <w:r>
              <w:t>Value</w:t>
            </w:r>
          </w:p>
        </w:tc>
      </w:tr>
      <w:tr>
        <w:tc>
          <w:tcPr>
            <w:tcW w:type="dxa" w:w="3456"/>
            <w:vAlign w:val="center"/>
          </w:tcPr>
          <w:p>
            <w:r>
              <w:t>Research status</w:t>
            </w:r>
          </w:p>
        </w:tc>
        <w:tc>
          <w:tcPr>
            <w:tcW w:type="dxa" w:w="6336"/>
            <w:vAlign w:val="center"/>
          </w:tcPr>
          <w:p>
            <w:r>
              <w:t>research_only</w:t>
            </w:r>
          </w:p>
        </w:tc>
      </w:tr>
      <w:tr>
        <w:tc>
          <w:tcPr>
            <w:tcW w:type="dxa" w:w="3456"/>
            <w:vAlign w:val="center"/>
          </w:tcPr>
          <w:p>
            <w:r>
              <w:t>Selected events</w:t>
            </w:r>
          </w:p>
        </w:tc>
        <w:tc>
          <w:tcPr>
            <w:tcW w:type="dxa" w:w="6336"/>
            <w:vAlign w:val="center"/>
          </w:tcPr>
          <w:p>
            <w:r>
              <w:t>220</w:t>
            </w:r>
          </w:p>
        </w:tc>
      </w:tr>
      <w:tr>
        <w:tc>
          <w:tcPr>
            <w:tcW w:type="dxa" w:w="3456"/>
            <w:vAlign w:val="center"/>
          </w:tcPr>
          <w:p>
            <w:r>
              <w:t>Net cumulative return</w:t>
            </w:r>
          </w:p>
        </w:tc>
        <w:tc>
          <w:tcPr>
            <w:tcW w:type="dxa" w:w="6336"/>
            <w:vAlign w:val="center"/>
          </w:tcPr>
          <w:p>
            <w:r>
              <w:t>32.57%</w:t>
            </w:r>
          </w:p>
        </w:tc>
      </w:tr>
      <w:tr>
        <w:tc>
          <w:tcPr>
            <w:tcW w:type="dxa" w:w="3456"/>
            <w:vAlign w:val="center"/>
          </w:tcPr>
          <w:p>
            <w:r>
              <w:t>Net annualized return</w:t>
            </w:r>
          </w:p>
        </w:tc>
        <w:tc>
          <w:tcPr>
            <w:tcW w:type="dxa" w:w="6336"/>
            <w:vAlign w:val="center"/>
          </w:tcPr>
          <w:p>
            <w:r>
              <w:t>4.56%</w:t>
            </w:r>
          </w:p>
        </w:tc>
      </w:tr>
      <w:tr>
        <w:tc>
          <w:tcPr>
            <w:tcW w:type="dxa" w:w="3456"/>
            <w:vAlign w:val="center"/>
          </w:tcPr>
          <w:p>
            <w:r>
              <w:t>Net Sharpe / IR</w:t>
            </w:r>
          </w:p>
        </w:tc>
        <w:tc>
          <w:tcPr>
            <w:tcW w:type="dxa" w:w="6336"/>
            <w:vAlign w:val="center"/>
          </w:tcPr>
          <w:p>
            <w:r>
              <w:t>0.59</w:t>
            </w:r>
          </w:p>
        </w:tc>
      </w:tr>
      <w:tr>
        <w:tc>
          <w:tcPr>
            <w:tcW w:type="dxa" w:w="3456"/>
            <w:vAlign w:val="center"/>
          </w:tcPr>
          <w:p>
            <w:r>
              <w:t>Max drawdown</w:t>
            </w:r>
          </w:p>
        </w:tc>
        <w:tc>
          <w:tcPr>
            <w:tcW w:type="dxa" w:w="6336"/>
            <w:vAlign w:val="center"/>
          </w:tcPr>
          <w:p>
            <w:r>
              <w:t>-23.32%</w:t>
            </w:r>
          </w:p>
        </w:tc>
      </w:tr>
      <w:tr>
        <w:tc>
          <w:tcPr>
            <w:tcW w:type="dxa" w:w="3456"/>
            <w:vAlign w:val="center"/>
          </w:tcPr>
          <w:p>
            <w:r>
              <w:t>Exposure-matched excess vs QQQ</w:t>
            </w:r>
          </w:p>
        </w:tc>
        <w:tc>
          <w:tcPr>
            <w:tcW w:type="dxa" w:w="6336"/>
            <w:vAlign w:val="center"/>
          </w:tcPr>
          <w:p>
            <w:r>
              <w:t>8.47%</w:t>
            </w:r>
          </w:p>
        </w:tc>
      </w:tr>
      <w:tr>
        <w:tc>
          <w:tcPr>
            <w:tcW w:type="dxa" w:w="3456"/>
            <w:vAlign w:val="center"/>
          </w:tcPr>
          <w:p>
            <w:r>
              <w:t>Excess Sharpe / IR</w:t>
            </w:r>
          </w:p>
        </w:tc>
        <w:tc>
          <w:tcPr>
            <w:tcW w:type="dxa" w:w="6336"/>
            <w:vAlign w:val="center"/>
          </w:tcPr>
          <w:p>
            <w:r>
              <w:t>0.34</w:t>
            </w:r>
          </w:p>
        </w:tc>
      </w:tr>
      <w:tr>
        <w:tc>
          <w:tcPr>
            <w:tcW w:type="dxa" w:w="3456"/>
            <w:vAlign w:val="center"/>
          </w:tcPr>
          <w:p>
            <w:r>
              <w:t>Avg event return after cost</w:t>
            </w:r>
          </w:p>
        </w:tc>
        <w:tc>
          <w:tcPr>
            <w:tcW w:type="dxa" w:w="6336"/>
            <w:vAlign w:val="center"/>
          </w:tcPr>
          <w:p>
            <w:r>
              <w:t>2.81%</w:t>
            </w:r>
          </w:p>
        </w:tc>
      </w:tr>
      <w:tr>
        <w:tc>
          <w:tcPr>
            <w:tcW w:type="dxa" w:w="3456"/>
            <w:vAlign w:val="center"/>
          </w:tcPr>
          <w:p>
            <w:r>
              <w:t>Avg event excess vs QQQ</w:t>
            </w:r>
          </w:p>
        </w:tc>
        <w:tc>
          <w:tcPr>
            <w:tcW w:type="dxa" w:w="6336"/>
            <w:vAlign w:val="center"/>
          </w:tcPr>
          <w:p>
            <w:r>
              <w:t>1.06%</w:t>
            </w:r>
          </w:p>
        </w:tc>
      </w:tr>
      <w:tr>
        <w:tc>
          <w:tcPr>
            <w:tcW w:type="dxa" w:w="3456"/>
            <w:vAlign w:val="center"/>
          </w:tcPr>
          <w:p>
            <w:r>
              <w:t>Selected rank IC vs QQQ excess</w:t>
            </w:r>
          </w:p>
        </w:tc>
        <w:tc>
          <w:tcPr>
            <w:tcW w:type="dxa" w:w="6336"/>
            <w:vAlign w:val="center"/>
          </w:tcPr>
          <w:p>
            <w:r>
              <w:t>-0.021</w:t>
            </w:r>
          </w:p>
        </w:tc>
      </w:tr>
    </w:tbl>
    <w:p>
      <w:pPr>
        <w:pStyle w:val="Heading1"/>
      </w:pPr>
      <w:r>
        <w:t>Research Interpretation</w:t>
      </w:r>
    </w:p>
    <w:p>
      <w:r>
        <w:t>This version produces positive absolute return but weak score IC and material drawdown. It is a candidate for redesign, not a final factor: the leader-follower gap mechanism needs better timing and broader data before it can be trusted.</w:t>
      </w:r>
    </w:p>
    <w:p>
      <w:pPr>
        <w:pStyle w:val="Heading1"/>
      </w:pPr>
      <w:r>
        <w:t>Economic Hypothesis</w:t>
      </w:r>
    </w:p>
    <w:p>
      <w:r>
        <w:t>When leader earnings are strong but later-reporting followers have not fully responded, buy the follower gap and exit before the follower's own earnings date or after 20 trading days.</w:t>
      </w:r>
    </w:p>
    <w:p>
      <w:pPr>
        <w:pStyle w:val="Heading1"/>
      </w:pPr>
      <w:r>
        <w:t>Factor Expression</w:t>
      </w:r>
    </w:p>
    <w:p>
      <w:r>
        <w:rPr>
          <w:b/>
        </w:rPr>
        <w:t xml:space="preserve">gap_score: </w:t>
      </w:r>
      <w:r>
        <w:t>leader_strength + 0.25*(-follower_response_to_trigger / 8% clipped); leader_strength = 0.45*z(leader_surprise_mean) + 0.45*z(leader_excess_mean) + 0.10*leader_hit_component</w:t>
      </w:r>
    </w:p>
    <w:p>
      <w:r>
        <w:rPr>
          <w:b/>
        </w:rPr>
        <w:t xml:space="preserve">selection: </w:t>
      </w:r>
      <w:r>
        <w:t>leader_count &gt;= 2, positive leader surprise/excess, follower response &lt;= 8%, holdable follower has not yet reported</w:t>
      </w:r>
    </w:p>
    <w:p>
      <w:pPr>
        <w:pStyle w:val="Heading1"/>
      </w:pPr>
      <w:r>
        <w:t>Experiment Design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3456"/>
            <w:shd w:fill="D9EAF7"/>
            <w:vAlign w:val="center"/>
          </w:tcPr>
          <w:p>
            <w:r>
              <w:t>Field</w:t>
            </w:r>
          </w:p>
        </w:tc>
        <w:tc>
          <w:tcPr>
            <w:tcW w:type="dxa" w:w="6336"/>
            <w:shd w:fill="D9EAF7"/>
            <w:vAlign w:val="center"/>
          </w:tcPr>
          <w:p>
            <w:r>
              <w:t>Value</w:t>
            </w:r>
          </w:p>
        </w:tc>
      </w:tr>
      <w:tr>
        <w:tc>
          <w:tcPr>
            <w:tcW w:type="dxa" w:w="3456"/>
            <w:vAlign w:val="center"/>
          </w:tcPr>
          <w:p>
            <w:r>
              <w:t>Date range</w:t>
            </w:r>
          </w:p>
        </w:tc>
        <w:tc>
          <w:tcPr>
            <w:tcW w:type="dxa" w:w="6336"/>
            <w:vAlign w:val="center"/>
          </w:tcPr>
          <w:p>
            <w:r>
              <w:t>2020-01-02 to 2026-05-07</w:t>
            </w:r>
          </w:p>
        </w:tc>
      </w:tr>
      <w:tr>
        <w:tc>
          <w:tcPr>
            <w:tcW w:type="dxa" w:w="3456"/>
            <w:vAlign w:val="center"/>
          </w:tcPr>
          <w:p>
            <w:r>
              <w:t>Benchmark</w:t>
            </w:r>
          </w:p>
        </w:tc>
        <w:tc>
          <w:tcPr>
            <w:tcW w:type="dxa" w:w="6336"/>
            <w:vAlign w:val="center"/>
          </w:tcPr>
          <w:p>
            <w:r>
              <w:t>QQQ</w:t>
            </w:r>
          </w:p>
        </w:tc>
      </w:tr>
      <w:tr>
        <w:tc>
          <w:tcPr>
            <w:tcW w:type="dxa" w:w="3456"/>
            <w:vAlign w:val="center"/>
          </w:tcPr>
          <w:p>
            <w:r>
              <w:t>Universe size</w:t>
            </w:r>
          </w:p>
        </w:tc>
        <w:tc>
          <w:tcPr>
            <w:tcW w:type="dxa" w:w="6336"/>
            <w:vAlign w:val="center"/>
          </w:tcPr>
          <w:p>
            <w:r>
              <w:t>49</w:t>
            </w:r>
          </w:p>
        </w:tc>
      </w:tr>
      <w:tr>
        <w:tc>
          <w:tcPr>
            <w:tcW w:type="dxa" w:w="3456"/>
            <w:vAlign w:val="center"/>
          </w:tcPr>
          <w:p>
            <w:r>
              <w:t>Entry</w:t>
            </w:r>
          </w:p>
        </w:tc>
        <w:tc>
          <w:tcPr>
            <w:tcW w:type="dxa" w:w="6336"/>
            <w:vAlign w:val="center"/>
          </w:tcPr>
          <w:p>
            <w:r>
              <w:t>close after leader confirmation</w:t>
            </w:r>
          </w:p>
        </w:tc>
      </w:tr>
      <w:tr>
        <w:tc>
          <w:tcPr>
            <w:tcW w:type="dxa" w:w="3456"/>
            <w:vAlign w:val="center"/>
          </w:tcPr>
          <w:p>
            <w:r>
              <w:t>Exit</w:t>
            </w:r>
          </w:p>
        </w:tc>
        <w:tc>
          <w:tcPr>
            <w:tcW w:type="dxa" w:w="6336"/>
            <w:vAlign w:val="center"/>
          </w:tcPr>
          <w:p>
            <w:r>
              <w:t>earlier of previous close before follower earnings or entry plus 40 trading days</w:t>
            </w:r>
          </w:p>
        </w:tc>
      </w:tr>
      <w:tr>
        <w:tc>
          <w:tcPr>
            <w:tcW w:type="dxa" w:w="3456"/>
            <w:vAlign w:val="center"/>
          </w:tcPr>
          <w:p>
            <w:r>
              <w:t>Hold days</w:t>
            </w:r>
          </w:p>
        </w:tc>
        <w:tc>
          <w:tcPr>
            <w:tcW w:type="dxa" w:w="6336"/>
            <w:vAlign w:val="center"/>
          </w:tcPr>
          <w:p>
            <w:r>
              <w:t>40</w:t>
            </w:r>
          </w:p>
        </w:tc>
      </w:tr>
      <w:tr>
        <w:tc>
          <w:tcPr>
            <w:tcW w:type="dxa" w:w="3456"/>
            <w:vAlign w:val="center"/>
          </w:tcPr>
          <w:p>
            <w:r>
              <w:t>Max active positions</w:t>
            </w:r>
          </w:p>
        </w:tc>
        <w:tc>
          <w:tcPr>
            <w:tcW w:type="dxa" w:w="6336"/>
            <w:vAlign w:val="center"/>
          </w:tcPr>
          <w:p>
            <w:r>
              <w:t>30</w:t>
            </w:r>
          </w:p>
        </w:tc>
      </w:tr>
      <w:tr>
        <w:tc>
          <w:tcPr>
            <w:tcW w:type="dxa" w:w="3456"/>
            <w:vAlign w:val="center"/>
          </w:tcPr>
          <w:p>
            <w:r>
              <w:t>Max weight</w:t>
            </w:r>
          </w:p>
        </w:tc>
        <w:tc>
          <w:tcPr>
            <w:tcW w:type="dxa" w:w="6336"/>
            <w:vAlign w:val="center"/>
          </w:tcPr>
          <w:p>
            <w:r>
              <w:t>0.05</w:t>
            </w:r>
          </w:p>
        </w:tc>
      </w:tr>
      <w:tr>
        <w:tc>
          <w:tcPr>
            <w:tcW w:type="dxa" w:w="3456"/>
            <w:vAlign w:val="center"/>
          </w:tcPr>
          <w:p>
            <w:r>
              <w:t>One-way cost bps</w:t>
            </w:r>
          </w:p>
        </w:tc>
        <w:tc>
          <w:tcPr>
            <w:tcW w:type="dxa" w:w="6336"/>
            <w:vAlign w:val="center"/>
          </w:tcPr>
          <w:p>
            <w:r>
              <w:t>10.0</w:t>
            </w:r>
          </w:p>
        </w:tc>
      </w:tr>
    </w:tbl>
    <w:p>
      <w:pPr>
        <w:pStyle w:val="Heading1"/>
      </w:pPr>
      <w:r>
        <w:t>Signal Diagnostics / IC</w:t>
      </w:r>
    </w:p>
    <w:p>
      <w:r>
        <w:t>Rank IC is computed against the actual strategy holding-horizon return, not just the earnings announcement window. This makes PEAD and basket variants comparable despite different horizons.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c>
          <w:tcPr>
            <w:tcW w:type="dxa" w:w="2033"/>
            <w:shd w:fill="D9EAF7"/>
          </w:tcPr>
          <w:p>
            <w:r>
              <w:t>bucket</w:t>
            </w:r>
          </w:p>
        </w:tc>
        <w:tc>
          <w:tcPr>
            <w:tcW w:type="dxa" w:w="2033"/>
            <w:shd w:fill="D9EAF7"/>
          </w:tcPr>
          <w:p>
            <w:r>
              <w:t>n</w:t>
            </w:r>
          </w:p>
        </w:tc>
        <w:tc>
          <w:tcPr>
            <w:tcW w:type="dxa" w:w="2033"/>
            <w:shd w:fill="D9EAF7"/>
          </w:tcPr>
          <w:p>
            <w:r>
              <w:t>rank_ic_score_vs_ret</w:t>
            </w:r>
          </w:p>
        </w:tc>
        <w:tc>
          <w:tcPr>
            <w:tcW w:type="dxa" w:w="2033"/>
            <w:shd w:fill="D9EAF7"/>
          </w:tcPr>
          <w:p>
            <w:r>
              <w:t>rank_ic_score_vs_excess</w:t>
            </w:r>
          </w:p>
        </w:tc>
        <w:tc>
          <w:tcPr>
            <w:tcW w:type="dxa" w:w="2033"/>
            <w:shd w:fill="D9EAF7"/>
          </w:tcPr>
          <w:p>
            <w:r>
              <w:t>rank_ic_pct_vs_excess</w:t>
            </w:r>
          </w:p>
        </w:tc>
      </w:tr>
      <w:tr>
        <w:tc>
          <w:tcPr>
            <w:tcW w:type="dxa" w:w="2033"/>
            <w:vAlign w:val="center"/>
          </w:tcPr>
          <w:p>
            <w:r>
              <w:t>eligible</w:t>
            </w:r>
          </w:p>
        </w:tc>
        <w:tc>
          <w:tcPr>
            <w:tcW w:type="dxa" w:w="2033"/>
            <w:vAlign w:val="center"/>
          </w:tcPr>
          <w:p>
            <w:r>
              <w:t>220</w:t>
            </w:r>
          </w:p>
        </w:tc>
        <w:tc>
          <w:tcPr>
            <w:tcW w:type="dxa" w:w="2033"/>
            <w:vAlign w:val="center"/>
          </w:tcPr>
          <w:p>
            <w:r>
              <w:t>-0.070</w:t>
            </w:r>
          </w:p>
        </w:tc>
        <w:tc>
          <w:tcPr>
            <w:tcW w:type="dxa" w:w="2033"/>
            <w:vAlign w:val="center"/>
          </w:tcPr>
          <w:p>
            <w:r>
              <w:t>-0.021</w:t>
            </w:r>
          </w:p>
        </w:tc>
        <w:tc>
          <w:tcPr>
            <w:tcW w:type="dxa" w:w="2033"/>
            <w:vAlign w:val="center"/>
          </w:tcPr>
          <w:p>
            <w:r>
              <w:t>n/a</w:t>
            </w:r>
          </w:p>
        </w:tc>
      </w:tr>
      <w:tr>
        <w:tc>
          <w:tcPr>
            <w:tcW w:type="dxa" w:w="2033"/>
            <w:vAlign w:val="center"/>
          </w:tcPr>
          <w:p>
            <w:r>
              <w:t>tradable</w:t>
            </w:r>
          </w:p>
        </w:tc>
        <w:tc>
          <w:tcPr>
            <w:tcW w:type="dxa" w:w="2033"/>
            <w:vAlign w:val="center"/>
          </w:tcPr>
          <w:p>
            <w:r>
              <w:t>220</w:t>
            </w:r>
          </w:p>
        </w:tc>
        <w:tc>
          <w:tcPr>
            <w:tcW w:type="dxa" w:w="2033"/>
            <w:vAlign w:val="center"/>
          </w:tcPr>
          <w:p>
            <w:r>
              <w:t>-0.070</w:t>
            </w:r>
          </w:p>
        </w:tc>
        <w:tc>
          <w:tcPr>
            <w:tcW w:type="dxa" w:w="2033"/>
            <w:vAlign w:val="center"/>
          </w:tcPr>
          <w:p>
            <w:r>
              <w:t>-0.021</w:t>
            </w:r>
          </w:p>
        </w:tc>
        <w:tc>
          <w:tcPr>
            <w:tcW w:type="dxa" w:w="2033"/>
            <w:vAlign w:val="center"/>
          </w:tcPr>
          <w:p>
            <w:r>
              <w:t>n/a</w:t>
            </w:r>
          </w:p>
        </w:tc>
      </w:tr>
      <w:tr>
        <w:tc>
          <w:tcPr>
            <w:tcW w:type="dxa" w:w="2033"/>
            <w:vAlign w:val="center"/>
          </w:tcPr>
          <w:p>
            <w:r>
              <w:t>selected</w:t>
            </w:r>
          </w:p>
        </w:tc>
        <w:tc>
          <w:tcPr>
            <w:tcW w:type="dxa" w:w="2033"/>
            <w:vAlign w:val="center"/>
          </w:tcPr>
          <w:p>
            <w:r>
              <w:t>220</w:t>
            </w:r>
          </w:p>
        </w:tc>
        <w:tc>
          <w:tcPr>
            <w:tcW w:type="dxa" w:w="2033"/>
            <w:vAlign w:val="center"/>
          </w:tcPr>
          <w:p>
            <w:r>
              <w:t>-0.070</w:t>
            </w:r>
          </w:p>
        </w:tc>
        <w:tc>
          <w:tcPr>
            <w:tcW w:type="dxa" w:w="2033"/>
            <w:vAlign w:val="center"/>
          </w:tcPr>
          <w:p>
            <w:r>
              <w:t>-0.021</w:t>
            </w:r>
          </w:p>
        </w:tc>
        <w:tc>
          <w:tcPr>
            <w:tcW w:type="dxa" w:w="2033"/>
            <w:vAlign w:val="center"/>
          </w:tcPr>
          <w:p>
            <w:r>
              <w:t>n/a</w:t>
            </w:r>
          </w:p>
        </w:tc>
      </w:tr>
    </w:tbl>
    <w:p>
      <w:pPr>
        <w:pStyle w:val="Heading1"/>
      </w:pPr>
      <w:r>
        <w:t>Performance Charts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29260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umulative_retur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926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Cumulative return: strategy, exposure-matched QQQ, and excess return.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29260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rawdow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926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Net strategy drawdown.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29260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yearly_return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926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Yearly strategy and excess returns.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247091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osur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4709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Daily portfolio exposure.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292608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ent_return_distribut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926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Selected event return distribution after cost.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292608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ted_trade_timelin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926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Selected trade timeline.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292608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ore_vs_event_retur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926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Score versus realized event return.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2512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p_bottom_trade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51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Top and bottom selected trades.</w:t>
      </w:r>
    </w:p>
    <w:p>
      <w:pPr>
        <w:pStyle w:val="Heading1"/>
      </w:pPr>
      <w:r>
        <w:t>Metrics by Year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71"/>
        <w:gridCol w:w="1271"/>
        <w:gridCol w:w="1271"/>
        <w:gridCol w:w="1271"/>
        <w:gridCol w:w="1271"/>
        <w:gridCol w:w="1271"/>
        <w:gridCol w:w="1271"/>
        <w:gridCol w:w="1271"/>
      </w:tblGrid>
      <w:tr>
        <w:tc>
          <w:tcPr>
            <w:tcW w:type="dxa" w:w="1271"/>
            <w:shd w:fill="D9EAF7"/>
          </w:tcPr>
          <w:p>
            <w:r>
              <w:t>year</w:t>
            </w:r>
          </w:p>
        </w:tc>
        <w:tc>
          <w:tcPr>
            <w:tcW w:type="dxa" w:w="1271"/>
            <w:shd w:fill="D9EAF7"/>
          </w:tcPr>
          <w:p>
            <w:r>
              <w:t>strategy_net_return</w:t>
            </w:r>
          </w:p>
        </w:tc>
        <w:tc>
          <w:tcPr>
            <w:tcW w:type="dxa" w:w="1271"/>
            <w:shd w:fill="D9EAF7"/>
          </w:tcPr>
          <w:p>
            <w:r>
              <w:t>excess_vs_QQQ_year_return</w:t>
            </w:r>
          </w:p>
        </w:tc>
        <w:tc>
          <w:tcPr>
            <w:tcW w:type="dxa" w:w="1271"/>
            <w:shd w:fill="D9EAF7"/>
          </w:tcPr>
          <w:p>
            <w:r>
              <w:t>max_drawdown</w:t>
            </w:r>
          </w:p>
        </w:tc>
        <w:tc>
          <w:tcPr>
            <w:tcW w:type="dxa" w:w="1271"/>
            <w:shd w:fill="D9EAF7"/>
          </w:tcPr>
          <w:p>
            <w:r>
              <w:t>sharpe</w:t>
            </w:r>
          </w:p>
        </w:tc>
        <w:tc>
          <w:tcPr>
            <w:tcW w:type="dxa" w:w="1271"/>
            <w:shd w:fill="D9EAF7"/>
          </w:tcPr>
          <w:p>
            <w:r>
              <w:t>avg_exposure</w:t>
            </w:r>
          </w:p>
        </w:tc>
        <w:tc>
          <w:tcPr>
            <w:tcW w:type="dxa" w:w="1271"/>
            <w:shd w:fill="D9EAF7"/>
          </w:tcPr>
          <w:p>
            <w:r>
              <w:t>selected_events</w:t>
            </w:r>
          </w:p>
        </w:tc>
        <w:tc>
          <w:tcPr>
            <w:tcW w:type="dxa" w:w="1271"/>
            <w:shd w:fill="D9EAF7"/>
          </w:tcPr>
          <w:p>
            <w:r>
              <w:t>avg_event_return_after_cost</w:t>
            </w:r>
          </w:p>
        </w:tc>
      </w:tr>
      <w:tr>
        <w:tc>
          <w:tcPr>
            <w:tcW w:type="dxa" w:w="1271"/>
            <w:vAlign w:val="center"/>
          </w:tcPr>
          <w:p>
            <w:r>
              <w:t>2020</w:t>
            </w:r>
          </w:p>
        </w:tc>
        <w:tc>
          <w:tcPr>
            <w:tcW w:type="dxa" w:w="1271"/>
            <w:vAlign w:val="center"/>
          </w:tcPr>
          <w:p>
            <w:r>
              <w:t>10.05%</w:t>
            </w:r>
          </w:p>
        </w:tc>
        <w:tc>
          <w:tcPr>
            <w:tcW w:type="dxa" w:w="1271"/>
            <w:vAlign w:val="center"/>
          </w:tcPr>
          <w:p>
            <w:r>
              <w:t>0.91%</w:t>
            </w:r>
          </w:p>
        </w:tc>
        <w:tc>
          <w:tcPr>
            <w:tcW w:type="dxa" w:w="1271"/>
            <w:vAlign w:val="center"/>
          </w:tcPr>
          <w:p>
            <w:r>
              <w:t>-3.36%</w:t>
            </w:r>
          </w:p>
        </w:tc>
        <w:tc>
          <w:tcPr>
            <w:tcW w:type="dxa" w:w="1271"/>
            <w:vAlign w:val="center"/>
          </w:tcPr>
          <w:p>
            <w:r>
              <w:t>1.27</w:t>
            </w:r>
          </w:p>
        </w:tc>
        <w:tc>
          <w:tcPr>
            <w:tcW w:type="dxa" w:w="1271"/>
            <w:vAlign w:val="center"/>
          </w:tcPr>
          <w:p>
            <w:r>
              <w:t>16.51%</w:t>
            </w:r>
          </w:p>
        </w:tc>
        <w:tc>
          <w:tcPr>
            <w:tcW w:type="dxa" w:w="1271"/>
            <w:vAlign w:val="center"/>
          </w:tcPr>
          <w:p>
            <w:r>
              <w:t>38</w:t>
            </w:r>
          </w:p>
        </w:tc>
        <w:tc>
          <w:tcPr>
            <w:tcW w:type="dxa" w:w="1271"/>
            <w:vAlign w:val="center"/>
          </w:tcPr>
          <w:p>
            <w:r>
              <w:t>6.57%</w:t>
            </w:r>
          </w:p>
        </w:tc>
      </w:tr>
      <w:tr>
        <w:tc>
          <w:tcPr>
            <w:tcW w:type="dxa" w:w="1271"/>
            <w:vAlign w:val="center"/>
          </w:tcPr>
          <w:p>
            <w:r>
              <w:t>2021</w:t>
            </w:r>
          </w:p>
        </w:tc>
        <w:tc>
          <w:tcPr>
            <w:tcW w:type="dxa" w:w="1271"/>
            <w:vAlign w:val="center"/>
          </w:tcPr>
          <w:p>
            <w:r>
              <w:t>11.69%</w:t>
            </w:r>
          </w:p>
        </w:tc>
        <w:tc>
          <w:tcPr>
            <w:tcW w:type="dxa" w:w="1271"/>
            <w:vAlign w:val="center"/>
          </w:tcPr>
          <w:p>
            <w:r>
              <w:t>2.67%</w:t>
            </w:r>
          </w:p>
        </w:tc>
        <w:tc>
          <w:tcPr>
            <w:tcW w:type="dxa" w:w="1271"/>
            <w:vAlign w:val="center"/>
          </w:tcPr>
          <w:p>
            <w:r>
              <w:t>-4.44%</w:t>
            </w:r>
          </w:p>
        </w:tc>
        <w:tc>
          <w:tcPr>
            <w:tcW w:type="dxa" w:w="1271"/>
            <w:vAlign w:val="center"/>
          </w:tcPr>
          <w:p>
            <w:r>
              <w:t>1.34</w:t>
            </w:r>
          </w:p>
        </w:tc>
        <w:tc>
          <w:tcPr>
            <w:tcW w:type="dxa" w:w="1271"/>
            <w:vAlign w:val="center"/>
          </w:tcPr>
          <w:p>
            <w:r>
              <w:t>25.32%</w:t>
            </w:r>
          </w:p>
        </w:tc>
        <w:tc>
          <w:tcPr>
            <w:tcW w:type="dxa" w:w="1271"/>
            <w:vAlign w:val="center"/>
          </w:tcPr>
          <w:p>
            <w:r>
              <w:t>41</w:t>
            </w:r>
          </w:p>
        </w:tc>
        <w:tc>
          <w:tcPr>
            <w:tcW w:type="dxa" w:w="1271"/>
            <w:vAlign w:val="center"/>
          </w:tcPr>
          <w:p>
            <w:r>
              <w:t>1.85%</w:t>
            </w:r>
          </w:p>
        </w:tc>
      </w:tr>
      <w:tr>
        <w:tc>
          <w:tcPr>
            <w:tcW w:type="dxa" w:w="1271"/>
            <w:vAlign w:val="center"/>
          </w:tcPr>
          <w:p>
            <w:r>
              <w:t>2022</w:t>
            </w:r>
          </w:p>
        </w:tc>
        <w:tc>
          <w:tcPr>
            <w:tcW w:type="dxa" w:w="1271"/>
            <w:vAlign w:val="center"/>
          </w:tcPr>
          <w:p>
            <w:r>
              <w:t>-21.98%</w:t>
            </w:r>
          </w:p>
        </w:tc>
        <w:tc>
          <w:tcPr>
            <w:tcW w:type="dxa" w:w="1271"/>
            <w:vAlign w:val="center"/>
          </w:tcPr>
          <w:p>
            <w:r>
              <w:t>-8.37%</w:t>
            </w:r>
          </w:p>
        </w:tc>
        <w:tc>
          <w:tcPr>
            <w:tcW w:type="dxa" w:w="1271"/>
            <w:vAlign w:val="center"/>
          </w:tcPr>
          <w:p>
            <w:r>
              <w:t>-22.68%</w:t>
            </w:r>
          </w:p>
        </w:tc>
        <w:tc>
          <w:tcPr>
            <w:tcW w:type="dxa" w:w="1271"/>
            <w:vAlign w:val="center"/>
          </w:tcPr>
          <w:p>
            <w:r>
              <w:t>-2.12</w:t>
            </w:r>
          </w:p>
        </w:tc>
        <w:tc>
          <w:tcPr>
            <w:tcW w:type="dxa" w:w="1271"/>
            <w:vAlign w:val="center"/>
          </w:tcPr>
          <w:p>
            <w:r>
              <w:t>21.95%</w:t>
            </w:r>
          </w:p>
        </w:tc>
        <w:tc>
          <w:tcPr>
            <w:tcW w:type="dxa" w:w="1271"/>
            <w:vAlign w:val="center"/>
          </w:tcPr>
          <w:p>
            <w:r>
              <w:t>35</w:t>
            </w:r>
          </w:p>
        </w:tc>
        <w:tc>
          <w:tcPr>
            <w:tcW w:type="dxa" w:w="1271"/>
            <w:vAlign w:val="center"/>
          </w:tcPr>
          <w:p>
            <w:r>
              <w:t>-9.42%</w:t>
            </w:r>
          </w:p>
        </w:tc>
      </w:tr>
      <w:tr>
        <w:tc>
          <w:tcPr>
            <w:tcW w:type="dxa" w:w="1271"/>
            <w:vAlign w:val="center"/>
          </w:tcPr>
          <w:p>
            <w:r>
              <w:t>2023</w:t>
            </w:r>
          </w:p>
        </w:tc>
        <w:tc>
          <w:tcPr>
            <w:tcW w:type="dxa" w:w="1271"/>
            <w:vAlign w:val="center"/>
          </w:tcPr>
          <w:p>
            <w:r>
              <w:t>16.94%</w:t>
            </w:r>
          </w:p>
        </w:tc>
        <w:tc>
          <w:tcPr>
            <w:tcW w:type="dxa" w:w="1271"/>
            <w:vAlign w:val="center"/>
          </w:tcPr>
          <w:p>
            <w:r>
              <w:t>3.41%</w:t>
            </w:r>
          </w:p>
        </w:tc>
        <w:tc>
          <w:tcPr>
            <w:tcW w:type="dxa" w:w="1271"/>
            <w:vAlign w:val="center"/>
          </w:tcPr>
          <w:p>
            <w:r>
              <w:t>-4.14%</w:t>
            </w:r>
          </w:p>
        </w:tc>
        <w:tc>
          <w:tcPr>
            <w:tcW w:type="dxa" w:w="1271"/>
            <w:vAlign w:val="center"/>
          </w:tcPr>
          <w:p>
            <w:r>
              <w:t>2.15</w:t>
            </w:r>
          </w:p>
        </w:tc>
        <w:tc>
          <w:tcPr>
            <w:tcW w:type="dxa" w:w="1271"/>
            <w:vAlign w:val="center"/>
          </w:tcPr>
          <w:p>
            <w:r>
              <w:t>24.46%</w:t>
            </w:r>
          </w:p>
        </w:tc>
        <w:tc>
          <w:tcPr>
            <w:tcW w:type="dxa" w:w="1271"/>
            <w:vAlign w:val="center"/>
          </w:tcPr>
          <w:p>
            <w:r>
              <w:t>42</w:t>
            </w:r>
          </w:p>
        </w:tc>
        <w:tc>
          <w:tcPr>
            <w:tcW w:type="dxa" w:w="1271"/>
            <w:vAlign w:val="center"/>
          </w:tcPr>
          <w:p>
            <w:r>
              <w:t>6.75%</w:t>
            </w:r>
          </w:p>
        </w:tc>
      </w:tr>
      <w:tr>
        <w:tc>
          <w:tcPr>
            <w:tcW w:type="dxa" w:w="1271"/>
            <w:vAlign w:val="center"/>
          </w:tcPr>
          <w:p>
            <w:r>
              <w:t>2024</w:t>
            </w:r>
          </w:p>
        </w:tc>
        <w:tc>
          <w:tcPr>
            <w:tcW w:type="dxa" w:w="1271"/>
            <w:vAlign w:val="center"/>
          </w:tcPr>
          <w:p>
            <w:r>
              <w:t>0.98%</w:t>
            </w:r>
          </w:p>
        </w:tc>
        <w:tc>
          <w:tcPr>
            <w:tcW w:type="dxa" w:w="1271"/>
            <w:vAlign w:val="center"/>
          </w:tcPr>
          <w:p>
            <w:r>
              <w:t>-0.67%</w:t>
            </w:r>
          </w:p>
        </w:tc>
        <w:tc>
          <w:tcPr>
            <w:tcW w:type="dxa" w:w="1271"/>
            <w:vAlign w:val="center"/>
          </w:tcPr>
          <w:p>
            <w:r>
              <w:t>-6.15%</w:t>
            </w:r>
          </w:p>
        </w:tc>
        <w:tc>
          <w:tcPr>
            <w:tcW w:type="dxa" w:w="1271"/>
            <w:vAlign w:val="center"/>
          </w:tcPr>
          <w:p>
            <w:r>
              <w:t>0.19</w:t>
            </w:r>
          </w:p>
        </w:tc>
        <w:tc>
          <w:tcPr>
            <w:tcW w:type="dxa" w:w="1271"/>
            <w:vAlign w:val="center"/>
          </w:tcPr>
          <w:p>
            <w:r>
              <w:t>16.73%</w:t>
            </w:r>
          </w:p>
        </w:tc>
        <w:tc>
          <w:tcPr>
            <w:tcW w:type="dxa" w:w="1271"/>
            <w:vAlign w:val="center"/>
          </w:tcPr>
          <w:p>
            <w:r>
              <w:t>27</w:t>
            </w:r>
          </w:p>
        </w:tc>
        <w:tc>
          <w:tcPr>
            <w:tcW w:type="dxa" w:w="1271"/>
            <w:vAlign w:val="center"/>
          </w:tcPr>
          <w:p>
            <w:r>
              <w:t>-0.61%</w:t>
            </w:r>
          </w:p>
        </w:tc>
      </w:tr>
      <w:tr>
        <w:tc>
          <w:tcPr>
            <w:tcW w:type="dxa" w:w="1271"/>
            <w:vAlign w:val="center"/>
          </w:tcPr>
          <w:p>
            <w:r>
              <w:t>2025</w:t>
            </w:r>
          </w:p>
        </w:tc>
        <w:tc>
          <w:tcPr>
            <w:tcW w:type="dxa" w:w="1271"/>
            <w:vAlign w:val="center"/>
          </w:tcPr>
          <w:p>
            <w:r>
              <w:t>3.79%</w:t>
            </w:r>
          </w:p>
        </w:tc>
        <w:tc>
          <w:tcPr>
            <w:tcW w:type="dxa" w:w="1271"/>
            <w:vAlign w:val="center"/>
          </w:tcPr>
          <w:p>
            <w:r>
              <w:t>2.00%</w:t>
            </w:r>
          </w:p>
        </w:tc>
        <w:tc>
          <w:tcPr>
            <w:tcW w:type="dxa" w:w="1271"/>
            <w:vAlign w:val="center"/>
          </w:tcPr>
          <w:p>
            <w:r>
              <w:t>-3.93%</w:t>
            </w:r>
          </w:p>
        </w:tc>
        <w:tc>
          <w:tcPr>
            <w:tcW w:type="dxa" w:w="1271"/>
            <w:vAlign w:val="center"/>
          </w:tcPr>
          <w:p>
            <w:r>
              <w:t>0.74</w:t>
            </w:r>
          </w:p>
        </w:tc>
        <w:tc>
          <w:tcPr>
            <w:tcW w:type="dxa" w:w="1271"/>
            <w:vAlign w:val="center"/>
          </w:tcPr>
          <w:p>
            <w:r>
              <w:t>10.90%</w:t>
            </w:r>
          </w:p>
        </w:tc>
        <w:tc>
          <w:tcPr>
            <w:tcW w:type="dxa" w:w="1271"/>
            <w:vAlign w:val="center"/>
          </w:tcPr>
          <w:p>
            <w:r>
              <w:t>25</w:t>
            </w:r>
          </w:p>
        </w:tc>
        <w:tc>
          <w:tcPr>
            <w:tcW w:type="dxa" w:w="1271"/>
            <w:vAlign w:val="center"/>
          </w:tcPr>
          <w:p>
            <w:r>
              <w:t>7.10%</w:t>
            </w:r>
          </w:p>
        </w:tc>
      </w:tr>
      <w:tr>
        <w:tc>
          <w:tcPr>
            <w:tcW w:type="dxa" w:w="1271"/>
            <w:vAlign w:val="center"/>
          </w:tcPr>
          <w:p>
            <w:r>
              <w:t>2026</w:t>
            </w:r>
          </w:p>
        </w:tc>
        <w:tc>
          <w:tcPr>
            <w:tcW w:type="dxa" w:w="1271"/>
            <w:vAlign w:val="center"/>
          </w:tcPr>
          <w:p>
            <w:r>
              <w:t>12.79%</w:t>
            </w:r>
          </w:p>
        </w:tc>
        <w:tc>
          <w:tcPr>
            <w:tcW w:type="dxa" w:w="1271"/>
            <w:vAlign w:val="center"/>
          </w:tcPr>
          <w:p>
            <w:r>
              <w:t>9.06%</w:t>
            </w:r>
          </w:p>
        </w:tc>
        <w:tc>
          <w:tcPr>
            <w:tcW w:type="dxa" w:w="1271"/>
            <w:vAlign w:val="center"/>
          </w:tcPr>
          <w:p>
            <w:r>
              <w:t>-3.07%</w:t>
            </w:r>
          </w:p>
        </w:tc>
        <w:tc>
          <w:tcPr>
            <w:tcW w:type="dxa" w:w="1271"/>
            <w:vAlign w:val="center"/>
          </w:tcPr>
          <w:p>
            <w:r>
              <w:t>3.54</w:t>
            </w:r>
          </w:p>
        </w:tc>
        <w:tc>
          <w:tcPr>
            <w:tcW w:type="dxa" w:w="1271"/>
            <w:vAlign w:val="center"/>
          </w:tcPr>
          <w:p>
            <w:r>
              <w:t>27.01%</w:t>
            </w:r>
          </w:p>
        </w:tc>
        <w:tc>
          <w:tcPr>
            <w:tcW w:type="dxa" w:w="1271"/>
            <w:vAlign w:val="center"/>
          </w:tcPr>
          <w:p>
            <w:r>
              <w:t>12</w:t>
            </w:r>
          </w:p>
        </w:tc>
        <w:tc>
          <w:tcPr>
            <w:tcW w:type="dxa" w:w="1271"/>
            <w:vAlign w:val="center"/>
          </w:tcPr>
          <w:p>
            <w:r>
              <w:t>14.76%</w:t>
            </w:r>
          </w:p>
        </w:tc>
      </w:tr>
    </w:tbl>
    <w:p>
      <w:pPr>
        <w:pStyle w:val="Heading1"/>
      </w:pPr>
      <w:r>
        <w:t>Selected Trades</w:t>
      </w:r>
    </w:p>
    <w:p>
      <w:pPr>
        <w:pStyle w:val="Heading2"/>
      </w:pPr>
      <w:r>
        <w:t>Top trades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94"/>
        <w:gridCol w:w="1694"/>
        <w:gridCol w:w="1694"/>
        <w:gridCol w:w="1694"/>
        <w:gridCol w:w="1694"/>
        <w:gridCol w:w="1694"/>
      </w:tblGrid>
      <w:tr>
        <w:tc>
          <w:tcPr>
            <w:tcW w:type="dxa" w:w="1694"/>
            <w:shd w:fill="D9EAF7"/>
          </w:tcPr>
          <w:p>
            <w:r>
              <w:t>symbol</w:t>
            </w:r>
          </w:p>
        </w:tc>
        <w:tc>
          <w:tcPr>
            <w:tcW w:type="dxa" w:w="1694"/>
            <w:shd w:fill="D9EAF7"/>
          </w:tcPr>
          <w:p>
            <w:r>
              <w:t>entry_date</w:t>
            </w:r>
          </w:p>
        </w:tc>
        <w:tc>
          <w:tcPr>
            <w:tcW w:type="dxa" w:w="1694"/>
            <w:shd w:fill="D9EAF7"/>
          </w:tcPr>
          <w:p>
            <w:r>
              <w:t>exit_date</w:t>
            </w:r>
          </w:p>
        </w:tc>
        <w:tc>
          <w:tcPr>
            <w:tcW w:type="dxa" w:w="1694"/>
            <w:shd w:fill="D9EAF7"/>
          </w:tcPr>
          <w:p>
            <w:r>
              <w:t>event_return_after_cost</w:t>
            </w:r>
          </w:p>
        </w:tc>
        <w:tc>
          <w:tcPr>
            <w:tcW w:type="dxa" w:w="1694"/>
            <w:shd w:fill="D9EAF7"/>
          </w:tcPr>
          <w:p>
            <w:r>
              <w:t>excess_vs_QQQ_event_return</w:t>
            </w:r>
          </w:p>
        </w:tc>
        <w:tc>
          <w:tcPr>
            <w:tcW w:type="dxa" w:w="1694"/>
            <w:shd w:fill="D9EAF7"/>
          </w:tcPr>
          <w:p>
            <w:r>
              <w:t>rank_score</w:t>
            </w:r>
          </w:p>
        </w:tc>
      </w:tr>
      <w:tr>
        <w:tc>
          <w:tcPr>
            <w:tcW w:type="dxa" w:w="1694"/>
            <w:vAlign w:val="center"/>
          </w:tcPr>
          <w:p>
            <w:r>
              <w:t>AMD</w:t>
            </w:r>
          </w:p>
        </w:tc>
        <w:tc>
          <w:tcPr>
            <w:tcW w:type="dxa" w:w="1694"/>
            <w:vAlign w:val="center"/>
          </w:tcPr>
          <w:p>
            <w:r>
              <w:t>2026-02-26</w:t>
            </w:r>
          </w:p>
        </w:tc>
        <w:tc>
          <w:tcPr>
            <w:tcW w:type="dxa" w:w="1694"/>
            <w:vAlign w:val="center"/>
          </w:tcPr>
          <w:p>
            <w:r>
              <w:t>2026-04-24</w:t>
            </w:r>
          </w:p>
        </w:tc>
        <w:tc>
          <w:tcPr>
            <w:tcW w:type="dxa" w:w="1694"/>
            <w:vAlign w:val="center"/>
          </w:tcPr>
          <w:p>
            <w:r>
              <w:t>0.7056</w:t>
            </w:r>
          </w:p>
        </w:tc>
        <w:tc>
          <w:tcPr>
            <w:tcW w:type="dxa" w:w="1694"/>
            <w:vAlign w:val="center"/>
          </w:tcPr>
          <w:p>
            <w:r>
              <w:t>0.6166</w:t>
            </w:r>
          </w:p>
        </w:tc>
        <w:tc>
          <w:tcPr>
            <w:tcW w:type="dxa" w:w="1694"/>
            <w:vAlign w:val="center"/>
          </w:tcPr>
          <w:p>
            <w:r>
              <w:t>0.3443</w:t>
            </w:r>
          </w:p>
        </w:tc>
      </w:tr>
      <w:tr>
        <w:tc>
          <w:tcPr>
            <w:tcW w:type="dxa" w:w="1694"/>
            <w:vAlign w:val="center"/>
          </w:tcPr>
          <w:p>
            <w:r>
              <w:t>LRCX</w:t>
            </w:r>
          </w:p>
        </w:tc>
        <w:tc>
          <w:tcPr>
            <w:tcW w:type="dxa" w:w="1694"/>
            <w:vAlign w:val="center"/>
          </w:tcPr>
          <w:p>
            <w:r>
              <w:t>2025-11-20</w:t>
            </w:r>
          </w:p>
        </w:tc>
        <w:tc>
          <w:tcPr>
            <w:tcW w:type="dxa" w:w="1694"/>
            <w:vAlign w:val="center"/>
          </w:tcPr>
          <w:p>
            <w:r>
              <w:t>2026-01-21</w:t>
            </w:r>
          </w:p>
        </w:tc>
        <w:tc>
          <w:tcPr>
            <w:tcW w:type="dxa" w:w="1694"/>
            <w:vAlign w:val="center"/>
          </w:tcPr>
          <w:p>
            <w:r>
              <w:t>0.6368</w:t>
            </w:r>
          </w:p>
        </w:tc>
        <w:tc>
          <w:tcPr>
            <w:tcW w:type="dxa" w:w="1694"/>
            <w:vAlign w:val="center"/>
          </w:tcPr>
          <w:p>
            <w:r>
              <w:t>0.5852</w:t>
            </w:r>
          </w:p>
        </w:tc>
        <w:tc>
          <w:tcPr>
            <w:tcW w:type="dxa" w:w="1694"/>
            <w:vAlign w:val="center"/>
          </w:tcPr>
          <w:p>
            <w:r>
              <w:t>0.5365</w:t>
            </w:r>
          </w:p>
        </w:tc>
      </w:tr>
      <w:tr>
        <w:tc>
          <w:tcPr>
            <w:tcW w:type="dxa" w:w="1694"/>
            <w:vAlign w:val="center"/>
          </w:tcPr>
          <w:p>
            <w:r>
              <w:t>INTC</w:t>
            </w:r>
          </w:p>
        </w:tc>
        <w:tc>
          <w:tcPr>
            <w:tcW w:type="dxa" w:w="1694"/>
            <w:vAlign w:val="center"/>
          </w:tcPr>
          <w:p>
            <w:r>
              <w:t>2025-11-20</w:t>
            </w:r>
          </w:p>
        </w:tc>
        <w:tc>
          <w:tcPr>
            <w:tcW w:type="dxa" w:w="1694"/>
            <w:vAlign w:val="center"/>
          </w:tcPr>
          <w:p>
            <w:r>
              <w:t>2026-01-21</w:t>
            </w:r>
          </w:p>
        </w:tc>
        <w:tc>
          <w:tcPr>
            <w:tcW w:type="dxa" w:w="1694"/>
            <w:vAlign w:val="center"/>
          </w:tcPr>
          <w:p>
            <w:r>
              <w:t>0.6116</w:t>
            </w:r>
          </w:p>
        </w:tc>
        <w:tc>
          <w:tcPr>
            <w:tcW w:type="dxa" w:w="1694"/>
            <w:vAlign w:val="center"/>
          </w:tcPr>
          <w:p>
            <w:r>
              <w:t>0.5600</w:t>
            </w:r>
          </w:p>
        </w:tc>
        <w:tc>
          <w:tcPr>
            <w:tcW w:type="dxa" w:w="1694"/>
            <w:vAlign w:val="center"/>
          </w:tcPr>
          <w:p>
            <w:r>
              <w:t>0.4660</w:t>
            </w:r>
          </w:p>
        </w:tc>
      </w:tr>
      <w:tr>
        <w:tc>
          <w:tcPr>
            <w:tcW w:type="dxa" w:w="1694"/>
            <w:vAlign w:val="center"/>
          </w:tcPr>
          <w:p>
            <w:r>
              <w:t>INTC</w:t>
            </w:r>
          </w:p>
        </w:tc>
        <w:tc>
          <w:tcPr>
            <w:tcW w:type="dxa" w:w="1694"/>
            <w:vAlign w:val="center"/>
          </w:tcPr>
          <w:p>
            <w:r>
              <w:t>2026-02-26</w:t>
            </w:r>
          </w:p>
        </w:tc>
        <w:tc>
          <w:tcPr>
            <w:tcW w:type="dxa" w:w="1694"/>
            <w:vAlign w:val="center"/>
          </w:tcPr>
          <w:p>
            <w:r>
              <w:t>2026-04-22</w:t>
            </w:r>
          </w:p>
        </w:tc>
        <w:tc>
          <w:tcPr>
            <w:tcW w:type="dxa" w:w="1694"/>
            <w:vAlign w:val="center"/>
          </w:tcPr>
          <w:p>
            <w:r>
              <w:t>0.4338</w:t>
            </w:r>
          </w:p>
        </w:tc>
        <w:tc>
          <w:tcPr>
            <w:tcW w:type="dxa" w:w="1694"/>
            <w:vAlign w:val="center"/>
          </w:tcPr>
          <w:p>
            <w:r>
              <w:t>0.3591</w:t>
            </w:r>
          </w:p>
        </w:tc>
        <w:tc>
          <w:tcPr>
            <w:tcW w:type="dxa" w:w="1694"/>
            <w:vAlign w:val="center"/>
          </w:tcPr>
          <w:p>
            <w:r>
              <w:t>0.3826</w:t>
            </w:r>
          </w:p>
        </w:tc>
      </w:tr>
      <w:tr>
        <w:tc>
          <w:tcPr>
            <w:tcW w:type="dxa" w:w="1694"/>
            <w:vAlign w:val="center"/>
          </w:tcPr>
          <w:p>
            <w:r>
              <w:t>KLAC</w:t>
            </w:r>
          </w:p>
        </w:tc>
        <w:tc>
          <w:tcPr>
            <w:tcW w:type="dxa" w:w="1694"/>
            <w:vAlign w:val="center"/>
          </w:tcPr>
          <w:p>
            <w:r>
              <w:t>2025-11-20</w:t>
            </w:r>
          </w:p>
        </w:tc>
        <w:tc>
          <w:tcPr>
            <w:tcW w:type="dxa" w:w="1694"/>
            <w:vAlign w:val="center"/>
          </w:tcPr>
          <w:p>
            <w:r>
              <w:t>2026-01-21</w:t>
            </w:r>
          </w:p>
        </w:tc>
        <w:tc>
          <w:tcPr>
            <w:tcW w:type="dxa" w:w="1694"/>
            <w:vAlign w:val="center"/>
          </w:tcPr>
          <w:p>
            <w:r>
              <w:t>0.3767</w:t>
            </w:r>
          </w:p>
        </w:tc>
        <w:tc>
          <w:tcPr>
            <w:tcW w:type="dxa" w:w="1694"/>
            <w:vAlign w:val="center"/>
          </w:tcPr>
          <w:p>
            <w:r>
              <w:t>0.3251</w:t>
            </w:r>
          </w:p>
        </w:tc>
        <w:tc>
          <w:tcPr>
            <w:tcW w:type="dxa" w:w="1694"/>
            <w:vAlign w:val="center"/>
          </w:tcPr>
          <w:p>
            <w:r>
              <w:t>0.3606</w:t>
            </w:r>
          </w:p>
        </w:tc>
      </w:tr>
      <w:tr>
        <w:tc>
          <w:tcPr>
            <w:tcW w:type="dxa" w:w="1694"/>
            <w:vAlign w:val="center"/>
          </w:tcPr>
          <w:p>
            <w:r>
              <w:t>ADBE</w:t>
            </w:r>
          </w:p>
        </w:tc>
        <w:tc>
          <w:tcPr>
            <w:tcW w:type="dxa" w:w="1694"/>
            <w:vAlign w:val="center"/>
          </w:tcPr>
          <w:p>
            <w:r>
              <w:t>2023-05-24</w:t>
            </w:r>
          </w:p>
        </w:tc>
        <w:tc>
          <w:tcPr>
            <w:tcW w:type="dxa" w:w="1694"/>
            <w:vAlign w:val="center"/>
          </w:tcPr>
          <w:p>
            <w:r>
              <w:t>2023-06-14</w:t>
            </w:r>
          </w:p>
        </w:tc>
        <w:tc>
          <w:tcPr>
            <w:tcW w:type="dxa" w:w="1694"/>
            <w:vAlign w:val="center"/>
          </w:tcPr>
          <w:p>
            <w:r>
              <w:t>0.3091</w:t>
            </w:r>
          </w:p>
        </w:tc>
        <w:tc>
          <w:tcPr>
            <w:tcW w:type="dxa" w:w="1694"/>
            <w:vAlign w:val="center"/>
          </w:tcPr>
          <w:p>
            <w:r>
              <w:t>0.2078</w:t>
            </w:r>
          </w:p>
        </w:tc>
        <w:tc>
          <w:tcPr>
            <w:tcW w:type="dxa" w:w="1694"/>
            <w:vAlign w:val="center"/>
          </w:tcPr>
          <w:p>
            <w:r>
              <w:t>0.2705</w:t>
            </w:r>
          </w:p>
        </w:tc>
      </w:tr>
      <w:tr>
        <w:tc>
          <w:tcPr>
            <w:tcW w:type="dxa" w:w="1694"/>
            <w:vAlign w:val="center"/>
          </w:tcPr>
          <w:p>
            <w:r>
              <w:t>LRCX</w:t>
            </w:r>
          </w:p>
        </w:tc>
        <w:tc>
          <w:tcPr>
            <w:tcW w:type="dxa" w:w="1694"/>
            <w:vAlign w:val="center"/>
          </w:tcPr>
          <w:p>
            <w:r>
              <w:t>2020-11-19</w:t>
            </w:r>
          </w:p>
        </w:tc>
        <w:tc>
          <w:tcPr>
            <w:tcW w:type="dxa" w:w="1694"/>
            <w:vAlign w:val="center"/>
          </w:tcPr>
          <w:p>
            <w:r>
              <w:t>2021-01-20</w:t>
            </w:r>
          </w:p>
        </w:tc>
        <w:tc>
          <w:tcPr>
            <w:tcW w:type="dxa" w:w="1694"/>
            <w:vAlign w:val="center"/>
          </w:tcPr>
          <w:p>
            <w:r>
              <w:t>0.2876</w:t>
            </w:r>
          </w:p>
        </w:tc>
        <w:tc>
          <w:tcPr>
            <w:tcW w:type="dxa" w:w="1694"/>
            <w:vAlign w:val="center"/>
          </w:tcPr>
          <w:p>
            <w:r>
              <w:t>0.1803</w:t>
            </w:r>
          </w:p>
        </w:tc>
        <w:tc>
          <w:tcPr>
            <w:tcW w:type="dxa" w:w="1694"/>
            <w:vAlign w:val="center"/>
          </w:tcPr>
          <w:p>
            <w:r>
              <w:t>0.2627</w:t>
            </w:r>
          </w:p>
        </w:tc>
      </w:tr>
      <w:tr>
        <w:tc>
          <w:tcPr>
            <w:tcW w:type="dxa" w:w="1694"/>
            <w:vAlign w:val="center"/>
          </w:tcPr>
          <w:p>
            <w:r>
              <w:t>INTC</w:t>
            </w:r>
          </w:p>
        </w:tc>
        <w:tc>
          <w:tcPr>
            <w:tcW w:type="dxa" w:w="1694"/>
            <w:vAlign w:val="center"/>
          </w:tcPr>
          <w:p>
            <w:r>
              <w:t>2020-11-19</w:t>
            </w:r>
          </w:p>
        </w:tc>
        <w:tc>
          <w:tcPr>
            <w:tcW w:type="dxa" w:w="1694"/>
            <w:vAlign w:val="center"/>
          </w:tcPr>
          <w:p>
            <w:r>
              <w:t>2021-01-20</w:t>
            </w:r>
          </w:p>
        </w:tc>
        <w:tc>
          <w:tcPr>
            <w:tcW w:type="dxa" w:w="1694"/>
            <w:vAlign w:val="center"/>
          </w:tcPr>
          <w:p>
            <w:r>
              <w:t>0.2841</w:t>
            </w:r>
          </w:p>
        </w:tc>
        <w:tc>
          <w:tcPr>
            <w:tcW w:type="dxa" w:w="1694"/>
            <w:vAlign w:val="center"/>
          </w:tcPr>
          <w:p>
            <w:r>
              <w:t>0.1767</w:t>
            </w:r>
          </w:p>
        </w:tc>
        <w:tc>
          <w:tcPr>
            <w:tcW w:type="dxa" w:w="1694"/>
            <w:vAlign w:val="center"/>
          </w:tcPr>
          <w:p>
            <w:r>
              <w:t>0.4127</w:t>
            </w:r>
          </w:p>
        </w:tc>
      </w:tr>
    </w:tbl>
    <w:p>
      <w:pPr>
        <w:pStyle w:val="Heading2"/>
      </w:pPr>
      <w:r>
        <w:t>Bottom trades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94"/>
        <w:gridCol w:w="1694"/>
        <w:gridCol w:w="1694"/>
        <w:gridCol w:w="1694"/>
        <w:gridCol w:w="1694"/>
        <w:gridCol w:w="1694"/>
      </w:tblGrid>
      <w:tr>
        <w:tc>
          <w:tcPr>
            <w:tcW w:type="dxa" w:w="1694"/>
            <w:shd w:fill="D9EAF7"/>
          </w:tcPr>
          <w:p>
            <w:r>
              <w:t>symbol</w:t>
            </w:r>
          </w:p>
        </w:tc>
        <w:tc>
          <w:tcPr>
            <w:tcW w:type="dxa" w:w="1694"/>
            <w:shd w:fill="D9EAF7"/>
          </w:tcPr>
          <w:p>
            <w:r>
              <w:t>entry_date</w:t>
            </w:r>
          </w:p>
        </w:tc>
        <w:tc>
          <w:tcPr>
            <w:tcW w:type="dxa" w:w="1694"/>
            <w:shd w:fill="D9EAF7"/>
          </w:tcPr>
          <w:p>
            <w:r>
              <w:t>exit_date</w:t>
            </w:r>
          </w:p>
        </w:tc>
        <w:tc>
          <w:tcPr>
            <w:tcW w:type="dxa" w:w="1694"/>
            <w:shd w:fill="D9EAF7"/>
          </w:tcPr>
          <w:p>
            <w:r>
              <w:t>event_return_after_cost</w:t>
            </w:r>
          </w:p>
        </w:tc>
        <w:tc>
          <w:tcPr>
            <w:tcW w:type="dxa" w:w="1694"/>
            <w:shd w:fill="D9EAF7"/>
          </w:tcPr>
          <w:p>
            <w:r>
              <w:t>excess_vs_QQQ_event_return</w:t>
            </w:r>
          </w:p>
        </w:tc>
        <w:tc>
          <w:tcPr>
            <w:tcW w:type="dxa" w:w="1694"/>
            <w:shd w:fill="D9EAF7"/>
          </w:tcPr>
          <w:p>
            <w:r>
              <w:t>rank_score</w:t>
            </w:r>
          </w:p>
        </w:tc>
      </w:tr>
      <w:tr>
        <w:tc>
          <w:tcPr>
            <w:tcW w:type="dxa" w:w="1694"/>
            <w:vAlign w:val="center"/>
          </w:tcPr>
          <w:p>
            <w:r>
              <w:t>AMD</w:t>
            </w:r>
          </w:p>
        </w:tc>
        <w:tc>
          <w:tcPr>
            <w:tcW w:type="dxa" w:w="1694"/>
            <w:vAlign w:val="center"/>
          </w:tcPr>
          <w:p>
            <w:r>
              <w:t>2022-08-25</w:t>
            </w:r>
          </w:p>
        </w:tc>
        <w:tc>
          <w:tcPr>
            <w:tcW w:type="dxa" w:w="1694"/>
            <w:vAlign w:val="center"/>
          </w:tcPr>
          <w:p>
            <w:r>
              <w:t>2022-10-21</w:t>
            </w:r>
          </w:p>
        </w:tc>
        <w:tc>
          <w:tcPr>
            <w:tcW w:type="dxa" w:w="1694"/>
            <w:vAlign w:val="center"/>
          </w:tcPr>
          <w:p>
            <w:r>
              <w:t>-0.3967</w:t>
            </w:r>
          </w:p>
        </w:tc>
        <w:tc>
          <w:tcPr>
            <w:tcW w:type="dxa" w:w="1694"/>
            <w:vAlign w:val="center"/>
          </w:tcPr>
          <w:p>
            <w:r>
              <w:t>-0.2554</w:t>
            </w:r>
          </w:p>
        </w:tc>
        <w:tc>
          <w:tcPr>
            <w:tcW w:type="dxa" w:w="1694"/>
            <w:vAlign w:val="center"/>
          </w:tcPr>
          <w:p>
            <w:r>
              <w:t>0.3281</w:t>
            </w:r>
          </w:p>
        </w:tc>
      </w:tr>
      <w:tr>
        <w:tc>
          <w:tcPr>
            <w:tcW w:type="dxa" w:w="1694"/>
            <w:vAlign w:val="center"/>
          </w:tcPr>
          <w:p>
            <w:r>
              <w:t>LRCX</w:t>
            </w:r>
          </w:p>
        </w:tc>
        <w:tc>
          <w:tcPr>
            <w:tcW w:type="dxa" w:w="1694"/>
            <w:vAlign w:val="center"/>
          </w:tcPr>
          <w:p>
            <w:r>
              <w:t>2022-08-25</w:t>
            </w:r>
          </w:p>
        </w:tc>
        <w:tc>
          <w:tcPr>
            <w:tcW w:type="dxa" w:w="1694"/>
            <w:vAlign w:val="center"/>
          </w:tcPr>
          <w:p>
            <w:r>
              <w:t>2022-10-18</w:t>
            </w:r>
          </w:p>
        </w:tc>
        <w:tc>
          <w:tcPr>
            <w:tcW w:type="dxa" w:w="1694"/>
            <w:vAlign w:val="center"/>
          </w:tcPr>
          <w:p>
            <w:r>
              <w:t>-0.3259</w:t>
            </w:r>
          </w:p>
        </w:tc>
        <w:tc>
          <w:tcPr>
            <w:tcW w:type="dxa" w:w="1694"/>
            <w:vAlign w:val="center"/>
          </w:tcPr>
          <w:p>
            <w:r>
              <w:t>-0.1723</w:t>
            </w:r>
          </w:p>
        </w:tc>
        <w:tc>
          <w:tcPr>
            <w:tcW w:type="dxa" w:w="1694"/>
            <w:vAlign w:val="center"/>
          </w:tcPr>
          <w:p>
            <w:r>
              <w:t>0.4151</w:t>
            </w:r>
          </w:p>
        </w:tc>
      </w:tr>
      <w:tr>
        <w:tc>
          <w:tcPr>
            <w:tcW w:type="dxa" w:w="1694"/>
            <w:vAlign w:val="center"/>
          </w:tcPr>
          <w:p>
            <w:r>
              <w:t>MU</w:t>
            </w:r>
          </w:p>
        </w:tc>
        <w:tc>
          <w:tcPr>
            <w:tcW w:type="dxa" w:w="1694"/>
            <w:vAlign w:val="center"/>
          </w:tcPr>
          <w:p>
            <w:r>
              <w:t>2022-05-27</w:t>
            </w:r>
          </w:p>
        </w:tc>
        <w:tc>
          <w:tcPr>
            <w:tcW w:type="dxa" w:w="1694"/>
            <w:vAlign w:val="center"/>
          </w:tcPr>
          <w:p>
            <w:r>
              <w:t>2022-06-29</w:t>
            </w:r>
          </w:p>
        </w:tc>
        <w:tc>
          <w:tcPr>
            <w:tcW w:type="dxa" w:w="1694"/>
            <w:vAlign w:val="center"/>
          </w:tcPr>
          <w:p>
            <w:r>
              <w:t>-0.2380</w:t>
            </w:r>
          </w:p>
        </w:tc>
        <w:tc>
          <w:tcPr>
            <w:tcW w:type="dxa" w:w="1694"/>
            <w:vAlign w:val="center"/>
          </w:tcPr>
          <w:p>
            <w:r>
              <w:t>-0.1559</w:t>
            </w:r>
          </w:p>
        </w:tc>
        <w:tc>
          <w:tcPr>
            <w:tcW w:type="dxa" w:w="1694"/>
            <w:vAlign w:val="center"/>
          </w:tcPr>
          <w:p>
            <w:r>
              <w:t>0.1289</w:t>
            </w:r>
          </w:p>
        </w:tc>
      </w:tr>
      <w:tr>
        <w:tc>
          <w:tcPr>
            <w:tcW w:type="dxa" w:w="1694"/>
            <w:vAlign w:val="center"/>
          </w:tcPr>
          <w:p>
            <w:r>
              <w:t>NOW</w:t>
            </w:r>
          </w:p>
        </w:tc>
        <w:tc>
          <w:tcPr>
            <w:tcW w:type="dxa" w:w="1694"/>
            <w:vAlign w:val="center"/>
          </w:tcPr>
          <w:p>
            <w:r>
              <w:t>2021-11-19</w:t>
            </w:r>
          </w:p>
        </w:tc>
        <w:tc>
          <w:tcPr>
            <w:tcW w:type="dxa" w:w="1694"/>
            <w:vAlign w:val="center"/>
          </w:tcPr>
          <w:p>
            <w:r>
              <w:t>2022-01-19</w:t>
            </w:r>
          </w:p>
        </w:tc>
        <w:tc>
          <w:tcPr>
            <w:tcW w:type="dxa" w:w="1694"/>
            <w:vAlign w:val="center"/>
          </w:tcPr>
          <w:p>
            <w:r>
              <w:t>-0.2308</w:t>
            </w:r>
          </w:p>
        </w:tc>
        <w:tc>
          <w:tcPr>
            <w:tcW w:type="dxa" w:w="1694"/>
            <w:vAlign w:val="center"/>
          </w:tcPr>
          <w:p>
            <w:r>
              <w:t>-0.1371</w:t>
            </w:r>
          </w:p>
        </w:tc>
        <w:tc>
          <w:tcPr>
            <w:tcW w:type="dxa" w:w="1694"/>
            <w:vAlign w:val="center"/>
          </w:tcPr>
          <w:p>
            <w:r>
              <w:t>1.0344</w:t>
            </w:r>
          </w:p>
        </w:tc>
      </w:tr>
      <w:tr>
        <w:tc>
          <w:tcPr>
            <w:tcW w:type="dxa" w:w="1694"/>
            <w:vAlign w:val="center"/>
          </w:tcPr>
          <w:p>
            <w:r>
              <w:t>KLAC</w:t>
            </w:r>
          </w:p>
        </w:tc>
        <w:tc>
          <w:tcPr>
            <w:tcW w:type="dxa" w:w="1694"/>
            <w:vAlign w:val="center"/>
          </w:tcPr>
          <w:p>
            <w:r>
              <w:t>2022-08-25</w:t>
            </w:r>
          </w:p>
        </w:tc>
        <w:tc>
          <w:tcPr>
            <w:tcW w:type="dxa" w:w="1694"/>
            <w:vAlign w:val="center"/>
          </w:tcPr>
          <w:p>
            <w:r>
              <w:t>2022-10-21</w:t>
            </w:r>
          </w:p>
        </w:tc>
        <w:tc>
          <w:tcPr>
            <w:tcW w:type="dxa" w:w="1694"/>
            <w:vAlign w:val="center"/>
          </w:tcPr>
          <w:p>
            <w:r>
              <w:t>-0.2305</w:t>
            </w:r>
          </w:p>
        </w:tc>
        <w:tc>
          <w:tcPr>
            <w:tcW w:type="dxa" w:w="1694"/>
            <w:vAlign w:val="center"/>
          </w:tcPr>
          <w:p>
            <w:r>
              <w:t>-0.0892</w:t>
            </w:r>
          </w:p>
        </w:tc>
        <w:tc>
          <w:tcPr>
            <w:tcW w:type="dxa" w:w="1694"/>
            <w:vAlign w:val="center"/>
          </w:tcPr>
          <w:p>
            <w:r>
              <w:t>0.2799</w:t>
            </w:r>
          </w:p>
        </w:tc>
      </w:tr>
      <w:tr>
        <w:tc>
          <w:tcPr>
            <w:tcW w:type="dxa" w:w="1694"/>
            <w:vAlign w:val="center"/>
          </w:tcPr>
          <w:p>
            <w:r>
              <w:t>INTC</w:t>
            </w:r>
          </w:p>
        </w:tc>
        <w:tc>
          <w:tcPr>
            <w:tcW w:type="dxa" w:w="1694"/>
            <w:vAlign w:val="center"/>
          </w:tcPr>
          <w:p>
            <w:r>
              <w:t>2022-08-25</w:t>
            </w:r>
          </w:p>
        </w:tc>
        <w:tc>
          <w:tcPr>
            <w:tcW w:type="dxa" w:w="1694"/>
            <w:vAlign w:val="center"/>
          </w:tcPr>
          <w:p>
            <w:r>
              <w:t>2022-10-21</w:t>
            </w:r>
          </w:p>
        </w:tc>
        <w:tc>
          <w:tcPr>
            <w:tcW w:type="dxa" w:w="1694"/>
            <w:vAlign w:val="center"/>
          </w:tcPr>
          <w:p>
            <w:r>
              <w:t>-0.2290</w:t>
            </w:r>
          </w:p>
        </w:tc>
        <w:tc>
          <w:tcPr>
            <w:tcW w:type="dxa" w:w="1694"/>
            <w:vAlign w:val="center"/>
          </w:tcPr>
          <w:p>
            <w:r>
              <w:t>-0.0877</w:t>
            </w:r>
          </w:p>
        </w:tc>
        <w:tc>
          <w:tcPr>
            <w:tcW w:type="dxa" w:w="1694"/>
            <w:vAlign w:val="center"/>
          </w:tcPr>
          <w:p>
            <w:r>
              <w:t>0.3712</w:t>
            </w:r>
          </w:p>
        </w:tc>
      </w:tr>
      <w:tr>
        <w:tc>
          <w:tcPr>
            <w:tcW w:type="dxa" w:w="1694"/>
            <w:vAlign w:val="center"/>
          </w:tcPr>
          <w:p>
            <w:r>
              <w:t>NOW</w:t>
            </w:r>
          </w:p>
        </w:tc>
        <w:tc>
          <w:tcPr>
            <w:tcW w:type="dxa" w:w="1694"/>
            <w:vAlign w:val="center"/>
          </w:tcPr>
          <w:p>
            <w:r>
              <w:t>2022-08-24</w:t>
            </w:r>
          </w:p>
        </w:tc>
        <w:tc>
          <w:tcPr>
            <w:tcW w:type="dxa" w:w="1694"/>
            <w:vAlign w:val="center"/>
          </w:tcPr>
          <w:p>
            <w:r>
              <w:t>2022-10-20</w:t>
            </w:r>
          </w:p>
        </w:tc>
        <w:tc>
          <w:tcPr>
            <w:tcW w:type="dxa" w:w="1694"/>
            <w:vAlign w:val="center"/>
          </w:tcPr>
          <w:p>
            <w:r>
              <w:t>-0.2233</w:t>
            </w:r>
          </w:p>
        </w:tc>
        <w:tc>
          <w:tcPr>
            <w:tcW w:type="dxa" w:w="1694"/>
            <w:vAlign w:val="center"/>
          </w:tcPr>
          <w:p>
            <w:r>
              <w:t>-0.0771</w:t>
            </w:r>
          </w:p>
        </w:tc>
        <w:tc>
          <w:tcPr>
            <w:tcW w:type="dxa" w:w="1694"/>
            <w:vAlign w:val="center"/>
          </w:tcPr>
          <w:p>
            <w:r>
              <w:t>1.0487</w:t>
            </w:r>
          </w:p>
        </w:tc>
      </w:tr>
      <w:tr>
        <w:tc>
          <w:tcPr>
            <w:tcW w:type="dxa" w:w="1694"/>
            <w:vAlign w:val="center"/>
          </w:tcPr>
          <w:p>
            <w:r>
              <w:t>NOW</w:t>
            </w:r>
          </w:p>
        </w:tc>
        <w:tc>
          <w:tcPr>
            <w:tcW w:type="dxa" w:w="1694"/>
            <w:vAlign w:val="center"/>
          </w:tcPr>
          <w:p>
            <w:r>
              <w:t>2025-12-03</w:t>
            </w:r>
          </w:p>
        </w:tc>
        <w:tc>
          <w:tcPr>
            <w:tcW w:type="dxa" w:w="1694"/>
            <w:vAlign w:val="center"/>
          </w:tcPr>
          <w:p>
            <w:r>
              <w:t>2026-01-27</w:t>
            </w:r>
          </w:p>
        </w:tc>
        <w:tc>
          <w:tcPr>
            <w:tcW w:type="dxa" w:w="1694"/>
            <w:vAlign w:val="center"/>
          </w:tcPr>
          <w:p>
            <w:r>
              <w:t>-0.2108</w:t>
            </w:r>
          </w:p>
        </w:tc>
        <w:tc>
          <w:tcPr>
            <w:tcW w:type="dxa" w:w="1694"/>
            <w:vAlign w:val="center"/>
          </w:tcPr>
          <w:p>
            <w:r>
              <w:t>-0.2223</w:t>
            </w:r>
          </w:p>
        </w:tc>
        <w:tc>
          <w:tcPr>
            <w:tcW w:type="dxa" w:w="1694"/>
            <w:vAlign w:val="center"/>
          </w:tcPr>
          <w:p>
            <w:r>
              <w:t>0.0737</w:t>
            </w:r>
          </w:p>
        </w:tc>
      </w:tr>
    </w:tbl>
    <w:p>
      <w:pPr>
        <w:pStyle w:val="Heading1"/>
      </w:pPr>
      <w:r>
        <w:t>Literature Support</w:t>
      </w:r>
    </w:p>
    <w:p>
      <w:r>
        <w:rPr>
          <w:b/>
        </w:rPr>
        <w:t>Algorithmic Trading and Intra-industry Information Transfers</w:t>
      </w:r>
      <w:r>
        <w:t xml:space="preserve"> - Zhang, Jiang, and Young. </w:t>
      </w:r>
      <w:r>
        <w:t>https://link.springer.com/article/10.1007/s11142-026-09954-3</w:t>
      </w:r>
    </w:p>
    <w:p>
      <w:pPr>
        <w:pStyle w:val="Heading1"/>
      </w:pPr>
      <w:r>
        <w:t>Data and Research Caveats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3456"/>
            <w:shd w:fill="D9EAF7"/>
            <w:vAlign w:val="center"/>
          </w:tcPr>
          <w:p>
            <w:r>
              <w:t>Field</w:t>
            </w:r>
          </w:p>
        </w:tc>
        <w:tc>
          <w:tcPr>
            <w:tcW w:type="dxa" w:w="6336"/>
            <w:shd w:fill="D9EAF7"/>
            <w:vAlign w:val="center"/>
          </w:tcPr>
          <w:p>
            <w:r>
              <w:t>Value</w:t>
            </w:r>
          </w:p>
        </w:tc>
      </w:tr>
      <w:tr>
        <w:tc>
          <w:tcPr>
            <w:tcW w:type="dxa" w:w="3456"/>
            <w:vAlign w:val="center"/>
          </w:tcPr>
          <w:p>
            <w:r>
              <w:t>Requested symbols</w:t>
            </w:r>
          </w:p>
        </w:tc>
        <w:tc>
          <w:tcPr>
            <w:tcW w:type="dxa" w:w="6336"/>
            <w:vAlign w:val="center"/>
          </w:tcPr>
          <w:p>
            <w:r>
              <w:t>51</w:t>
            </w:r>
          </w:p>
        </w:tc>
      </w:tr>
      <w:tr>
        <w:tc>
          <w:tcPr>
            <w:tcW w:type="dxa" w:w="3456"/>
            <w:vAlign w:val="center"/>
          </w:tcPr>
          <w:p>
            <w:r>
              <w:t>Available price symbols</w:t>
            </w:r>
          </w:p>
        </w:tc>
        <w:tc>
          <w:tcPr>
            <w:tcW w:type="dxa" w:w="6336"/>
            <w:vAlign w:val="center"/>
          </w:tcPr>
          <w:p>
            <w:r>
              <w:t>49</w:t>
            </w:r>
          </w:p>
        </w:tc>
      </w:tr>
      <w:tr>
        <w:tc>
          <w:tcPr>
            <w:tcW w:type="dxa" w:w="3456"/>
            <w:vAlign w:val="center"/>
          </w:tcPr>
          <w:p>
            <w:r>
              <w:t>Event count</w:t>
            </w:r>
          </w:p>
        </w:tc>
        <w:tc>
          <w:tcPr>
            <w:tcW w:type="dxa" w:w="6336"/>
            <w:vAlign w:val="center"/>
          </w:tcPr>
          <w:p>
            <w:r>
              <w:t>638</w:t>
            </w:r>
          </w:p>
        </w:tc>
      </w:tr>
      <w:tr>
        <w:tc>
          <w:tcPr>
            <w:tcW w:type="dxa" w:w="3456"/>
            <w:vAlign w:val="center"/>
          </w:tcPr>
          <w:p>
            <w:r>
              <w:t>Missing price symbols</w:t>
            </w:r>
          </w:p>
        </w:tc>
        <w:tc>
          <w:tcPr>
            <w:tcW w:type="dxa" w:w="6336"/>
            <w:vAlign w:val="center"/>
          </w:tcPr>
          <w:p>
            <w:r>
              <w:t>SNOW, TSM</w:t>
            </w:r>
          </w:p>
        </w:tc>
      </w:tr>
      <w:tr>
        <w:tc>
          <w:tcPr>
            <w:tcW w:type="dxa" w:w="3456"/>
            <w:vAlign w:val="center"/>
          </w:tcPr>
          <w:p>
            <w:r>
              <w:t>Missing earnings symbols</w:t>
            </w:r>
          </w:p>
        </w:tc>
        <w:tc>
          <w:tcPr>
            <w:tcW w:type="dxa" w:w="6336"/>
            <w:vAlign w:val="center"/>
          </w:tcPr>
          <w:p>
            <w:r>
              <w:t>ADI, ADSK, ANET, ASML, CSCO, DDOG, DE, DELL, GOOG, HPE, HPQ, IBM, MPWR, MRVL, NXPI, ON, PYPL, SHOP, SMCI, TSLA, TTD, UBER, WDAY, ZS</w:t>
            </w:r>
          </w:p>
        </w:tc>
      </w:tr>
    </w:tbl>
    <w:p>
      <w:pPr>
        <w:pStyle w:val="ListBullet"/>
      </w:pPr>
      <w:r>
        <w:t>Alpha Vantage earnings history is research-grade and may not be point-in-time revised history.</w:t>
      </w:r>
    </w:p>
    <w:p>
      <w:pPr>
        <w:pStyle w:val="ListBullet"/>
      </w:pPr>
      <w:r>
        <w:t>US universe is curated/current and therefore survivorship-biased.</w:t>
      </w:r>
    </w:p>
    <w:p>
      <w:pPr>
        <w:pStyle w:val="ListBullet"/>
      </w:pPr>
      <w:r>
        <w:t>Daily close-to-close execution approximates earnings timing.</w:t>
      </w:r>
    </w:p>
    <w:p>
      <w:pPr>
        <w:pStyle w:val="ListBullet"/>
      </w:pPr>
      <w:r>
        <w:t>No revenue surprise, guidance, analyst revision, or option-implied move feed is included.</w:t>
      </w:r>
    </w:p>
    <w:p>
      <w:pPr>
        <w:pStyle w:val="Heading1"/>
      </w:pPr>
      <w:r>
        <w:t>Reproducibility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3456"/>
            <w:shd w:fill="D9EAF7"/>
            <w:vAlign w:val="center"/>
          </w:tcPr>
          <w:p>
            <w:r>
              <w:t>Field</w:t>
            </w:r>
          </w:p>
        </w:tc>
        <w:tc>
          <w:tcPr>
            <w:tcW w:type="dxa" w:w="6336"/>
            <w:shd w:fill="D9EAF7"/>
            <w:vAlign w:val="center"/>
          </w:tcPr>
          <w:p>
            <w:r>
              <w:t>Value</w:t>
            </w:r>
          </w:p>
        </w:tc>
      </w:tr>
      <w:tr>
        <w:tc>
          <w:tcPr>
            <w:tcW w:type="dxa" w:w="3456"/>
            <w:vAlign w:val="center"/>
          </w:tcPr>
          <w:p>
            <w:r>
              <w:t>Run directory</w:t>
            </w:r>
          </w:p>
        </w:tc>
        <w:tc>
          <w:tcPr>
            <w:tcW w:type="dxa" w:w="6336"/>
            <w:vAlign w:val="center"/>
          </w:tcPr>
          <w:p>
            <w:r>
              <w:t>.tmp\factor_runs\EBS_v2_leader_follower_gap_40d\20260508_123103</w:t>
            </w:r>
          </w:p>
        </w:tc>
      </w:tr>
      <w:tr>
        <w:tc>
          <w:tcPr>
            <w:tcW w:type="dxa" w:w="3456"/>
            <w:vAlign w:val="center"/>
          </w:tcPr>
          <w:p>
            <w:r>
              <w:t>Provider URI</w:t>
            </w:r>
          </w:p>
        </w:tc>
        <w:tc>
          <w:tcPr>
            <w:tcW w:type="dxa" w:w="6336"/>
            <w:vAlign w:val="center"/>
          </w:tcPr>
          <w:p>
            <w:r>
              <w:t>~/.qlib/qlib_data/us_data_recent</w:t>
            </w:r>
          </w:p>
        </w:tc>
      </w:tr>
      <w:tr>
        <w:tc>
          <w:tcPr>
            <w:tcW w:type="dxa" w:w="3456"/>
            <w:vAlign w:val="center"/>
          </w:tcPr>
          <w:p>
            <w:r>
              <w:t>Command</w:t>
            </w:r>
          </w:p>
        </w:tc>
        <w:tc>
          <w:tcPr>
            <w:tcW w:type="dxa" w:w="6336"/>
            <w:vAlign w:val="center"/>
          </w:tcPr>
          <w:p>
            <w:r>
              <w:t>'scripts\run_earnings_seasonal_factors.py' --factor all --tracking-uri=</w:t>
            </w:r>
          </w:p>
        </w:tc>
      </w:tr>
    </w:tbl>
    <w:sectPr w:rsidR="00FC693F" w:rsidRPr="0006063C" w:rsidSect="00034616"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4E7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