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PEAD_v1_quality_drift_60d</w:t>
      </w:r>
    </w:p>
    <w:p>
      <w:pPr>
        <w:jc w:val="center"/>
      </w:pPr>
      <w:r>
        <w:rPr>
          <w:i/>
        </w:rPr>
        <w:t>Qlib-backed Earnings Factor Research Report</w:t>
      </w:r>
    </w:p>
    <w:p>
      <w:pPr>
        <w:pStyle w:val="Heading1"/>
      </w:pPr>
      <w:r>
        <w:t>Research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Research status</w:t>
            </w:r>
          </w:p>
        </w:tc>
        <w:tc>
          <w:tcPr>
            <w:tcW w:type="dxa" w:w="6336"/>
            <w:vAlign w:val="center"/>
          </w:tcPr>
          <w:p>
            <w:r>
              <w:t>research_only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events</w:t>
            </w:r>
          </w:p>
        </w:tc>
        <w:tc>
          <w:tcPr>
            <w:tcW w:type="dxa" w:w="6336"/>
            <w:vAlign w:val="center"/>
          </w:tcPr>
          <w:p>
            <w:r>
              <w:t>125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cumulative return</w:t>
            </w:r>
          </w:p>
        </w:tc>
        <w:tc>
          <w:tcPr>
            <w:tcW w:type="dxa" w:w="6336"/>
            <w:vAlign w:val="center"/>
          </w:tcPr>
          <w:p>
            <w:r>
              <w:t>65.07%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annualized return</w:t>
            </w:r>
          </w:p>
        </w:tc>
        <w:tc>
          <w:tcPr>
            <w:tcW w:type="dxa" w:w="6336"/>
            <w:vAlign w:val="center"/>
          </w:tcPr>
          <w:p>
            <w:r>
              <w:t>8.25%</w:t>
            </w:r>
          </w:p>
        </w:tc>
      </w:tr>
      <w:tr>
        <w:tc>
          <w:tcPr>
            <w:tcW w:type="dxa" w:w="3456"/>
            <w:vAlign w:val="center"/>
          </w:tcPr>
          <w:p>
            <w:r>
              <w:t>Net Sharpe / IR</w:t>
            </w:r>
          </w:p>
        </w:tc>
        <w:tc>
          <w:tcPr>
            <w:tcW w:type="dxa" w:w="6336"/>
            <w:vAlign w:val="center"/>
          </w:tcPr>
          <w:p>
            <w:r>
              <w:t>0.85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drawdown</w:t>
            </w:r>
          </w:p>
        </w:tc>
        <w:tc>
          <w:tcPr>
            <w:tcW w:type="dxa" w:w="6336"/>
            <w:vAlign w:val="center"/>
          </w:tcPr>
          <w:p>
            <w:r>
              <w:t>-12.98%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Exposure-matched excess vs QQQ</w:t>
            </w:r>
          </w:p>
        </w:tc>
        <w:tc>
          <w:tcPr>
            <w:tcW w:type="dxa" w:w="6336"/>
            <w:vAlign w:val="center"/>
          </w:tcPr>
          <w:p>
            <w:r>
              <w:t>16.62%</w:t>
            </w:r>
          </w:p>
        </w:tc>
      </w:tr>
      <w:tr>
        <w:tc>
          <w:tcPr>
            <w:tcW w:type="dxa" w:w="3456"/>
            <w:vAlign w:val="center"/>
          </w:tcPr>
          <w:p>
            <w:r>
              <w:t>Excess Sharpe / IR</w:t>
            </w:r>
          </w:p>
        </w:tc>
        <w:tc>
          <w:tcPr>
            <w:tcW w:type="dxa" w:w="6336"/>
            <w:vAlign w:val="center"/>
          </w:tcPr>
          <w:p>
            <w:r>
              <w:t>0.60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return after cost</w:t>
            </w:r>
          </w:p>
        </w:tc>
        <w:tc>
          <w:tcPr>
            <w:tcW w:type="dxa" w:w="6336"/>
            <w:vAlign w:val="center"/>
          </w:tcPr>
          <w:p>
            <w:r>
              <w:t>8.15%</w:t>
            </w:r>
          </w:p>
        </w:tc>
      </w:tr>
      <w:tr>
        <w:tc>
          <w:tcPr>
            <w:tcW w:type="dxa" w:w="3456"/>
            <w:vAlign w:val="center"/>
          </w:tcPr>
          <w:p>
            <w:r>
              <w:t>Avg event excess vs QQQ</w:t>
            </w:r>
          </w:p>
        </w:tc>
        <w:tc>
          <w:tcPr>
            <w:tcW w:type="dxa" w:w="6336"/>
            <w:vAlign w:val="center"/>
          </w:tcPr>
          <w:p>
            <w:r>
              <w:t>2.59%</w:t>
            </w:r>
          </w:p>
        </w:tc>
      </w:tr>
      <w:tr>
        <w:tc>
          <w:tcPr>
            <w:tcW w:type="dxa" w:w="3456"/>
            <w:vAlign w:val="center"/>
          </w:tcPr>
          <w:p>
            <w:r>
              <w:t>Selected rank IC vs QQQ excess</w:t>
            </w:r>
          </w:p>
        </w:tc>
        <w:tc>
          <w:tcPr>
            <w:tcW w:type="dxa" w:w="6336"/>
            <w:vAlign w:val="center"/>
          </w:tcPr>
          <w:p>
            <w:r>
              <w:t>0.115</w:t>
            </w:r>
          </w:p>
        </w:tc>
      </w:tr>
    </w:tbl>
    <w:p>
      <w:pPr>
        <w:pStyle w:val="Heading1"/>
      </w:pPr>
      <w:r>
        <w:t>Research Interpretation</w:t>
      </w:r>
    </w:p>
    <w:p>
      <w:r>
        <w:t>This is the strongest current candidate in the suite. The result supports the revised research question: confirmed post-earnings drift has more signal than pre-earnings jump prediction. The sample has 125 selected events, positive QQQ-relative excess, and usable but still not production-grade rank IC.</w:t>
      </w:r>
    </w:p>
    <w:p>
      <w:pPr>
        <w:pStyle w:val="Heading1"/>
      </w:pPr>
      <w:r>
        <w:t>Economic Hypothesis</w:t>
      </w:r>
    </w:p>
    <w:p>
      <w:r>
        <w:t>Positive EPS surprise confirmed by positive benchmark-excess announcement reaction drifts over the following 60 trading days, especially outside mega-cap indicators.</w:t>
      </w:r>
    </w:p>
    <w:p>
      <w:pPr>
        <w:pStyle w:val="Heading1"/>
      </w:pPr>
      <w:r>
        <w:t>Factor Expression</w:t>
      </w:r>
    </w:p>
    <w:p>
      <w:r>
        <w:rPr>
          <w:b/>
        </w:rPr>
        <w:t xml:space="preserve">alpha_score: </w:t>
      </w:r>
      <w:r>
        <w:t>0.34*surprise_component + 0.36*announcement_excess_component + 0.15*prior_excess_component + 0.10*prior_beat_component - 0.05*runup_penalty</w:t>
      </w:r>
    </w:p>
    <w:p>
      <w:r>
        <w:rPr>
          <w:b/>
        </w:rPr>
        <w:t xml:space="preserve">selection: </w:t>
      </w:r>
      <w:r>
        <w:t>positive EPS surprise, positive QQQ-excess announcement reaction, liquid, volatility controlled, rolling score percentile &gt;= 45% after history exists</w:t>
      </w:r>
    </w:p>
    <w:p>
      <w:pPr>
        <w:pStyle w:val="Heading1"/>
      </w:pPr>
      <w:r>
        <w:t>Experiment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Date range</w:t>
            </w:r>
          </w:p>
        </w:tc>
        <w:tc>
          <w:tcPr>
            <w:tcW w:type="dxa" w:w="6336"/>
            <w:vAlign w:val="center"/>
          </w:tcPr>
          <w:p>
            <w:r>
              <w:t>2020-01-02 to 2026-05-07</w:t>
            </w:r>
          </w:p>
        </w:tc>
      </w:tr>
      <w:tr>
        <w:tc>
          <w:tcPr>
            <w:tcW w:type="dxa" w:w="3456"/>
            <w:vAlign w:val="center"/>
          </w:tcPr>
          <w:p>
            <w:r>
              <w:t>Benchmark</w:t>
            </w:r>
          </w:p>
        </w:tc>
        <w:tc>
          <w:tcPr>
            <w:tcW w:type="dxa" w:w="6336"/>
            <w:vAlign w:val="center"/>
          </w:tcPr>
          <w:p>
            <w:r>
              <w:t>QQQ</w:t>
            </w:r>
          </w:p>
        </w:tc>
      </w:tr>
      <w:tr>
        <w:tc>
          <w:tcPr>
            <w:tcW w:type="dxa" w:w="3456"/>
            <w:vAlign w:val="center"/>
          </w:tcPr>
          <w:p>
            <w:r>
              <w:t>Universe size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Entry</w:t>
            </w:r>
          </w:p>
        </w:tc>
        <w:tc>
          <w:tcPr>
            <w:tcW w:type="dxa" w:w="6336"/>
            <w:vAlign w:val="center"/>
          </w:tcPr>
          <w:p>
            <w:r>
              <w:t>close of the first full trading day after reported earnings date</w:t>
            </w:r>
          </w:p>
        </w:tc>
      </w:tr>
      <w:tr>
        <w:tc>
          <w:tcPr>
            <w:tcW w:type="dxa" w:w="3456"/>
            <w:vAlign w:val="center"/>
          </w:tcPr>
          <w:p>
            <w:r>
              <w:t>Exit</w:t>
            </w:r>
          </w:p>
        </w:tc>
        <w:tc>
          <w:tcPr>
            <w:tcW w:type="dxa" w:w="6336"/>
            <w:vAlign w:val="center"/>
          </w:tcPr>
          <w:p>
            <w:r>
              <w:t>entry close plus 60 trading days</w:t>
            </w:r>
          </w:p>
        </w:tc>
      </w:tr>
      <w:tr>
        <w:tc>
          <w:tcPr>
            <w:tcW w:type="dxa" w:w="3456"/>
            <w:vAlign w:val="center"/>
          </w:tcPr>
          <w:p>
            <w:r>
              <w:t>Hold days</w:t>
            </w:r>
          </w:p>
        </w:tc>
        <w:tc>
          <w:tcPr>
            <w:tcW w:type="dxa" w:w="6336"/>
            <w:vAlign w:val="center"/>
          </w:tcPr>
          <w:p>
            <w:r>
              <w:t>60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active positions</w:t>
            </w:r>
          </w:p>
        </w:tc>
        <w:tc>
          <w:tcPr>
            <w:tcW w:type="dxa" w:w="6336"/>
            <w:vAlign w:val="center"/>
          </w:tcPr>
          <w:p>
            <w:r>
              <w:t>30</w:t>
            </w:r>
          </w:p>
        </w:tc>
      </w:tr>
      <w:tr>
        <w:tc>
          <w:tcPr>
            <w:tcW w:type="dxa" w:w="3456"/>
            <w:vAlign w:val="center"/>
          </w:tcPr>
          <w:p>
            <w:r>
              <w:t>Max weight</w:t>
            </w:r>
          </w:p>
        </w:tc>
        <w:tc>
          <w:tcPr>
            <w:tcW w:type="dxa" w:w="6336"/>
            <w:vAlign w:val="center"/>
          </w:tcPr>
          <w:p>
            <w:r>
              <w:t>0.05</w:t>
            </w:r>
          </w:p>
        </w:tc>
      </w:tr>
      <w:tr>
        <w:tc>
          <w:tcPr>
            <w:tcW w:type="dxa" w:w="3456"/>
            <w:vAlign w:val="center"/>
          </w:tcPr>
          <w:p>
            <w:r>
              <w:t>One-way cost bps</w:t>
            </w:r>
          </w:p>
        </w:tc>
        <w:tc>
          <w:tcPr>
            <w:tcW w:type="dxa" w:w="6336"/>
            <w:vAlign w:val="center"/>
          </w:tcPr>
          <w:p>
            <w:r>
              <w:t>10.0</w:t>
            </w:r>
          </w:p>
        </w:tc>
      </w:tr>
    </w:tbl>
    <w:p>
      <w:pPr>
        <w:pStyle w:val="Heading1"/>
      </w:pPr>
      <w:r>
        <w:t>Signal Diagnostics / IC</w:t>
      </w:r>
    </w:p>
    <w:p>
      <w:r>
        <w:t>Rank IC is computed against the actual strategy holding-horizon return, not just the earnings announcement window. This makes PEAD and basket variants comparable despite different horizons.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</w:tcPr>
          <w:p>
            <w:r>
              <w:t>bucket</w:t>
            </w:r>
          </w:p>
        </w:tc>
        <w:tc>
          <w:tcPr>
            <w:tcW w:type="dxa" w:w="2033"/>
            <w:shd w:fill="D9EAF7"/>
          </w:tcPr>
          <w:p>
            <w:r>
              <w:t>n</w:t>
            </w:r>
          </w:p>
        </w:tc>
        <w:tc>
          <w:tcPr>
            <w:tcW w:type="dxa" w:w="2033"/>
            <w:shd w:fill="D9EAF7"/>
          </w:tcPr>
          <w:p>
            <w:r>
              <w:t>rank_ic_score_vs_ret</w:t>
            </w:r>
          </w:p>
        </w:tc>
        <w:tc>
          <w:tcPr>
            <w:tcW w:type="dxa" w:w="2033"/>
            <w:shd w:fill="D9EAF7"/>
          </w:tcPr>
          <w:p>
            <w:r>
              <w:t>rank_ic_score_vs_excess</w:t>
            </w:r>
          </w:p>
        </w:tc>
        <w:tc>
          <w:tcPr>
            <w:tcW w:type="dxa" w:w="2033"/>
            <w:shd w:fill="D9EAF7"/>
          </w:tcPr>
          <w:p>
            <w:r>
              <w:t>rank_ic_pct_vs_excess</w:t>
            </w:r>
          </w:p>
        </w:tc>
      </w:tr>
      <w:tr>
        <w:tc>
          <w:tcPr>
            <w:tcW w:type="dxa" w:w="2033"/>
            <w:vAlign w:val="center"/>
          </w:tcPr>
          <w:p>
            <w:r>
              <w:t>eligible</w:t>
            </w:r>
          </w:p>
        </w:tc>
        <w:tc>
          <w:tcPr>
            <w:tcW w:type="dxa" w:w="2033"/>
            <w:vAlign w:val="center"/>
          </w:tcPr>
          <w:p>
            <w:r>
              <w:t>192</w:t>
            </w:r>
          </w:p>
        </w:tc>
        <w:tc>
          <w:tcPr>
            <w:tcW w:type="dxa" w:w="2033"/>
            <w:vAlign w:val="center"/>
          </w:tcPr>
          <w:p>
            <w:r>
              <w:t>0.077</w:t>
            </w:r>
          </w:p>
        </w:tc>
        <w:tc>
          <w:tcPr>
            <w:tcW w:type="dxa" w:w="2033"/>
            <w:vAlign w:val="center"/>
          </w:tcPr>
          <w:p>
            <w:r>
              <w:t>0.042</w:t>
            </w:r>
          </w:p>
        </w:tc>
        <w:tc>
          <w:tcPr>
            <w:tcW w:type="dxa" w:w="2033"/>
            <w:vAlign w:val="center"/>
          </w:tcPr>
          <w:p>
            <w:r>
              <w:t>-0.025</w:t>
            </w:r>
          </w:p>
        </w:tc>
      </w:tr>
      <w:tr>
        <w:tc>
          <w:tcPr>
            <w:tcW w:type="dxa" w:w="2033"/>
            <w:vAlign w:val="center"/>
          </w:tcPr>
          <w:p>
            <w:r>
              <w:t>tradable</w:t>
            </w:r>
          </w:p>
        </w:tc>
        <w:tc>
          <w:tcPr>
            <w:tcW w:type="dxa" w:w="2033"/>
            <w:vAlign w:val="center"/>
          </w:tcPr>
          <w:p>
            <w:r>
              <w:t>192</w:t>
            </w:r>
          </w:p>
        </w:tc>
        <w:tc>
          <w:tcPr>
            <w:tcW w:type="dxa" w:w="2033"/>
            <w:vAlign w:val="center"/>
          </w:tcPr>
          <w:p>
            <w:r>
              <w:t>0.077</w:t>
            </w:r>
          </w:p>
        </w:tc>
        <w:tc>
          <w:tcPr>
            <w:tcW w:type="dxa" w:w="2033"/>
            <w:vAlign w:val="center"/>
          </w:tcPr>
          <w:p>
            <w:r>
              <w:t>0.042</w:t>
            </w:r>
          </w:p>
        </w:tc>
        <w:tc>
          <w:tcPr>
            <w:tcW w:type="dxa" w:w="2033"/>
            <w:vAlign w:val="center"/>
          </w:tcPr>
          <w:p>
            <w:r>
              <w:t>-0.025</w:t>
            </w:r>
          </w:p>
        </w:tc>
      </w:tr>
      <w:tr>
        <w:tc>
          <w:tcPr>
            <w:tcW w:type="dxa" w:w="2033"/>
            <w:vAlign w:val="center"/>
          </w:tcPr>
          <w:p>
            <w:r>
              <w:t>selected</w:t>
            </w:r>
          </w:p>
        </w:tc>
        <w:tc>
          <w:tcPr>
            <w:tcW w:type="dxa" w:w="2033"/>
            <w:vAlign w:val="center"/>
          </w:tcPr>
          <w:p>
            <w:r>
              <w:t>125</w:t>
            </w:r>
          </w:p>
        </w:tc>
        <w:tc>
          <w:tcPr>
            <w:tcW w:type="dxa" w:w="2033"/>
            <w:vAlign w:val="center"/>
          </w:tcPr>
          <w:p>
            <w:r>
              <w:t>0.089</w:t>
            </w:r>
          </w:p>
        </w:tc>
        <w:tc>
          <w:tcPr>
            <w:tcW w:type="dxa" w:w="2033"/>
            <w:vAlign w:val="center"/>
          </w:tcPr>
          <w:p>
            <w:r>
              <w:t>0.115</w:t>
            </w:r>
          </w:p>
        </w:tc>
        <w:tc>
          <w:tcPr>
            <w:tcW w:type="dxa" w:w="2033"/>
            <w:vAlign w:val="center"/>
          </w:tcPr>
          <w:p>
            <w:r>
              <w:t>-0.059</w:t>
            </w:r>
          </w:p>
        </w:tc>
      </w:tr>
    </w:tbl>
    <w:p>
      <w:pPr>
        <w:pStyle w:val="Heading1"/>
      </w:pPr>
      <w:r>
        <w:t>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mulative_retur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Cumulative return: strategy, exposure-matched QQQ, and excess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Net strategy drawdown.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retu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Yearly strategy and excess returns.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70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s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Daily portfolio exposure.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return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event return distribution after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ed_trade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Selected trade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vs_event_retur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Score versus realized event return.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1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bottom_trad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Top and bottom selected trades.</w:t>
      </w:r>
    </w:p>
    <w:p>
      <w:pPr>
        <w:pStyle w:val="Heading1"/>
      </w:pPr>
      <w:r>
        <w:t>Metrics by Year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9EAF7"/>
          </w:tcPr>
          <w:p>
            <w:r>
              <w:t>year</w:t>
            </w:r>
          </w:p>
        </w:tc>
        <w:tc>
          <w:tcPr>
            <w:tcW w:type="dxa" w:w="1271"/>
            <w:shd w:fill="D9EAF7"/>
          </w:tcPr>
          <w:p>
            <w:r>
              <w:t>strategy_net_return</w:t>
            </w:r>
          </w:p>
        </w:tc>
        <w:tc>
          <w:tcPr>
            <w:tcW w:type="dxa" w:w="1271"/>
            <w:shd w:fill="D9EAF7"/>
          </w:tcPr>
          <w:p>
            <w:r>
              <w:t>excess_vs_QQQ_year_return</w:t>
            </w:r>
          </w:p>
        </w:tc>
        <w:tc>
          <w:tcPr>
            <w:tcW w:type="dxa" w:w="1271"/>
            <w:shd w:fill="D9EAF7"/>
          </w:tcPr>
          <w:p>
            <w:r>
              <w:t>max_drawdown</w:t>
            </w:r>
          </w:p>
        </w:tc>
        <w:tc>
          <w:tcPr>
            <w:tcW w:type="dxa" w:w="1271"/>
            <w:shd w:fill="D9EAF7"/>
          </w:tcPr>
          <w:p>
            <w:r>
              <w:t>sharpe</w:t>
            </w:r>
          </w:p>
        </w:tc>
        <w:tc>
          <w:tcPr>
            <w:tcW w:type="dxa" w:w="1271"/>
            <w:shd w:fill="D9EAF7"/>
          </w:tcPr>
          <w:p>
            <w:r>
              <w:t>avg_exposure</w:t>
            </w:r>
          </w:p>
        </w:tc>
        <w:tc>
          <w:tcPr>
            <w:tcW w:type="dxa" w:w="1271"/>
            <w:shd w:fill="D9EAF7"/>
          </w:tcPr>
          <w:p>
            <w:r>
              <w:t>selected_events</w:t>
            </w:r>
          </w:p>
        </w:tc>
        <w:tc>
          <w:tcPr>
            <w:tcW w:type="dxa" w:w="1271"/>
            <w:shd w:fill="D9EAF7"/>
          </w:tcPr>
          <w:p>
            <w:r>
              <w:t>avg_event_return_after_cost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2020</w:t>
            </w:r>
          </w:p>
        </w:tc>
        <w:tc>
          <w:tcPr>
            <w:tcW w:type="dxa" w:w="1271"/>
            <w:vAlign w:val="center"/>
          </w:tcPr>
          <w:p>
            <w:r>
              <w:t>15.64%</w:t>
            </w:r>
          </w:p>
        </w:tc>
        <w:tc>
          <w:tcPr>
            <w:tcW w:type="dxa" w:w="1271"/>
            <w:vAlign w:val="center"/>
          </w:tcPr>
          <w:p>
            <w:r>
              <w:t>0.75%</w:t>
            </w:r>
          </w:p>
        </w:tc>
        <w:tc>
          <w:tcPr>
            <w:tcW w:type="dxa" w:w="1271"/>
            <w:vAlign w:val="center"/>
          </w:tcPr>
          <w:p>
            <w:r>
              <w:t>-12.98%</w:t>
            </w:r>
          </w:p>
        </w:tc>
        <w:tc>
          <w:tcPr>
            <w:tcW w:type="dxa" w:w="1271"/>
            <w:vAlign w:val="center"/>
          </w:tcPr>
          <w:p>
            <w:r>
              <w:t>0.95</w:t>
            </w:r>
          </w:p>
        </w:tc>
        <w:tc>
          <w:tcPr>
            <w:tcW w:type="dxa" w:w="1271"/>
            <w:vAlign w:val="center"/>
          </w:tcPr>
          <w:p>
            <w:r>
              <w:t>29.54%</w:t>
            </w:r>
          </w:p>
        </w:tc>
        <w:tc>
          <w:tcPr>
            <w:tcW w:type="dxa" w:w="1271"/>
            <w:vAlign w:val="center"/>
          </w:tcPr>
          <w:p>
            <w:r>
              <w:t>27</w:t>
            </w:r>
          </w:p>
        </w:tc>
        <w:tc>
          <w:tcPr>
            <w:tcW w:type="dxa" w:w="1271"/>
            <w:vAlign w:val="center"/>
          </w:tcPr>
          <w:p>
            <w:r>
              <w:t>11.44%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2021</w:t>
            </w:r>
          </w:p>
        </w:tc>
        <w:tc>
          <w:tcPr>
            <w:tcW w:type="dxa" w:w="1271"/>
            <w:vAlign w:val="center"/>
          </w:tcPr>
          <w:p>
            <w:r>
              <w:t>5.59%</w:t>
            </w:r>
          </w:p>
        </w:tc>
        <w:tc>
          <w:tcPr>
            <w:tcW w:type="dxa" w:w="1271"/>
            <w:vAlign w:val="center"/>
          </w:tcPr>
          <w:p>
            <w:r>
              <w:t>1.31%</w:t>
            </w:r>
          </w:p>
        </w:tc>
        <w:tc>
          <w:tcPr>
            <w:tcW w:type="dxa" w:w="1271"/>
            <w:vAlign w:val="center"/>
          </w:tcPr>
          <w:p>
            <w:r>
              <w:t>-2.47%</w:t>
            </w:r>
          </w:p>
        </w:tc>
        <w:tc>
          <w:tcPr>
            <w:tcW w:type="dxa" w:w="1271"/>
            <w:vAlign w:val="center"/>
          </w:tcPr>
          <w:p>
            <w:r>
              <w:t>1.26</w:t>
            </w:r>
          </w:p>
        </w:tc>
        <w:tc>
          <w:tcPr>
            <w:tcW w:type="dxa" w:w="1271"/>
            <w:vAlign w:val="center"/>
          </w:tcPr>
          <w:p>
            <w:r>
              <w:t>16.73%</w:t>
            </w:r>
          </w:p>
        </w:tc>
        <w:tc>
          <w:tcPr>
            <w:tcW w:type="dxa" w:w="1271"/>
            <w:vAlign w:val="center"/>
          </w:tcPr>
          <w:p>
            <w:r>
              <w:t>15</w:t>
            </w:r>
          </w:p>
        </w:tc>
        <w:tc>
          <w:tcPr>
            <w:tcW w:type="dxa" w:w="1271"/>
            <w:vAlign w:val="center"/>
          </w:tcPr>
          <w:p>
            <w:r>
              <w:t>1.97%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2022</w:t>
            </w:r>
          </w:p>
        </w:tc>
        <w:tc>
          <w:tcPr>
            <w:tcW w:type="dxa" w:w="1271"/>
            <w:vAlign w:val="center"/>
          </w:tcPr>
          <w:p>
            <w:r>
              <w:t>-7.74%</w:t>
            </w:r>
          </w:p>
        </w:tc>
        <w:tc>
          <w:tcPr>
            <w:tcW w:type="dxa" w:w="1271"/>
            <w:vAlign w:val="center"/>
          </w:tcPr>
          <w:p>
            <w:r>
              <w:t>0.63%</w:t>
            </w:r>
          </w:p>
        </w:tc>
        <w:tc>
          <w:tcPr>
            <w:tcW w:type="dxa" w:w="1271"/>
            <w:vAlign w:val="center"/>
          </w:tcPr>
          <w:p>
            <w:r>
              <w:t>-9.52%</w:t>
            </w:r>
          </w:p>
        </w:tc>
        <w:tc>
          <w:tcPr>
            <w:tcW w:type="dxa" w:w="1271"/>
            <w:vAlign w:val="center"/>
          </w:tcPr>
          <w:p>
            <w:r>
              <w:t>-0.59</w:t>
            </w:r>
          </w:p>
        </w:tc>
        <w:tc>
          <w:tcPr>
            <w:tcW w:type="dxa" w:w="1271"/>
            <w:vAlign w:val="center"/>
          </w:tcPr>
          <w:p>
            <w:r>
              <w:t>27.39%</w:t>
            </w:r>
          </w:p>
        </w:tc>
        <w:tc>
          <w:tcPr>
            <w:tcW w:type="dxa" w:w="1271"/>
            <w:vAlign w:val="center"/>
          </w:tcPr>
          <w:p>
            <w:r>
              <w:t>23</w:t>
            </w:r>
          </w:p>
        </w:tc>
        <w:tc>
          <w:tcPr>
            <w:tcW w:type="dxa" w:w="1271"/>
            <w:vAlign w:val="center"/>
          </w:tcPr>
          <w:p>
            <w:r>
              <w:t>-1.63%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2023</w:t>
            </w:r>
          </w:p>
        </w:tc>
        <w:tc>
          <w:tcPr>
            <w:tcW w:type="dxa" w:w="1271"/>
            <w:vAlign w:val="center"/>
          </w:tcPr>
          <w:p>
            <w:r>
              <w:t>23.44%</w:t>
            </w:r>
          </w:p>
        </w:tc>
        <w:tc>
          <w:tcPr>
            <w:tcW w:type="dxa" w:w="1271"/>
            <w:vAlign w:val="center"/>
          </w:tcPr>
          <w:p>
            <w:r>
              <w:t>5.74%</w:t>
            </w:r>
          </w:p>
        </w:tc>
        <w:tc>
          <w:tcPr>
            <w:tcW w:type="dxa" w:w="1271"/>
            <w:vAlign w:val="center"/>
          </w:tcPr>
          <w:p>
            <w:r>
              <w:t>-2.88%</w:t>
            </w:r>
          </w:p>
        </w:tc>
        <w:tc>
          <w:tcPr>
            <w:tcW w:type="dxa" w:w="1271"/>
            <w:vAlign w:val="center"/>
          </w:tcPr>
          <w:p>
            <w:r>
              <w:t>2.97</w:t>
            </w:r>
          </w:p>
        </w:tc>
        <w:tc>
          <w:tcPr>
            <w:tcW w:type="dxa" w:w="1271"/>
            <w:vAlign w:val="center"/>
          </w:tcPr>
          <w:p>
            <w:r>
              <w:t>29.66%</w:t>
            </w:r>
          </w:p>
        </w:tc>
        <w:tc>
          <w:tcPr>
            <w:tcW w:type="dxa" w:w="1271"/>
            <w:vAlign w:val="center"/>
          </w:tcPr>
          <w:p>
            <w:r>
              <w:t>25</w:t>
            </w:r>
          </w:p>
        </w:tc>
        <w:tc>
          <w:tcPr>
            <w:tcW w:type="dxa" w:w="1271"/>
            <w:vAlign w:val="center"/>
          </w:tcPr>
          <w:p>
            <w:r>
              <w:t>17.08%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2024</w:t>
            </w:r>
          </w:p>
        </w:tc>
        <w:tc>
          <w:tcPr>
            <w:tcW w:type="dxa" w:w="1271"/>
            <w:vAlign w:val="center"/>
          </w:tcPr>
          <w:p>
            <w:r>
              <w:t>8.95%</w:t>
            </w:r>
          </w:p>
        </w:tc>
        <w:tc>
          <w:tcPr>
            <w:tcW w:type="dxa" w:w="1271"/>
            <w:vAlign w:val="center"/>
          </w:tcPr>
          <w:p>
            <w:r>
              <w:t>3.26%</w:t>
            </w:r>
          </w:p>
        </w:tc>
        <w:tc>
          <w:tcPr>
            <w:tcW w:type="dxa" w:w="1271"/>
            <w:vAlign w:val="center"/>
          </w:tcPr>
          <w:p>
            <w:r>
              <w:t>-5.66%</w:t>
            </w:r>
          </w:p>
        </w:tc>
        <w:tc>
          <w:tcPr>
            <w:tcW w:type="dxa" w:w="1271"/>
            <w:vAlign w:val="center"/>
          </w:tcPr>
          <w:p>
            <w:r>
              <w:t>1.28</w:t>
            </w:r>
          </w:p>
        </w:tc>
        <w:tc>
          <w:tcPr>
            <w:tcW w:type="dxa" w:w="1271"/>
            <w:vAlign w:val="center"/>
          </w:tcPr>
          <w:p>
            <w:r>
              <w:t>23.39%</w:t>
            </w:r>
          </w:p>
        </w:tc>
        <w:tc>
          <w:tcPr>
            <w:tcW w:type="dxa" w:w="1271"/>
            <w:vAlign w:val="center"/>
          </w:tcPr>
          <w:p>
            <w:r>
              <w:t>18</w:t>
            </w:r>
          </w:p>
        </w:tc>
        <w:tc>
          <w:tcPr>
            <w:tcW w:type="dxa" w:w="1271"/>
            <w:vAlign w:val="center"/>
          </w:tcPr>
          <w:p>
            <w:r>
              <w:t>5.01%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2025</w:t>
            </w:r>
          </w:p>
        </w:tc>
        <w:tc>
          <w:tcPr>
            <w:tcW w:type="dxa" w:w="1271"/>
            <w:vAlign w:val="center"/>
          </w:tcPr>
          <w:p>
            <w:r>
              <w:t>7.94%</w:t>
            </w:r>
          </w:p>
        </w:tc>
        <w:tc>
          <w:tcPr>
            <w:tcW w:type="dxa" w:w="1271"/>
            <w:vAlign w:val="center"/>
          </w:tcPr>
          <w:p>
            <w:r>
              <w:t>3.16%</w:t>
            </w:r>
          </w:p>
        </w:tc>
        <w:tc>
          <w:tcPr>
            <w:tcW w:type="dxa" w:w="1271"/>
            <w:vAlign w:val="center"/>
          </w:tcPr>
          <w:p>
            <w:r>
              <w:t>-6.64%</w:t>
            </w:r>
          </w:p>
        </w:tc>
        <w:tc>
          <w:tcPr>
            <w:tcW w:type="dxa" w:w="1271"/>
            <w:vAlign w:val="center"/>
          </w:tcPr>
          <w:p>
            <w:r>
              <w:t>1.15</w:t>
            </w:r>
          </w:p>
        </w:tc>
        <w:tc>
          <w:tcPr>
            <w:tcW w:type="dxa" w:w="1271"/>
            <w:vAlign w:val="center"/>
          </w:tcPr>
          <w:p>
            <w:r>
              <w:t>18.18%</w:t>
            </w:r>
          </w:p>
        </w:tc>
        <w:tc>
          <w:tcPr>
            <w:tcW w:type="dxa" w:w="1271"/>
            <w:vAlign w:val="center"/>
          </w:tcPr>
          <w:p>
            <w:r>
              <w:t>16</w:t>
            </w:r>
          </w:p>
        </w:tc>
        <w:tc>
          <w:tcPr>
            <w:tcW w:type="dxa" w:w="1271"/>
            <w:vAlign w:val="center"/>
          </w:tcPr>
          <w:p>
            <w:r>
              <w:t>12.26%</w:t>
            </w:r>
          </w:p>
        </w:tc>
      </w:tr>
      <w:tr>
        <w:tc>
          <w:tcPr>
            <w:tcW w:type="dxa" w:w="1271"/>
            <w:vAlign w:val="center"/>
          </w:tcPr>
          <w:p>
            <w:r>
              <w:t>2026</w:t>
            </w:r>
          </w:p>
        </w:tc>
        <w:tc>
          <w:tcPr>
            <w:tcW w:type="dxa" w:w="1271"/>
            <w:vAlign w:val="center"/>
          </w:tcPr>
          <w:p>
            <w:r>
              <w:t>0.92%</w:t>
            </w:r>
          </w:p>
        </w:tc>
        <w:tc>
          <w:tcPr>
            <w:tcW w:type="dxa" w:w="1271"/>
            <w:vAlign w:val="center"/>
          </w:tcPr>
          <w:p>
            <w:r>
              <w:t>0.79%</w:t>
            </w:r>
          </w:p>
        </w:tc>
        <w:tc>
          <w:tcPr>
            <w:tcW w:type="dxa" w:w="1271"/>
            <w:vAlign w:val="center"/>
          </w:tcPr>
          <w:p>
            <w:r>
              <w:t>-4.08%</w:t>
            </w:r>
          </w:p>
        </w:tc>
        <w:tc>
          <w:tcPr>
            <w:tcW w:type="dxa" w:w="1271"/>
            <w:vAlign w:val="center"/>
          </w:tcPr>
          <w:p>
            <w:r>
              <w:t>0.49</w:t>
            </w:r>
          </w:p>
        </w:tc>
        <w:tc>
          <w:tcPr>
            <w:tcW w:type="dxa" w:w="1271"/>
            <w:vAlign w:val="center"/>
          </w:tcPr>
          <w:p>
            <w:r>
              <w:t>11.61%</w:t>
            </w:r>
          </w:p>
        </w:tc>
        <w:tc>
          <w:tcPr>
            <w:tcW w:type="dxa" w:w="1271"/>
            <w:vAlign w:val="center"/>
          </w:tcPr>
          <w:p>
            <w:r>
              <w:t>1</w:t>
            </w:r>
          </w:p>
        </w:tc>
        <w:tc>
          <w:tcPr>
            <w:tcW w:type="dxa" w:w="1271"/>
            <w:vAlign w:val="center"/>
          </w:tcPr>
          <w:p>
            <w:r>
              <w:t>4.48%</w:t>
            </w:r>
          </w:p>
        </w:tc>
      </w:tr>
    </w:tbl>
    <w:p>
      <w:pPr>
        <w:pStyle w:val="Heading1"/>
      </w:pPr>
      <w:r>
        <w:t>Selected Trades</w:t>
      </w:r>
    </w:p>
    <w:p>
      <w:pPr>
        <w:pStyle w:val="Heading2"/>
      </w:pPr>
      <w:r>
        <w:t>Top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CRWD</w:t>
            </w:r>
          </w:p>
        </w:tc>
        <w:tc>
          <w:tcPr>
            <w:tcW w:type="dxa" w:w="1694"/>
            <w:vAlign w:val="center"/>
          </w:tcPr>
          <w:p>
            <w:r>
              <w:t>2020-03-20</w:t>
            </w:r>
          </w:p>
        </w:tc>
        <w:tc>
          <w:tcPr>
            <w:tcW w:type="dxa" w:w="1694"/>
            <w:vAlign w:val="center"/>
          </w:tcPr>
          <w:p>
            <w:r>
              <w:t>2020-06-16</w:t>
            </w:r>
          </w:p>
        </w:tc>
        <w:tc>
          <w:tcPr>
            <w:tcW w:type="dxa" w:w="1694"/>
            <w:vAlign w:val="center"/>
          </w:tcPr>
          <w:p>
            <w:r>
              <w:t>1.0596</w:t>
            </w:r>
          </w:p>
        </w:tc>
        <w:tc>
          <w:tcPr>
            <w:tcW w:type="dxa" w:w="1694"/>
            <w:vAlign w:val="center"/>
          </w:tcPr>
          <w:p>
            <w:r>
              <w:t>0.6359</w:t>
            </w:r>
          </w:p>
        </w:tc>
        <w:tc>
          <w:tcPr>
            <w:tcW w:type="dxa" w:w="1694"/>
            <w:vAlign w:val="center"/>
          </w:tcPr>
          <w:p>
            <w:r>
              <w:t>2.1000</w:t>
            </w:r>
          </w:p>
        </w:tc>
      </w:tr>
      <w:tr>
        <w:tc>
          <w:tcPr>
            <w:tcW w:type="dxa" w:w="1694"/>
            <w:vAlign w:val="center"/>
          </w:tcPr>
          <w:p>
            <w:r>
              <w:t>MU</w:t>
            </w:r>
          </w:p>
        </w:tc>
        <w:tc>
          <w:tcPr>
            <w:tcW w:type="dxa" w:w="1694"/>
            <w:vAlign w:val="center"/>
          </w:tcPr>
          <w:p>
            <w:r>
              <w:t>2025-12-18</w:t>
            </w:r>
          </w:p>
        </w:tc>
        <w:tc>
          <w:tcPr>
            <w:tcW w:type="dxa" w:w="1694"/>
            <w:vAlign w:val="center"/>
          </w:tcPr>
          <w:p>
            <w:r>
              <w:t>2026-03-18</w:t>
            </w:r>
          </w:p>
        </w:tc>
        <w:tc>
          <w:tcPr>
            <w:tcW w:type="dxa" w:w="1694"/>
            <w:vAlign w:val="center"/>
          </w:tcPr>
          <w:p>
            <w:r>
              <w:t>0.8564</w:t>
            </w:r>
          </w:p>
        </w:tc>
        <w:tc>
          <w:tcPr>
            <w:tcW w:type="dxa" w:w="1694"/>
            <w:vAlign w:val="center"/>
          </w:tcPr>
          <w:p>
            <w:r>
              <w:t>0.8805</w:t>
            </w:r>
          </w:p>
        </w:tc>
        <w:tc>
          <w:tcPr>
            <w:tcW w:type="dxa" w:w="1694"/>
            <w:vAlign w:val="center"/>
          </w:tcPr>
          <w:p>
            <w:r>
              <w:t>0.5831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2023-11-01</w:t>
            </w:r>
          </w:p>
        </w:tc>
        <w:tc>
          <w:tcPr>
            <w:tcW w:type="dxa" w:w="1694"/>
            <w:vAlign w:val="center"/>
          </w:tcPr>
          <w:p>
            <w:r>
              <w:t>2024-01-30</w:t>
            </w:r>
          </w:p>
        </w:tc>
        <w:tc>
          <w:tcPr>
            <w:tcW w:type="dxa" w:w="1694"/>
            <w:vAlign w:val="center"/>
          </w:tcPr>
          <w:p>
            <w:r>
              <w:t>0.5906</w:t>
            </w:r>
          </w:p>
        </w:tc>
        <w:tc>
          <w:tcPr>
            <w:tcW w:type="dxa" w:w="1694"/>
            <w:vAlign w:val="center"/>
          </w:tcPr>
          <w:p>
            <w:r>
              <w:t>0.3981</w:t>
            </w:r>
          </w:p>
        </w:tc>
        <w:tc>
          <w:tcPr>
            <w:tcW w:type="dxa" w:w="1694"/>
            <w:vAlign w:val="center"/>
          </w:tcPr>
          <w:p>
            <w:r>
              <w:t>0.6975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2025-10-24</w:t>
            </w:r>
          </w:p>
        </w:tc>
        <w:tc>
          <w:tcPr>
            <w:tcW w:type="dxa" w:w="1694"/>
            <w:vAlign w:val="center"/>
          </w:tcPr>
          <w:p>
            <w:r>
              <w:t>2026-01-22</w:t>
            </w:r>
          </w:p>
        </w:tc>
        <w:tc>
          <w:tcPr>
            <w:tcW w:type="dxa" w:w="1694"/>
            <w:vAlign w:val="center"/>
          </w:tcPr>
          <w:p>
            <w:r>
              <w:t>0.4170</w:t>
            </w:r>
          </w:p>
        </w:tc>
        <w:tc>
          <w:tcPr>
            <w:tcW w:type="dxa" w:w="1694"/>
            <w:vAlign w:val="center"/>
          </w:tcPr>
          <w:p>
            <w:r>
              <w:t>0.4118</w:t>
            </w:r>
          </w:p>
        </w:tc>
        <w:tc>
          <w:tcPr>
            <w:tcW w:type="dxa" w:w="1694"/>
            <w:vAlign w:val="center"/>
          </w:tcPr>
          <w:p>
            <w:r>
              <w:t>0.9139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2020-10-29</w:t>
            </w:r>
          </w:p>
        </w:tc>
        <w:tc>
          <w:tcPr>
            <w:tcW w:type="dxa" w:w="1694"/>
            <w:vAlign w:val="center"/>
          </w:tcPr>
          <w:p>
            <w:r>
              <w:t>2021-01-27</w:t>
            </w:r>
          </w:p>
        </w:tc>
        <w:tc>
          <w:tcPr>
            <w:tcW w:type="dxa" w:w="1694"/>
            <w:vAlign w:val="center"/>
          </w:tcPr>
          <w:p>
            <w:r>
              <w:t>0.4119</w:t>
            </w:r>
          </w:p>
        </w:tc>
        <w:tc>
          <w:tcPr>
            <w:tcW w:type="dxa" w:w="1694"/>
            <w:vAlign w:val="center"/>
          </w:tcPr>
          <w:p>
            <w:r>
              <w:t>0.2561</w:t>
            </w:r>
          </w:p>
        </w:tc>
        <w:tc>
          <w:tcPr>
            <w:tcW w:type="dxa" w:w="1694"/>
            <w:vAlign w:val="center"/>
          </w:tcPr>
          <w:p>
            <w:r>
              <w:t>0.4921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INTC</w:t>
            </w:r>
          </w:p>
        </w:tc>
        <w:tc>
          <w:tcPr>
            <w:tcW w:type="dxa" w:w="1694"/>
            <w:vAlign w:val="center"/>
          </w:tcPr>
          <w:p>
            <w:r>
              <w:t>2023-10-27</w:t>
            </w:r>
          </w:p>
        </w:tc>
        <w:tc>
          <w:tcPr>
            <w:tcW w:type="dxa" w:w="1694"/>
            <w:vAlign w:val="center"/>
          </w:tcPr>
          <w:p>
            <w:r>
              <w:t>2024-01-25</w:t>
            </w:r>
          </w:p>
        </w:tc>
        <w:tc>
          <w:tcPr>
            <w:tcW w:type="dxa" w:w="1694"/>
            <w:vAlign w:val="center"/>
          </w:tcPr>
          <w:p>
            <w:r>
              <w:t>0.3968</w:t>
            </w:r>
          </w:p>
        </w:tc>
        <w:tc>
          <w:tcPr>
            <w:tcW w:type="dxa" w:w="1694"/>
            <w:vAlign w:val="center"/>
          </w:tcPr>
          <w:p>
            <w:r>
              <w:t>0.1610</w:t>
            </w:r>
          </w:p>
        </w:tc>
        <w:tc>
          <w:tcPr>
            <w:tcW w:type="dxa" w:w="1694"/>
            <w:vAlign w:val="center"/>
          </w:tcPr>
          <w:p>
            <w:r>
              <w:t>1.8790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2023-10-26</w:t>
            </w:r>
          </w:p>
        </w:tc>
        <w:tc>
          <w:tcPr>
            <w:tcW w:type="dxa" w:w="1694"/>
            <w:vAlign w:val="center"/>
          </w:tcPr>
          <w:p>
            <w:r>
              <w:t>2024-01-24</w:t>
            </w:r>
          </w:p>
        </w:tc>
        <w:tc>
          <w:tcPr>
            <w:tcW w:type="dxa" w:w="1694"/>
            <w:vAlign w:val="center"/>
          </w:tcPr>
          <w:p>
            <w:r>
              <w:t>0.3951</w:t>
            </w:r>
          </w:p>
        </w:tc>
        <w:tc>
          <w:tcPr>
            <w:tcW w:type="dxa" w:w="1694"/>
            <w:vAlign w:val="center"/>
          </w:tcPr>
          <w:p>
            <w:r>
              <w:t>0.1549</w:t>
            </w:r>
          </w:p>
        </w:tc>
        <w:tc>
          <w:tcPr>
            <w:tcW w:type="dxa" w:w="1694"/>
            <w:vAlign w:val="center"/>
          </w:tcPr>
          <w:p>
            <w:r>
              <w:t>0.5360</w:t>
            </w:r>
          </w:p>
        </w:tc>
      </w:tr>
      <w:tr>
        <w:tc>
          <w:tcPr>
            <w:tcW w:type="dxa" w:w="1694"/>
            <w:vAlign w:val="center"/>
          </w:tcPr>
          <w:p>
            <w:r>
              <w:t>NOW</w:t>
            </w:r>
          </w:p>
        </w:tc>
        <w:tc>
          <w:tcPr>
            <w:tcW w:type="dxa" w:w="1694"/>
            <w:vAlign w:val="center"/>
          </w:tcPr>
          <w:p>
            <w:r>
              <w:t>2023-10-26</w:t>
            </w:r>
          </w:p>
        </w:tc>
        <w:tc>
          <w:tcPr>
            <w:tcW w:type="dxa" w:w="1694"/>
            <w:vAlign w:val="center"/>
          </w:tcPr>
          <w:p>
            <w:r>
              <w:t>2024-01-24</w:t>
            </w:r>
          </w:p>
        </w:tc>
        <w:tc>
          <w:tcPr>
            <w:tcW w:type="dxa" w:w="1694"/>
            <w:vAlign w:val="center"/>
          </w:tcPr>
          <w:p>
            <w:r>
              <w:t>0.3836</w:t>
            </w:r>
          </w:p>
        </w:tc>
        <w:tc>
          <w:tcPr>
            <w:tcW w:type="dxa" w:w="1694"/>
            <w:vAlign w:val="center"/>
          </w:tcPr>
          <w:p>
            <w:r>
              <w:t>0.1434</w:t>
            </w:r>
          </w:p>
        </w:tc>
        <w:tc>
          <w:tcPr>
            <w:tcW w:type="dxa" w:w="1694"/>
            <w:vAlign w:val="center"/>
          </w:tcPr>
          <w:p>
            <w:r>
              <w:t>0.5603</w:t>
            </w:r>
          </w:p>
        </w:tc>
      </w:tr>
    </w:tbl>
    <w:p>
      <w:pPr>
        <w:pStyle w:val="Heading2"/>
      </w:pPr>
      <w:r>
        <w:t>Bottom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D9EAF7"/>
          </w:tcPr>
          <w:p>
            <w:r>
              <w:t>symbol</w:t>
            </w:r>
          </w:p>
        </w:tc>
        <w:tc>
          <w:tcPr>
            <w:tcW w:type="dxa" w:w="1694"/>
            <w:shd w:fill="D9EAF7"/>
          </w:tcPr>
          <w:p>
            <w:r>
              <w:t>entry_date</w:t>
            </w:r>
          </w:p>
        </w:tc>
        <w:tc>
          <w:tcPr>
            <w:tcW w:type="dxa" w:w="1694"/>
            <w:shd w:fill="D9EAF7"/>
          </w:tcPr>
          <w:p>
            <w:r>
              <w:t>exit_date</w:t>
            </w:r>
          </w:p>
        </w:tc>
        <w:tc>
          <w:tcPr>
            <w:tcW w:type="dxa" w:w="1694"/>
            <w:shd w:fill="D9EAF7"/>
          </w:tcPr>
          <w:p>
            <w:r>
              <w:t>event_return_after_cost</w:t>
            </w:r>
          </w:p>
        </w:tc>
        <w:tc>
          <w:tcPr>
            <w:tcW w:type="dxa" w:w="1694"/>
            <w:shd w:fill="D9EAF7"/>
          </w:tcPr>
          <w:p>
            <w:r>
              <w:t>excess_vs_QQQ_event_return</w:t>
            </w:r>
          </w:p>
        </w:tc>
        <w:tc>
          <w:tcPr>
            <w:tcW w:type="dxa" w:w="1694"/>
            <w:shd w:fill="D9EAF7"/>
          </w:tcPr>
          <w:p>
            <w:r>
              <w:t>rank_score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INTU</w:t>
            </w:r>
          </w:p>
        </w:tc>
        <w:tc>
          <w:tcPr>
            <w:tcW w:type="dxa" w:w="1694"/>
            <w:vAlign w:val="center"/>
          </w:tcPr>
          <w:p>
            <w:r>
              <w:t>2025-11-21</w:t>
            </w:r>
          </w:p>
        </w:tc>
        <w:tc>
          <w:tcPr>
            <w:tcW w:type="dxa" w:w="1694"/>
            <w:vAlign w:val="center"/>
          </w:tcPr>
          <w:p>
            <w:r>
              <w:t>2026-02-20</w:t>
            </w:r>
          </w:p>
        </w:tc>
        <w:tc>
          <w:tcPr>
            <w:tcW w:type="dxa" w:w="1694"/>
            <w:vAlign w:val="center"/>
          </w:tcPr>
          <w:p>
            <w:r>
              <w:t>-0.4271</w:t>
            </w:r>
          </w:p>
        </w:tc>
        <w:tc>
          <w:tcPr>
            <w:tcW w:type="dxa" w:w="1694"/>
            <w:vAlign w:val="center"/>
          </w:tcPr>
          <w:p>
            <w:r>
              <w:t>-0.4582</w:t>
            </w:r>
          </w:p>
        </w:tc>
        <w:tc>
          <w:tcPr>
            <w:tcW w:type="dxa" w:w="1694"/>
            <w:vAlign w:val="center"/>
          </w:tcPr>
          <w:p>
            <w:r>
              <w:t>0.6167</w:t>
            </w:r>
          </w:p>
        </w:tc>
      </w:tr>
      <w:tr>
        <w:tc>
          <w:tcPr>
            <w:tcW w:type="dxa" w:w="1694"/>
            <w:vAlign w:val="center"/>
          </w:tcPr>
          <w:p>
            <w:r>
              <w:t>AMD</w:t>
            </w:r>
          </w:p>
        </w:tc>
        <w:tc>
          <w:tcPr>
            <w:tcW w:type="dxa" w:w="1694"/>
            <w:vAlign w:val="center"/>
          </w:tcPr>
          <w:p>
            <w:r>
              <w:t>2022-02-02</w:t>
            </w:r>
          </w:p>
        </w:tc>
        <w:tc>
          <w:tcPr>
            <w:tcW w:type="dxa" w:w="1694"/>
            <w:vAlign w:val="center"/>
          </w:tcPr>
          <w:p>
            <w:r>
              <w:t>2022-04-29</w:t>
            </w:r>
          </w:p>
        </w:tc>
        <w:tc>
          <w:tcPr>
            <w:tcW w:type="dxa" w:w="1694"/>
            <w:vAlign w:val="center"/>
          </w:tcPr>
          <w:p>
            <w:r>
              <w:t>-0.3054</w:t>
            </w:r>
          </w:p>
        </w:tc>
        <w:tc>
          <w:tcPr>
            <w:tcW w:type="dxa" w:w="1694"/>
            <w:vAlign w:val="center"/>
          </w:tcPr>
          <w:p>
            <w:r>
              <w:t>-0.1545</w:t>
            </w:r>
          </w:p>
        </w:tc>
        <w:tc>
          <w:tcPr>
            <w:tcW w:type="dxa" w:w="1694"/>
            <w:vAlign w:val="center"/>
          </w:tcPr>
          <w:p>
            <w:r>
              <w:t>0.7066</w:t>
            </w:r>
          </w:p>
        </w:tc>
      </w:tr>
      <w:tr>
        <w:tc>
          <w:tcPr>
            <w:tcW w:type="dxa" w:w="1694"/>
            <w:vAlign w:val="center"/>
          </w:tcPr>
          <w:p>
            <w:r>
              <w:t>INTU</w:t>
            </w:r>
          </w:p>
        </w:tc>
        <w:tc>
          <w:tcPr>
            <w:tcW w:type="dxa" w:w="1694"/>
            <w:vAlign w:val="center"/>
          </w:tcPr>
          <w:p>
            <w:r>
              <w:t>2021-11-19</w:t>
            </w:r>
          </w:p>
        </w:tc>
        <w:tc>
          <w:tcPr>
            <w:tcW w:type="dxa" w:w="1694"/>
            <w:vAlign w:val="center"/>
          </w:tcPr>
          <w:p>
            <w:r>
              <w:t>2022-02-16</w:t>
            </w:r>
          </w:p>
        </w:tc>
        <w:tc>
          <w:tcPr>
            <w:tcW w:type="dxa" w:w="1694"/>
            <w:vAlign w:val="center"/>
          </w:tcPr>
          <w:p>
            <w:r>
              <w:t>-0.2383</w:t>
            </w:r>
          </w:p>
        </w:tc>
        <w:tc>
          <w:tcPr>
            <w:tcW w:type="dxa" w:w="1694"/>
            <w:vAlign w:val="center"/>
          </w:tcPr>
          <w:p>
            <w:r>
              <w:t>-0.1187</w:t>
            </w:r>
          </w:p>
        </w:tc>
        <w:tc>
          <w:tcPr>
            <w:tcW w:type="dxa" w:w="1694"/>
            <w:vAlign w:val="center"/>
          </w:tcPr>
          <w:p>
            <w:r>
              <w:t>1.2097</w:t>
            </w:r>
          </w:p>
        </w:tc>
      </w:tr>
      <w:tr>
        <w:tc>
          <w:tcPr>
            <w:tcW w:type="dxa" w:w="1694"/>
            <w:vAlign w:val="center"/>
          </w:tcPr>
          <w:p>
            <w:r>
              <w:t>KLAC</w:t>
            </w:r>
          </w:p>
        </w:tc>
        <w:tc>
          <w:tcPr>
            <w:tcW w:type="dxa" w:w="1694"/>
            <w:vAlign w:val="center"/>
          </w:tcPr>
          <w:p>
            <w:r>
              <w:t>2022-07-29</w:t>
            </w:r>
          </w:p>
        </w:tc>
        <w:tc>
          <w:tcPr>
            <w:tcW w:type="dxa" w:w="1694"/>
            <w:vAlign w:val="center"/>
          </w:tcPr>
          <w:p>
            <w:r>
              <w:t>2022-10-24</w:t>
            </w:r>
          </w:p>
        </w:tc>
        <w:tc>
          <w:tcPr>
            <w:tcW w:type="dxa" w:w="1694"/>
            <w:vAlign w:val="center"/>
          </w:tcPr>
          <w:p>
            <w:r>
              <w:t>-0.2291</w:t>
            </w:r>
          </w:p>
        </w:tc>
        <w:tc>
          <w:tcPr>
            <w:tcW w:type="dxa" w:w="1694"/>
            <w:vAlign w:val="center"/>
          </w:tcPr>
          <w:p>
            <w:r>
              <w:t>-0.1114</w:t>
            </w:r>
          </w:p>
        </w:tc>
        <w:tc>
          <w:tcPr>
            <w:tcW w:type="dxa" w:w="1694"/>
            <w:vAlign w:val="center"/>
          </w:tcPr>
          <w:p>
            <w:r>
              <w:t>0.5031</w:t>
            </w:r>
          </w:p>
        </w:tc>
      </w:tr>
      <w:tr>
        <w:tc>
          <w:tcPr>
            <w:tcW w:type="dxa" w:w="1694"/>
            <w:vAlign w:val="center"/>
          </w:tcPr>
          <w:p>
            <w:r>
              <w:t>CRM</w:t>
            </w:r>
          </w:p>
        </w:tc>
        <w:tc>
          <w:tcPr>
            <w:tcW w:type="dxa" w:w="1694"/>
            <w:vAlign w:val="center"/>
          </w:tcPr>
          <w:p>
            <w:r>
              <w:t>2025-12-04</w:t>
            </w:r>
          </w:p>
        </w:tc>
        <w:tc>
          <w:tcPr>
            <w:tcW w:type="dxa" w:w="1694"/>
            <w:vAlign w:val="center"/>
          </w:tcPr>
          <w:p>
            <w:r>
              <w:t>2026-03-04</w:t>
            </w:r>
          </w:p>
        </w:tc>
        <w:tc>
          <w:tcPr>
            <w:tcW w:type="dxa" w:w="1694"/>
            <w:vAlign w:val="center"/>
          </w:tcPr>
          <w:p>
            <w:r>
              <w:t>-0.2205</w:t>
            </w:r>
          </w:p>
        </w:tc>
        <w:tc>
          <w:tcPr>
            <w:tcW w:type="dxa" w:w="1694"/>
            <w:vAlign w:val="center"/>
          </w:tcPr>
          <w:p>
            <w:r>
              <w:t>-0.2002</w:t>
            </w:r>
          </w:p>
        </w:tc>
        <w:tc>
          <w:tcPr>
            <w:tcW w:type="dxa" w:w="1694"/>
            <w:vAlign w:val="center"/>
          </w:tcPr>
          <w:p>
            <w:r>
              <w:t>0.7154</w:t>
            </w:r>
          </w:p>
        </w:tc>
      </w:tr>
      <w:tr>
        <w:tc>
          <w:tcPr>
            <w:tcW w:type="dxa" w:w="1694"/>
            <w:vAlign w:val="center"/>
          </w:tcPr>
          <w:p>
            <w:r>
              <w:t>AMAT</w:t>
            </w:r>
          </w:p>
        </w:tc>
        <w:tc>
          <w:tcPr>
            <w:tcW w:type="dxa" w:w="1694"/>
            <w:vAlign w:val="center"/>
          </w:tcPr>
          <w:p>
            <w:r>
              <w:t>2020-02-13</w:t>
            </w:r>
          </w:p>
        </w:tc>
        <w:tc>
          <w:tcPr>
            <w:tcW w:type="dxa" w:w="1694"/>
            <w:vAlign w:val="center"/>
          </w:tcPr>
          <w:p>
            <w:r>
              <w:t>2020-05-11</w:t>
            </w:r>
          </w:p>
        </w:tc>
        <w:tc>
          <w:tcPr>
            <w:tcW w:type="dxa" w:w="1694"/>
            <w:vAlign w:val="center"/>
          </w:tcPr>
          <w:p>
            <w:r>
              <w:t>-0.1978</w:t>
            </w:r>
          </w:p>
        </w:tc>
        <w:tc>
          <w:tcPr>
            <w:tcW w:type="dxa" w:w="1694"/>
            <w:vAlign w:val="center"/>
          </w:tcPr>
          <w:p>
            <w:r>
              <w:t>-0.1675</w:t>
            </w:r>
          </w:p>
        </w:tc>
        <w:tc>
          <w:tcPr>
            <w:tcW w:type="dxa" w:w="1694"/>
            <w:vAlign w:val="center"/>
          </w:tcPr>
          <w:p>
            <w:r>
              <w:t>0.2828</w:t>
            </w:r>
          </w:p>
        </w:tc>
      </w:tr>
      <w:tr>
        <w:tc>
          <w:tcPr>
            <w:tcW w:type="dxa" w:w="1694"/>
            <w:vAlign w:val="center"/>
          </w:tcPr>
          <w:p>
            <w:r>
              <w:t>CRWD</w:t>
            </w:r>
          </w:p>
        </w:tc>
        <w:tc>
          <w:tcPr>
            <w:tcW w:type="dxa" w:w="1694"/>
            <w:vAlign w:val="center"/>
          </w:tcPr>
          <w:p>
            <w:r>
              <w:t>2024-06-05</w:t>
            </w:r>
          </w:p>
        </w:tc>
        <w:tc>
          <w:tcPr>
            <w:tcW w:type="dxa" w:w="1694"/>
            <w:vAlign w:val="center"/>
          </w:tcPr>
          <w:p>
            <w:r>
              <w:t>2024-08-30</w:t>
            </w:r>
          </w:p>
        </w:tc>
        <w:tc>
          <w:tcPr>
            <w:tcW w:type="dxa" w:w="1694"/>
            <w:vAlign w:val="center"/>
          </w:tcPr>
          <w:p>
            <w:r>
              <w:t>-0.1917</w:t>
            </w:r>
          </w:p>
        </w:tc>
        <w:tc>
          <w:tcPr>
            <w:tcW w:type="dxa" w:w="1694"/>
            <w:vAlign w:val="center"/>
          </w:tcPr>
          <w:p>
            <w:r>
              <w:t>-0.2188</w:t>
            </w:r>
          </w:p>
        </w:tc>
        <w:tc>
          <w:tcPr>
            <w:tcW w:type="dxa" w:w="1694"/>
            <w:vAlign w:val="center"/>
          </w:tcPr>
          <w:p>
            <w:r>
              <w:t>1.0862</w:t>
            </w:r>
          </w:p>
        </w:tc>
      </w:tr>
      <w:tr>
        <w:tc>
          <w:tcPr>
            <w:tcW w:type="dxa" w:w="1694"/>
            <w:vAlign w:val="center"/>
          </w:tcPr>
          <w:p>
            <w:r>
              <w:t>QCOM</w:t>
            </w:r>
          </w:p>
        </w:tc>
        <w:tc>
          <w:tcPr>
            <w:tcW w:type="dxa" w:w="1694"/>
            <w:vAlign w:val="center"/>
          </w:tcPr>
          <w:p>
            <w:r>
              <w:t>2022-02-03</w:t>
            </w:r>
          </w:p>
        </w:tc>
        <w:tc>
          <w:tcPr>
            <w:tcW w:type="dxa" w:w="1694"/>
            <w:vAlign w:val="center"/>
          </w:tcPr>
          <w:p>
            <w:r>
              <w:t>2022-05-02</w:t>
            </w:r>
          </w:p>
        </w:tc>
        <w:tc>
          <w:tcPr>
            <w:tcW w:type="dxa" w:w="1694"/>
            <w:vAlign w:val="center"/>
          </w:tcPr>
          <w:p>
            <w:r>
              <w:t>-0.1875</w:t>
            </w:r>
          </w:p>
        </w:tc>
        <w:tc>
          <w:tcPr>
            <w:tcW w:type="dxa" w:w="1694"/>
            <w:vAlign w:val="center"/>
          </w:tcPr>
          <w:p>
            <w:r>
              <w:t>-0.0874</w:t>
            </w:r>
          </w:p>
        </w:tc>
        <w:tc>
          <w:tcPr>
            <w:tcW w:type="dxa" w:w="1694"/>
            <w:vAlign w:val="center"/>
          </w:tcPr>
          <w:p>
            <w:r>
              <w:t>0.6758</w:t>
            </w:r>
          </w:p>
        </w:tc>
      </w:tr>
    </w:tbl>
    <w:p>
      <w:pPr>
        <w:pStyle w:val="Heading1"/>
      </w:pPr>
      <w:r>
        <w:t>Literature Support</w:t>
      </w:r>
    </w:p>
    <w:p>
      <w:r>
        <w:rPr>
          <w:b/>
        </w:rPr>
        <w:t>Post-Earnings-Announcement Drift</w:t>
      </w:r>
      <w:r>
        <w:t xml:space="preserve"> - Bernard and Thomas. </w:t>
      </w:r>
      <w:r>
        <w:t>https://econpapers.repec.org/RePEc:bla:joares:v:27:y:1989:i::p:1-36</w:t>
      </w:r>
    </w:p>
    <w:p>
      <w:r>
        <w:rPr>
          <w:b/>
        </w:rPr>
        <w:t>Revenue Surprises and Stock Returns</w:t>
      </w:r>
      <w:r>
        <w:t xml:space="preserve"> - Jegadeesh and Livnat. </w:t>
      </w:r>
      <w:r>
        <w:t>https://papers.ssrn.com/sol3/papers.cfm?abstract_id=903767</w:t>
      </w:r>
    </w:p>
    <w:p>
      <w:pPr>
        <w:pStyle w:val="Heading1"/>
      </w:pPr>
      <w:r>
        <w:t>Data and Research Caveats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Requested symbols</w:t>
            </w:r>
          </w:p>
        </w:tc>
        <w:tc>
          <w:tcPr>
            <w:tcW w:type="dxa" w:w="6336"/>
            <w:vAlign w:val="center"/>
          </w:tcPr>
          <w:p>
            <w:r>
              <w:t>51</w:t>
            </w:r>
          </w:p>
        </w:tc>
      </w:tr>
      <w:tr>
        <w:tc>
          <w:tcPr>
            <w:tcW w:type="dxa" w:w="3456"/>
            <w:vAlign w:val="center"/>
          </w:tcPr>
          <w:p>
            <w:r>
              <w:t>Available price symbols</w:t>
            </w:r>
          </w:p>
        </w:tc>
        <w:tc>
          <w:tcPr>
            <w:tcW w:type="dxa" w:w="6336"/>
            <w:vAlign w:val="center"/>
          </w:tcPr>
          <w:p>
            <w:r>
              <w:t>49</w:t>
            </w:r>
          </w:p>
        </w:tc>
      </w:tr>
      <w:tr>
        <w:tc>
          <w:tcPr>
            <w:tcW w:type="dxa" w:w="3456"/>
            <w:vAlign w:val="center"/>
          </w:tcPr>
          <w:p>
            <w:r>
              <w:t>Event count</w:t>
            </w:r>
          </w:p>
        </w:tc>
        <w:tc>
          <w:tcPr>
            <w:tcW w:type="dxa" w:w="6336"/>
            <w:vAlign w:val="center"/>
          </w:tcPr>
          <w:p>
            <w:r>
              <w:t>638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price symbols</w:t>
            </w:r>
          </w:p>
        </w:tc>
        <w:tc>
          <w:tcPr>
            <w:tcW w:type="dxa" w:w="6336"/>
            <w:vAlign w:val="center"/>
          </w:tcPr>
          <w:p>
            <w:r>
              <w:t>SNOW, TSM</w:t>
            </w:r>
          </w:p>
        </w:tc>
      </w:tr>
      <w:tr>
        <w:tc>
          <w:tcPr>
            <w:tcW w:type="dxa" w:w="3456"/>
            <w:vAlign w:val="center"/>
          </w:tcPr>
          <w:p>
            <w:r>
              <w:t>Missing earnings symbols</w:t>
            </w:r>
          </w:p>
        </w:tc>
        <w:tc>
          <w:tcPr>
            <w:tcW w:type="dxa" w:w="6336"/>
            <w:vAlign w:val="center"/>
          </w:tcPr>
          <w:p>
            <w:r>
              <w:t>ADI, ADSK, ANET, ASML, CSCO, DDOG, DE, DELL, GOOG, HPE, HPQ, IBM, MPWR, MRVL, NXPI, ON, PYPL, SHOP, SMCI, TSLA, TTD, UBER, WDAY, ZS</w:t>
            </w:r>
          </w:p>
        </w:tc>
      </w:tr>
    </w:tbl>
    <w:p>
      <w:pPr>
        <w:pStyle w:val="ListBullet"/>
      </w:pPr>
      <w:r>
        <w:t>Alpha Vantage earnings history is research-grade and may not be point-in-time revised history.</w:t>
      </w:r>
    </w:p>
    <w:p>
      <w:pPr>
        <w:pStyle w:val="ListBullet"/>
      </w:pPr>
      <w:r>
        <w:t>US universe is curated/current and therefore survivorship-biased.</w:t>
      </w:r>
    </w:p>
    <w:p>
      <w:pPr>
        <w:pStyle w:val="ListBullet"/>
      </w:pPr>
      <w:r>
        <w:t>Daily close-to-close execution approximates earnings timing.</w:t>
      </w:r>
    </w:p>
    <w:p>
      <w:pPr>
        <w:pStyle w:val="ListBullet"/>
      </w:pPr>
      <w:r>
        <w:t>No revenue surprise, guidance, analyst revision, or option-implied move feed is included.</w:t>
      </w:r>
    </w:p>
    <w:p>
      <w:pPr>
        <w:pStyle w:val="Heading1"/>
      </w:pPr>
      <w:r>
        <w:t>Reproducibility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6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6336"/>
            <w:shd w:fill="D9EAF7"/>
            <w:vAlign w:val="center"/>
          </w:tcPr>
          <w:p>
            <w:r>
              <w:t>Value</w:t>
            </w:r>
          </w:p>
        </w:tc>
      </w:tr>
      <w:tr>
        <w:tc>
          <w:tcPr>
            <w:tcW w:type="dxa" w:w="3456"/>
            <w:vAlign w:val="center"/>
          </w:tcPr>
          <w:p>
            <w:r>
              <w:t>Run directory</w:t>
            </w:r>
          </w:p>
        </w:tc>
        <w:tc>
          <w:tcPr>
            <w:tcW w:type="dxa" w:w="6336"/>
            <w:vAlign w:val="center"/>
          </w:tcPr>
          <w:p>
            <w:r>
              <w:t>.tmp\factor_runs\PEAD_v1_quality_drift_60d\20260508_123018</w:t>
            </w:r>
          </w:p>
        </w:tc>
      </w:tr>
      <w:tr>
        <w:tc>
          <w:tcPr>
            <w:tcW w:type="dxa" w:w="3456"/>
            <w:vAlign w:val="center"/>
          </w:tcPr>
          <w:p>
            <w:r>
              <w:t>Provider URI</w:t>
            </w:r>
          </w:p>
        </w:tc>
        <w:tc>
          <w:tcPr>
            <w:tcW w:type="dxa" w:w="6336"/>
            <w:vAlign w:val="center"/>
          </w:tcPr>
          <w:p>
            <w:r>
              <w:t>~/.qlib/qlib_data/us_data_recent</w:t>
            </w:r>
          </w:p>
        </w:tc>
      </w:tr>
      <w:tr>
        <w:tc>
          <w:tcPr>
            <w:tcW w:type="dxa" w:w="3456"/>
            <w:vAlign w:val="center"/>
          </w:tcPr>
          <w:p>
            <w:r>
              <w:t>Command</w:t>
            </w:r>
          </w:p>
        </w:tc>
        <w:tc>
          <w:tcPr>
            <w:tcW w:type="dxa" w:w="6336"/>
            <w:vAlign w:val="center"/>
          </w:tcPr>
          <w:p>
            <w:r>
              <w:t>'scripts\run_earnings_seasonal_factors.py' --factor all --tracking-uri=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