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Earnings Factor Robustness Summary</w:t>
      </w:r>
    </w:p>
    <w:p>
      <w:pPr>
        <w:jc w:val="center"/>
      </w:pPr>
      <w:r>
        <w:rPr>
          <w:i/>
        </w:rPr>
        <w:t>Cost sensitivity, leave-one-symbol, and leave-one-cluster checks</w:t>
      </w:r>
    </w:p>
    <w:p>
      <w:pPr>
        <w:pStyle w:val="Heading1"/>
      </w:pPr>
      <w:r>
        <w:t>Decision</w:t>
      </w:r>
    </w:p>
    <w:p>
      <w:r>
        <w:t>PEAD60 remains the best candidate after robustness checks. It survives 50 bps one-way cost and the main leave-one-symbol tests, so it is not a single-name artifact like the retired pre-earnings read-through factor. Cluster tests show the signal remains positive without semiconductors or cybersecurity, while excluding enterprise software improves the result; this points to a need for cluster-specific calibration rather than one universal score.</w:t>
      </w:r>
    </w:p>
    <w:p>
      <w:pPr>
        <w:pStyle w:val="Heading1"/>
      </w:pPr>
      <w:r>
        <w:t>Cost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2"/>
        <w:gridCol w:w="1552"/>
        <w:gridCol w:w="1552"/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  <w:shd w:fill="D9EAF7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1552"/>
            <w:shd w:fill="D9EAF7"/>
          </w:tcPr>
          <w:p>
            <w:r>
              <w:rPr>
                <w:sz w:val="16"/>
              </w:rPr>
              <w:t>factor</w:t>
            </w:r>
          </w:p>
        </w:tc>
        <w:tc>
          <w:tcPr>
            <w:tcW w:type="dxa" w:w="1552"/>
            <w:shd w:fill="D9EAF7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1552"/>
            <w:shd w:fill="D9EAF7"/>
          </w:tcPr>
          <w:p>
            <w:r>
              <w:rPr>
                <w:sz w:val="16"/>
              </w:rPr>
              <w:t>cum_ret</w:t>
            </w:r>
          </w:p>
        </w:tc>
        <w:tc>
          <w:tcPr>
            <w:tcW w:type="dxa" w:w="1552"/>
            <w:shd w:fill="D9EAF7"/>
          </w:tcPr>
          <w:p>
            <w:r>
              <w:rPr>
                <w:sz w:val="16"/>
              </w:rPr>
              <w:t>sharpe</w:t>
            </w:r>
          </w:p>
        </w:tc>
        <w:tc>
          <w:tcPr>
            <w:tcW w:type="dxa" w:w="1552"/>
            <w:shd w:fill="D9EAF7"/>
          </w:tcPr>
          <w:p>
            <w:r>
              <w:rPr>
                <w:sz w:val="16"/>
              </w:rPr>
              <w:t>max_dd</w:t>
            </w:r>
          </w:p>
        </w:tc>
        <w:tc>
          <w:tcPr>
            <w:tcW w:type="dxa" w:w="1552"/>
            <w:shd w:fill="D9EAF7"/>
          </w:tcPr>
          <w:p>
            <w:r>
              <w:rPr>
                <w:sz w:val="16"/>
              </w:rPr>
              <w:t>excess_vs_QQQ</w:t>
            </w:r>
          </w:p>
        </w:tc>
        <w:tc>
          <w:tcPr>
            <w:tcW w:type="dxa" w:w="1552"/>
            <w:shd w:fill="D9EAF7"/>
          </w:tcPr>
          <w:p>
            <w:r>
              <w:rPr>
                <w:sz w:val="16"/>
              </w:rPr>
              <w:t>excess_IR</w:t>
            </w:r>
          </w:p>
        </w:tc>
        <w:tc>
          <w:tcPr>
            <w:tcW w:type="dxa" w:w="1552"/>
            <w:shd w:fill="D9EAF7"/>
          </w:tcPr>
          <w:p>
            <w:r>
              <w:rPr>
                <w:sz w:val="16"/>
              </w:rPr>
              <w:t>avg_event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EAP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0.88%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-7.81%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1.02%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0.09%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cost25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EAP_cost25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-2.04%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-0.14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-8.68%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-1.89%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-0.16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-0.21%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cost50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EAP_cost50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-6.71%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-0.51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-10.10%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-6.57%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-0.58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-0.71%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EBS1_10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8.01%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0.26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-8.15%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10.66%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0.63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0.72%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cost25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EBS1_10_cost25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4.69%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0.17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-8.72%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7.26%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0.44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0.42%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cost50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EBS1_10_cost50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-0.62%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-10.10%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1.82%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-0.08%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EBS2_40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32.57%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0.59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-23.32%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8.47%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0.34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2.81%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cost25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EBS2_40_cost25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28.27%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-23.85%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4.95%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0.21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2.51%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cost50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EBS2_40_cost50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21.39%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-24.76%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-0.67%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2.01%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PEAD60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65.07%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-12.98%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16.62%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8.15%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cost25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PEAD60_cost25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62.24%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0.83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-12.99%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14.62%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7.85%</w:t>
            </w:r>
          </w:p>
        </w:tc>
      </w:tr>
      <w:tr>
        <w:tc>
          <w:tcPr>
            <w:tcW w:type="dxa" w:w="1552"/>
            <w:vAlign w:val="center"/>
          </w:tcPr>
          <w:p>
            <w:r>
              <w:rPr>
                <w:sz w:val="16"/>
              </w:rPr>
              <w:t>cost50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PEAD60_cost50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57.65%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0.78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-13.02%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11.37%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0.43</w:t>
            </w:r>
          </w:p>
        </w:tc>
        <w:tc>
          <w:tcPr>
            <w:tcW w:type="dxa" w:w="1552"/>
            <w:vAlign w:val="center"/>
          </w:tcPr>
          <w:p>
            <w:r>
              <w:rPr>
                <w:sz w:val="16"/>
              </w:rPr>
              <w:t>7.35%</w:t>
            </w:r>
          </w:p>
        </w:tc>
      </w:tr>
    </w:tbl>
    <w:p>
      <w:pPr>
        <w:pStyle w:val="Heading1"/>
      </w:pPr>
      <w:r>
        <w:t>PEAD60 Leave-One Robustness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7"/>
        <w:gridCol w:w="1397"/>
        <w:gridCol w:w="1397"/>
        <w:gridCol w:w="1397"/>
        <w:gridCol w:w="1397"/>
        <w:gridCol w:w="1397"/>
        <w:gridCol w:w="1397"/>
        <w:gridCol w:w="1397"/>
        <w:gridCol w:w="1397"/>
        <w:gridCol w:w="1397"/>
      </w:tblGrid>
      <w:tr>
        <w:tc>
          <w:tcPr>
            <w:tcW w:type="dxa" w:w="1397"/>
            <w:shd w:fill="D9EAF7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cum_ret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sharpe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max_dd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excess_vs_QQQ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excess_IR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avg_event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avg_excess</w:t>
            </w:r>
          </w:p>
        </w:tc>
        <w:tc>
          <w:tcPr>
            <w:tcW w:type="dxa" w:w="1397"/>
            <w:shd w:fill="D9EAF7"/>
          </w:tcPr>
          <w:p>
            <w:r>
              <w:rPr>
                <w:sz w:val="16"/>
              </w:rPr>
              <w:t>rank_IC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65.07%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-12.98%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16.62%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8.15%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2.59%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0.115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no_crwd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52.26%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0.76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-12.98%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10.51%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0.42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6.96%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1.59%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0.067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no_klac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56.05%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-12.98%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13.75%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7.67%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2.27%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0.151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no_mu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56.34%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-12.98%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12.04%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0.47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7.45%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1.88%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0.135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no_intc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59.09%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0.84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-11.44%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13.86%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7.84%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2.30%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0.115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no_panw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58.46%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-12.98%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15.76%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8.24%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2.77%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0.127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no_lrcx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57.38%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-10.58%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14.61%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0.58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7.97%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2.61%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0.135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no_semiconductor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45.23%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0.87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-8.50%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7.17%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0.33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8.29%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1.59%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0.083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no_semiconductor_equipment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41.59%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-8.53%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8.88%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0.43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7.41%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1.96%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0.169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no_enterprise_software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63.96%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1.02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-9.57%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28.43%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1.01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10.25%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5.38%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0.130</w:t>
            </w:r>
          </w:p>
        </w:tc>
      </w:tr>
      <w:tr>
        <w:tc>
          <w:tcPr>
            <w:tcW w:type="dxa" w:w="1397"/>
            <w:vAlign w:val="center"/>
          </w:tcPr>
          <w:p>
            <w:r>
              <w:rPr>
                <w:sz w:val="16"/>
              </w:rPr>
              <w:t>no_cybersecurity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46.01%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0.74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-12.98%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10.66%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7.46%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2.08%</w:t>
            </w:r>
          </w:p>
        </w:tc>
        <w:tc>
          <w:tcPr>
            <w:tcW w:type="dxa" w:w="1397"/>
            <w:vAlign w:val="center"/>
          </w:tcPr>
          <w:p>
            <w:r>
              <w:rPr>
                <w:sz w:val="16"/>
              </w:rPr>
              <w:t>0.078</w:t>
            </w:r>
          </w:p>
        </w:tc>
      </w:tr>
    </w:tbl>
    <w:p>
      <w:pPr>
        <w:pStyle w:val="Heading1"/>
      </w:pPr>
      <w:r>
        <w:t>Interpretation</w:t>
      </w:r>
    </w:p>
    <w:p>
      <w:pPr>
        <w:pStyle w:val="ListBullet"/>
      </w:pPr>
      <w:r>
        <w:t>Cost: PEAD60 degrades but stays positive at 25 bps and 50 bps one-way cost.</w:t>
      </w:r>
    </w:p>
    <w:p>
      <w:pPr>
        <w:pStyle w:val="ListBullet"/>
      </w:pPr>
      <w:r>
        <w:t>Single-name: no single tested top contributor fully explains the PEAD60 result.</w:t>
      </w:r>
    </w:p>
    <w:p>
      <w:pPr>
        <w:pStyle w:val="ListBullet"/>
      </w:pPr>
      <w:r>
        <w:t>Cluster: enterprise software is currently a drag; semiconductors and cybersecurity both contribute useful but not exclusive alpha.</w:t>
      </w:r>
    </w:p>
    <w:p>
      <w:pPr>
        <w:pStyle w:val="ListBullet"/>
      </w:pPr>
      <w:r>
        <w:t>Research status: PEAD60 is a research candidate, not production, until broader earnings coverage and PIT universe data are added.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