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Earnings Factor Suite Summary</w:t>
      </w:r>
    </w:p>
    <w:p>
      <w:pPr>
        <w:jc w:val="center"/>
      </w:pPr>
      <w:r>
        <w:rPr>
          <w:i/>
        </w:rPr>
        <w:t>Qlib-backed factor comparison and parameter decision</w:t>
      </w:r>
    </w:p>
    <w:p>
      <w:pPr>
        <w:pStyle w:val="Heading1"/>
      </w:pPr>
      <w:r>
        <w:t>Decision</w:t>
      </w:r>
    </w:p>
    <w:p>
      <w:r>
        <w:t>The strongest current candidate is PEAD_v1_quality_drift_60d. EAP is a weak baseline, EBS_v1 is a weak but QQQ-relative positive basket-timing candidate, and EBS_v2 needs redesign because the leader-follower gap has weak rank IC and large drawdown.</w:t>
      </w:r>
    </w:p>
    <w:p>
      <w:pPr>
        <w:pStyle w:val="Heading1"/>
      </w:pPr>
      <w:r>
        <w:t>Final Factor Comparison</w:t>
      </w:r>
    </w:p>
    <w:tbl>
      <w:tblPr>
        <w:tblStyle w:val="TableGrid"/>
        <w:tblW w:type="auto" w:w="0"/>
        <w:tblLook w:firstColumn="1" w:firstRow="1" w:lastColumn="0" w:lastRow="0" w:noHBand="0" w:noVBand="1" w:val="04A0"/>
      </w:tblPr>
      <w:tblGrid>
        <w:gridCol w:w="1147"/>
        <w:gridCol w:w="1147"/>
        <w:gridCol w:w="1147"/>
        <w:gridCol w:w="1147"/>
        <w:gridCol w:w="1147"/>
        <w:gridCol w:w="1147"/>
        <w:gridCol w:w="1147"/>
        <w:gridCol w:w="1147"/>
        <w:gridCol w:w="1147"/>
        <w:gridCol w:w="1147"/>
        <w:gridCol w:w="1147"/>
        <w:gridCol w:w="1147"/>
      </w:tblGrid>
      <w:tr>
        <w:tc>
          <w:tcPr>
            <w:tcW w:type="dxa" w:w="1147"/>
            <w:shd w:fill="D9EAF7"/>
          </w:tcPr>
          <w:p>
            <w:r>
              <w:rPr>
                <w:sz w:val="16"/>
              </w:rPr>
              <w:t>label</w:t>
            </w:r>
          </w:p>
        </w:tc>
        <w:tc>
          <w:tcPr>
            <w:tcW w:type="dxa" w:w="1147"/>
            <w:shd w:fill="D9EAF7"/>
          </w:tcPr>
          <w:p>
            <w:r>
              <w:rPr>
                <w:sz w:val="16"/>
              </w:rPr>
              <w:t>hold_days</w:t>
            </w:r>
          </w:p>
        </w:tc>
        <w:tc>
          <w:tcPr>
            <w:tcW w:type="dxa" w:w="1147"/>
            <w:shd w:fill="D9EAF7"/>
          </w:tcPr>
          <w:p>
            <w:r>
              <w:rPr>
                <w:sz w:val="16"/>
              </w:rPr>
              <w:t>selected</w:t>
            </w:r>
          </w:p>
        </w:tc>
        <w:tc>
          <w:tcPr>
            <w:tcW w:type="dxa" w:w="1147"/>
            <w:shd w:fill="D9EAF7"/>
          </w:tcPr>
          <w:p>
            <w:r>
              <w:rPr>
                <w:sz w:val="16"/>
              </w:rPr>
              <w:t>cum_ret</w:t>
            </w:r>
          </w:p>
        </w:tc>
        <w:tc>
          <w:tcPr>
            <w:tcW w:type="dxa" w:w="1147"/>
            <w:shd w:fill="D9EAF7"/>
          </w:tcPr>
          <w:p>
            <w:r>
              <w:rPr>
                <w:sz w:val="16"/>
              </w:rPr>
              <w:t>ann_ret</w:t>
            </w:r>
          </w:p>
        </w:tc>
        <w:tc>
          <w:tcPr>
            <w:tcW w:type="dxa" w:w="1147"/>
            <w:shd w:fill="D9EAF7"/>
          </w:tcPr>
          <w:p>
            <w:r>
              <w:rPr>
                <w:sz w:val="16"/>
              </w:rPr>
              <w:t>sharpe</w:t>
            </w:r>
          </w:p>
        </w:tc>
        <w:tc>
          <w:tcPr>
            <w:tcW w:type="dxa" w:w="1147"/>
            <w:shd w:fill="D9EAF7"/>
          </w:tcPr>
          <w:p>
            <w:r>
              <w:rPr>
                <w:sz w:val="16"/>
              </w:rPr>
              <w:t>max_dd</w:t>
            </w:r>
          </w:p>
        </w:tc>
        <w:tc>
          <w:tcPr>
            <w:tcW w:type="dxa" w:w="1147"/>
            <w:shd w:fill="D9EAF7"/>
          </w:tcPr>
          <w:p>
            <w:r>
              <w:rPr>
                <w:sz w:val="16"/>
              </w:rPr>
              <w:t>excess_vs_QQQ</w:t>
            </w:r>
          </w:p>
        </w:tc>
        <w:tc>
          <w:tcPr>
            <w:tcW w:type="dxa" w:w="1147"/>
            <w:shd w:fill="D9EAF7"/>
          </w:tcPr>
          <w:p>
            <w:r>
              <w:rPr>
                <w:sz w:val="16"/>
              </w:rPr>
              <w:t>excess_IR</w:t>
            </w:r>
          </w:p>
        </w:tc>
        <w:tc>
          <w:tcPr>
            <w:tcW w:type="dxa" w:w="1147"/>
            <w:shd w:fill="D9EAF7"/>
          </w:tcPr>
          <w:p>
            <w:r>
              <w:rPr>
                <w:sz w:val="16"/>
              </w:rPr>
              <w:t>avg_event</w:t>
            </w:r>
          </w:p>
        </w:tc>
        <w:tc>
          <w:tcPr>
            <w:tcW w:type="dxa" w:w="1147"/>
            <w:shd w:fill="D9EAF7"/>
          </w:tcPr>
          <w:p>
            <w:r>
              <w:rPr>
                <w:sz w:val="16"/>
              </w:rPr>
              <w:t>avg_excess_event</w:t>
            </w:r>
          </w:p>
        </w:tc>
        <w:tc>
          <w:tcPr>
            <w:tcW w:type="dxa" w:w="1147"/>
            <w:shd w:fill="D9EAF7"/>
          </w:tcPr>
          <w:p>
            <w:r>
              <w:rPr>
                <w:sz w:val="16"/>
              </w:rPr>
              <w:t>rank_IC</w:t>
            </w:r>
          </w:p>
        </w:tc>
      </w:tr>
      <w:tr>
        <w:tc>
          <w:tcPr>
            <w:tcW w:type="dxa" w:w="1147"/>
            <w:vAlign w:val="center"/>
          </w:tcPr>
          <w:p>
            <w:r>
              <w:rPr>
                <w:sz w:val="16"/>
              </w:rPr>
              <w:t>EAP</w:t>
            </w:r>
          </w:p>
        </w:tc>
        <w:tc>
          <w:tcPr>
            <w:tcW w:type="dxa" w:w="1147"/>
            <w:vAlign w:val="center"/>
          </w:tcPr>
          <w:p>
            <w:r>
              <w:rPr>
                <w:sz w:val="16"/>
              </w:rPr>
              <w:t>2</w:t>
            </w:r>
          </w:p>
        </w:tc>
        <w:tc>
          <w:tcPr>
            <w:tcW w:type="dxa" w:w="1147"/>
            <w:vAlign w:val="center"/>
          </w:tcPr>
          <w:p>
            <w:r>
              <w:rPr>
                <w:sz w:val="16"/>
              </w:rPr>
              <w:t>279</w:t>
            </w:r>
          </w:p>
        </w:tc>
        <w:tc>
          <w:tcPr>
            <w:tcW w:type="dxa" w:w="1147"/>
            <w:vAlign w:val="center"/>
          </w:tcPr>
          <w:p>
            <w:r>
              <w:rPr>
                <w:sz w:val="16"/>
              </w:rPr>
              <w:t>0.88%</w:t>
            </w:r>
          </w:p>
        </w:tc>
        <w:tc>
          <w:tcPr>
            <w:tcW w:type="dxa" w:w="1147"/>
            <w:vAlign w:val="center"/>
          </w:tcPr>
          <w:p>
            <w:r>
              <w:rPr>
                <w:sz w:val="16"/>
              </w:rPr>
              <w:t>0.14%</w:t>
            </w:r>
          </w:p>
        </w:tc>
        <w:tc>
          <w:tcPr>
            <w:tcW w:type="dxa" w:w="1147"/>
            <w:vAlign w:val="center"/>
          </w:tcPr>
          <w:p>
            <w:r>
              <w:rPr>
                <w:sz w:val="16"/>
              </w:rPr>
              <w:t>0.08</w:t>
            </w:r>
          </w:p>
        </w:tc>
        <w:tc>
          <w:tcPr>
            <w:tcW w:type="dxa" w:w="1147"/>
            <w:vAlign w:val="center"/>
          </w:tcPr>
          <w:p>
            <w:r>
              <w:rPr>
                <w:sz w:val="16"/>
              </w:rPr>
              <w:t>-7.81%</w:t>
            </w:r>
          </w:p>
        </w:tc>
        <w:tc>
          <w:tcPr>
            <w:tcW w:type="dxa" w:w="1147"/>
            <w:vAlign w:val="center"/>
          </w:tcPr>
          <w:p>
            <w:r>
              <w:rPr>
                <w:sz w:val="16"/>
              </w:rPr>
              <w:t>1.02%</w:t>
            </w:r>
          </w:p>
        </w:tc>
        <w:tc>
          <w:tcPr>
            <w:tcW w:type="dxa" w:w="1147"/>
            <w:vAlign w:val="center"/>
          </w:tcPr>
          <w:p>
            <w:r>
              <w:rPr>
                <w:sz w:val="16"/>
              </w:rPr>
              <w:t>0.10</w:t>
            </w:r>
          </w:p>
        </w:tc>
        <w:tc>
          <w:tcPr>
            <w:tcW w:type="dxa" w:w="1147"/>
            <w:vAlign w:val="center"/>
          </w:tcPr>
          <w:p>
            <w:r>
              <w:rPr>
                <w:sz w:val="16"/>
              </w:rPr>
              <w:t>0.09%</w:t>
            </w:r>
          </w:p>
        </w:tc>
        <w:tc>
          <w:tcPr>
            <w:tcW w:type="dxa" w:w="1147"/>
            <w:vAlign w:val="center"/>
          </w:tcPr>
          <w:p>
            <w:r>
              <w:rPr>
                <w:sz w:val="16"/>
              </w:rPr>
              <w:t>0.31%</w:t>
            </w:r>
          </w:p>
        </w:tc>
        <w:tc>
          <w:tcPr>
            <w:tcW w:type="dxa" w:w="1147"/>
            <w:vAlign w:val="center"/>
          </w:tcPr>
          <w:p>
            <w:r>
              <w:rPr>
                <w:sz w:val="16"/>
              </w:rPr>
              <w:t>0.033</w:t>
            </w:r>
          </w:p>
        </w:tc>
      </w:tr>
      <w:tr>
        <w:tc>
          <w:tcPr>
            <w:tcW w:type="dxa" w:w="1147"/>
            <w:vAlign w:val="center"/>
          </w:tcPr>
          <w:p>
            <w:r>
              <w:rPr>
                <w:sz w:val="16"/>
              </w:rPr>
              <w:t>PEAD60</w:t>
            </w:r>
          </w:p>
        </w:tc>
        <w:tc>
          <w:tcPr>
            <w:tcW w:type="dxa" w:w="1147"/>
            <w:vAlign w:val="center"/>
          </w:tcPr>
          <w:p>
            <w:r>
              <w:rPr>
                <w:sz w:val="16"/>
              </w:rPr>
              <w:t>60</w:t>
            </w:r>
          </w:p>
        </w:tc>
        <w:tc>
          <w:tcPr>
            <w:tcW w:type="dxa" w:w="1147"/>
            <w:vAlign w:val="center"/>
          </w:tcPr>
          <w:p>
            <w:r>
              <w:rPr>
                <w:sz w:val="16"/>
              </w:rPr>
              <w:t>125</w:t>
            </w:r>
          </w:p>
        </w:tc>
        <w:tc>
          <w:tcPr>
            <w:tcW w:type="dxa" w:w="1147"/>
            <w:vAlign w:val="center"/>
          </w:tcPr>
          <w:p>
            <w:r>
              <w:rPr>
                <w:sz w:val="16"/>
              </w:rPr>
              <w:t>65.07%</w:t>
            </w:r>
          </w:p>
        </w:tc>
        <w:tc>
          <w:tcPr>
            <w:tcW w:type="dxa" w:w="1147"/>
            <w:vAlign w:val="center"/>
          </w:tcPr>
          <w:p>
            <w:r>
              <w:rPr>
                <w:sz w:val="16"/>
              </w:rPr>
              <w:t>8.25%</w:t>
            </w:r>
          </w:p>
        </w:tc>
        <w:tc>
          <w:tcPr>
            <w:tcW w:type="dxa" w:w="1147"/>
            <w:vAlign w:val="center"/>
          </w:tcPr>
          <w:p>
            <w:r>
              <w:rPr>
                <w:sz w:val="16"/>
              </w:rPr>
              <w:t>0.85</w:t>
            </w:r>
          </w:p>
        </w:tc>
        <w:tc>
          <w:tcPr>
            <w:tcW w:type="dxa" w:w="1147"/>
            <w:vAlign w:val="center"/>
          </w:tcPr>
          <w:p>
            <w:r>
              <w:rPr>
                <w:sz w:val="16"/>
              </w:rPr>
              <w:t>-12.98%</w:t>
            </w:r>
          </w:p>
        </w:tc>
        <w:tc>
          <w:tcPr>
            <w:tcW w:type="dxa" w:w="1147"/>
            <w:vAlign w:val="center"/>
          </w:tcPr>
          <w:p>
            <w:r>
              <w:rPr>
                <w:sz w:val="16"/>
              </w:rPr>
              <w:t>16.62%</w:t>
            </w:r>
          </w:p>
        </w:tc>
        <w:tc>
          <w:tcPr>
            <w:tcW w:type="dxa" w:w="1147"/>
            <w:vAlign w:val="center"/>
          </w:tcPr>
          <w:p>
            <w:r>
              <w:rPr>
                <w:sz w:val="16"/>
              </w:rPr>
              <w:t>0.60</w:t>
            </w:r>
          </w:p>
        </w:tc>
        <w:tc>
          <w:tcPr>
            <w:tcW w:type="dxa" w:w="1147"/>
            <w:vAlign w:val="center"/>
          </w:tcPr>
          <w:p>
            <w:r>
              <w:rPr>
                <w:sz w:val="16"/>
              </w:rPr>
              <w:t>8.15%</w:t>
            </w:r>
          </w:p>
        </w:tc>
        <w:tc>
          <w:tcPr>
            <w:tcW w:type="dxa" w:w="1147"/>
            <w:vAlign w:val="center"/>
          </w:tcPr>
          <w:p>
            <w:r>
              <w:rPr>
                <w:sz w:val="16"/>
              </w:rPr>
              <w:t>2.59%</w:t>
            </w:r>
          </w:p>
        </w:tc>
        <w:tc>
          <w:tcPr>
            <w:tcW w:type="dxa" w:w="1147"/>
            <w:vAlign w:val="center"/>
          </w:tcPr>
          <w:p>
            <w:r>
              <w:rPr>
                <w:sz w:val="16"/>
              </w:rPr>
              <w:t>0.115</w:t>
            </w:r>
          </w:p>
        </w:tc>
      </w:tr>
      <w:tr>
        <w:tc>
          <w:tcPr>
            <w:tcW w:type="dxa" w:w="1147"/>
            <w:vAlign w:val="center"/>
          </w:tcPr>
          <w:p>
            <w:r>
              <w:rPr>
                <w:sz w:val="16"/>
              </w:rPr>
              <w:t>EBS1_10</w:t>
            </w:r>
          </w:p>
        </w:tc>
        <w:tc>
          <w:tcPr>
            <w:tcW w:type="dxa" w:w="1147"/>
            <w:vAlign w:val="center"/>
          </w:tcPr>
          <w:p>
            <w:r>
              <w:rPr>
                <w:sz w:val="16"/>
              </w:rPr>
              <w:t>10</w:t>
            </w:r>
          </w:p>
        </w:tc>
        <w:tc>
          <w:tcPr>
            <w:tcW w:type="dxa" w:w="1147"/>
            <w:vAlign w:val="center"/>
          </w:tcPr>
          <w:p>
            <w:r>
              <w:rPr>
                <w:sz w:val="16"/>
              </w:rPr>
              <w:t>260</w:t>
            </w:r>
          </w:p>
        </w:tc>
        <w:tc>
          <w:tcPr>
            <w:tcW w:type="dxa" w:w="1147"/>
            <w:vAlign w:val="center"/>
          </w:tcPr>
          <w:p>
            <w:r>
              <w:rPr>
                <w:sz w:val="16"/>
              </w:rPr>
              <w:t>8.01%</w:t>
            </w:r>
          </w:p>
        </w:tc>
        <w:tc>
          <w:tcPr>
            <w:tcW w:type="dxa" w:w="1147"/>
            <w:vAlign w:val="center"/>
          </w:tcPr>
          <w:p>
            <w:r>
              <w:rPr>
                <w:sz w:val="16"/>
              </w:rPr>
              <w:t>1.23%</w:t>
            </w:r>
          </w:p>
        </w:tc>
        <w:tc>
          <w:tcPr>
            <w:tcW w:type="dxa" w:w="1147"/>
            <w:vAlign w:val="center"/>
          </w:tcPr>
          <w:p>
            <w:r>
              <w:rPr>
                <w:sz w:val="16"/>
              </w:rPr>
              <w:t>0.26</w:t>
            </w:r>
          </w:p>
        </w:tc>
        <w:tc>
          <w:tcPr>
            <w:tcW w:type="dxa" w:w="1147"/>
            <w:vAlign w:val="center"/>
          </w:tcPr>
          <w:p>
            <w:r>
              <w:rPr>
                <w:sz w:val="16"/>
              </w:rPr>
              <w:t>-8.15%</w:t>
            </w:r>
          </w:p>
        </w:tc>
        <w:tc>
          <w:tcPr>
            <w:tcW w:type="dxa" w:w="1147"/>
            <w:vAlign w:val="center"/>
          </w:tcPr>
          <w:p>
            <w:r>
              <w:rPr>
                <w:sz w:val="16"/>
              </w:rPr>
              <w:t>10.66%</w:t>
            </w:r>
          </w:p>
        </w:tc>
        <w:tc>
          <w:tcPr>
            <w:tcW w:type="dxa" w:w="1147"/>
            <w:vAlign w:val="center"/>
          </w:tcPr>
          <w:p>
            <w:r>
              <w:rPr>
                <w:sz w:val="16"/>
              </w:rPr>
              <w:t>0.63</w:t>
            </w:r>
          </w:p>
        </w:tc>
        <w:tc>
          <w:tcPr>
            <w:tcW w:type="dxa" w:w="1147"/>
            <w:vAlign w:val="center"/>
          </w:tcPr>
          <w:p>
            <w:r>
              <w:rPr>
                <w:sz w:val="16"/>
              </w:rPr>
              <w:t>0.72%</w:t>
            </w:r>
          </w:p>
        </w:tc>
        <w:tc>
          <w:tcPr>
            <w:tcW w:type="dxa" w:w="1147"/>
            <w:vAlign w:val="center"/>
          </w:tcPr>
          <w:p>
            <w:r>
              <w:rPr>
                <w:sz w:val="16"/>
              </w:rPr>
              <w:t>1.13%</w:t>
            </w:r>
          </w:p>
        </w:tc>
        <w:tc>
          <w:tcPr>
            <w:tcW w:type="dxa" w:w="1147"/>
            <w:vAlign w:val="center"/>
          </w:tcPr>
          <w:p>
            <w:r>
              <w:rPr>
                <w:sz w:val="16"/>
              </w:rPr>
              <w:t>0.154</w:t>
            </w:r>
          </w:p>
        </w:tc>
      </w:tr>
      <w:tr>
        <w:tc>
          <w:tcPr>
            <w:tcW w:type="dxa" w:w="1147"/>
            <w:vAlign w:val="center"/>
          </w:tcPr>
          <w:p>
            <w:r>
              <w:rPr>
                <w:sz w:val="16"/>
              </w:rPr>
              <w:t>EBS2_40</w:t>
            </w:r>
          </w:p>
        </w:tc>
        <w:tc>
          <w:tcPr>
            <w:tcW w:type="dxa" w:w="1147"/>
            <w:vAlign w:val="center"/>
          </w:tcPr>
          <w:p>
            <w:r>
              <w:rPr>
                <w:sz w:val="16"/>
              </w:rPr>
              <w:t>40</w:t>
            </w:r>
          </w:p>
        </w:tc>
        <w:tc>
          <w:tcPr>
            <w:tcW w:type="dxa" w:w="1147"/>
            <w:vAlign w:val="center"/>
          </w:tcPr>
          <w:p>
            <w:r>
              <w:rPr>
                <w:sz w:val="16"/>
              </w:rPr>
              <w:t>220</w:t>
            </w:r>
          </w:p>
        </w:tc>
        <w:tc>
          <w:tcPr>
            <w:tcW w:type="dxa" w:w="1147"/>
            <w:vAlign w:val="center"/>
          </w:tcPr>
          <w:p>
            <w:r>
              <w:rPr>
                <w:sz w:val="16"/>
              </w:rPr>
              <w:t>32.57%</w:t>
            </w:r>
          </w:p>
        </w:tc>
        <w:tc>
          <w:tcPr>
            <w:tcW w:type="dxa" w:w="1147"/>
            <w:vAlign w:val="center"/>
          </w:tcPr>
          <w:p>
            <w:r>
              <w:rPr>
                <w:sz w:val="16"/>
              </w:rPr>
              <w:t>4.56%</w:t>
            </w:r>
          </w:p>
        </w:tc>
        <w:tc>
          <w:tcPr>
            <w:tcW w:type="dxa" w:w="1147"/>
            <w:vAlign w:val="center"/>
          </w:tcPr>
          <w:p>
            <w:r>
              <w:rPr>
                <w:sz w:val="16"/>
              </w:rPr>
              <w:t>0.59</w:t>
            </w:r>
          </w:p>
        </w:tc>
        <w:tc>
          <w:tcPr>
            <w:tcW w:type="dxa" w:w="1147"/>
            <w:vAlign w:val="center"/>
          </w:tcPr>
          <w:p>
            <w:r>
              <w:rPr>
                <w:sz w:val="16"/>
              </w:rPr>
              <w:t>-23.32%</w:t>
            </w:r>
          </w:p>
        </w:tc>
        <w:tc>
          <w:tcPr>
            <w:tcW w:type="dxa" w:w="1147"/>
            <w:vAlign w:val="center"/>
          </w:tcPr>
          <w:p>
            <w:r>
              <w:rPr>
                <w:sz w:val="16"/>
              </w:rPr>
              <w:t>8.47%</w:t>
            </w:r>
          </w:p>
        </w:tc>
        <w:tc>
          <w:tcPr>
            <w:tcW w:type="dxa" w:w="1147"/>
            <w:vAlign w:val="center"/>
          </w:tcPr>
          <w:p>
            <w:r>
              <w:rPr>
                <w:sz w:val="16"/>
              </w:rPr>
              <w:t>0.34</w:t>
            </w:r>
          </w:p>
        </w:tc>
        <w:tc>
          <w:tcPr>
            <w:tcW w:type="dxa" w:w="1147"/>
            <w:vAlign w:val="center"/>
          </w:tcPr>
          <w:p>
            <w:r>
              <w:rPr>
                <w:sz w:val="16"/>
              </w:rPr>
              <w:t>2.81%</w:t>
            </w:r>
          </w:p>
        </w:tc>
        <w:tc>
          <w:tcPr>
            <w:tcW w:type="dxa" w:w="1147"/>
            <w:vAlign w:val="center"/>
          </w:tcPr>
          <w:p>
            <w:r>
              <w:rPr>
                <w:sz w:val="16"/>
              </w:rPr>
              <w:t>1.06%</w:t>
            </w:r>
          </w:p>
        </w:tc>
        <w:tc>
          <w:tcPr>
            <w:tcW w:type="dxa" w:w="1147"/>
            <w:vAlign w:val="center"/>
          </w:tcPr>
          <w:p>
            <w:r>
              <w:rPr>
                <w:sz w:val="16"/>
              </w:rPr>
              <w:t>-0.021</w:t>
            </w:r>
          </w:p>
        </w:tc>
      </w:tr>
    </w:tbl>
    <w:p>
      <w:pPr>
        <w:pStyle w:val="Heading1"/>
      </w:pPr>
      <w:r>
        <w:t>Horizon Sweep</w:t>
      </w:r>
    </w:p>
    <w:p>
      <w:r>
        <w:t>The sweep was intentionally narrow: only economically meaningful holding windows were tested. This reduces the risk of turning the exercise into blind parameter mining.</w:t>
      </w:r>
    </w:p>
    <w:tbl>
      <w:tblPr>
        <w:tblStyle w:val="TableGrid"/>
        <w:tblW w:type="auto" w:w="0"/>
        <w:tblLook w:firstColumn="1" w:firstRow="1" w:lastColumn="0" w:lastRow="0" w:noHBand="0" w:noVBand="1" w:val="04A0"/>
      </w:tblPr>
      <w:tblGrid>
        <w:gridCol w:w="1721"/>
        <w:gridCol w:w="1721"/>
        <w:gridCol w:w="1721"/>
        <w:gridCol w:w="1721"/>
        <w:gridCol w:w="1721"/>
        <w:gridCol w:w="1721"/>
        <w:gridCol w:w="1721"/>
        <w:gridCol w:w="1721"/>
      </w:tblGrid>
      <w:tr>
        <w:tc>
          <w:tcPr>
            <w:tcW w:type="dxa" w:w="1721"/>
            <w:shd w:fill="D9EAF7"/>
          </w:tcPr>
          <w:p>
            <w:r>
              <w:rPr>
                <w:sz w:val="16"/>
              </w:rPr>
              <w:t>factor</w:t>
            </w:r>
          </w:p>
        </w:tc>
        <w:tc>
          <w:tcPr>
            <w:tcW w:type="dxa" w:w="1721"/>
            <w:shd w:fill="D9EAF7"/>
          </w:tcPr>
          <w:p>
            <w:r>
              <w:rPr>
                <w:sz w:val="16"/>
              </w:rPr>
              <w:t>hold_days</w:t>
            </w:r>
          </w:p>
        </w:tc>
        <w:tc>
          <w:tcPr>
            <w:tcW w:type="dxa" w:w="1721"/>
            <w:shd w:fill="D9EAF7"/>
          </w:tcPr>
          <w:p>
            <w:r>
              <w:rPr>
                <w:sz w:val="16"/>
              </w:rPr>
              <w:t>selected</w:t>
            </w:r>
          </w:p>
        </w:tc>
        <w:tc>
          <w:tcPr>
            <w:tcW w:type="dxa" w:w="1721"/>
            <w:shd w:fill="D9EAF7"/>
          </w:tcPr>
          <w:p>
            <w:r>
              <w:rPr>
                <w:sz w:val="16"/>
              </w:rPr>
              <w:t>cum_ret</w:t>
            </w:r>
          </w:p>
        </w:tc>
        <w:tc>
          <w:tcPr>
            <w:tcW w:type="dxa" w:w="1721"/>
            <w:shd w:fill="D9EAF7"/>
          </w:tcPr>
          <w:p>
            <w:r>
              <w:rPr>
                <w:sz w:val="16"/>
              </w:rPr>
              <w:t>sharpe</w:t>
            </w:r>
          </w:p>
        </w:tc>
        <w:tc>
          <w:tcPr>
            <w:tcW w:type="dxa" w:w="1721"/>
            <w:shd w:fill="D9EAF7"/>
          </w:tcPr>
          <w:p>
            <w:r>
              <w:rPr>
                <w:sz w:val="16"/>
              </w:rPr>
              <w:t>max_dd</w:t>
            </w:r>
          </w:p>
        </w:tc>
        <w:tc>
          <w:tcPr>
            <w:tcW w:type="dxa" w:w="1721"/>
            <w:shd w:fill="D9EAF7"/>
          </w:tcPr>
          <w:p>
            <w:r>
              <w:rPr>
                <w:sz w:val="16"/>
              </w:rPr>
              <w:t>excess_vs_QQQ</w:t>
            </w:r>
          </w:p>
        </w:tc>
        <w:tc>
          <w:tcPr>
            <w:tcW w:type="dxa" w:w="1721"/>
            <w:shd w:fill="D9EAF7"/>
          </w:tcPr>
          <w:p>
            <w:r>
              <w:rPr>
                <w:sz w:val="16"/>
              </w:rPr>
              <w:t>excess_IR</w:t>
            </w:r>
          </w:p>
        </w:tc>
      </w:tr>
      <w:tr>
        <w:tc>
          <w:tcPr>
            <w:tcW w:type="dxa" w:w="1721"/>
            <w:vAlign w:val="center"/>
          </w:tcPr>
          <w:p>
            <w:r>
              <w:rPr>
                <w:sz w:val="16"/>
              </w:rPr>
              <w:t>EBS1_10_sweep</w:t>
            </w:r>
          </w:p>
        </w:tc>
        <w:tc>
          <w:tcPr>
            <w:tcW w:type="dxa" w:w="1721"/>
            <w:vAlign w:val="center"/>
          </w:tcPr>
          <w:p>
            <w:r>
              <w:rPr>
                <w:sz w:val="16"/>
              </w:rPr>
              <w:t>10</w:t>
            </w:r>
          </w:p>
        </w:tc>
        <w:tc>
          <w:tcPr>
            <w:tcW w:type="dxa" w:w="1721"/>
            <w:vAlign w:val="center"/>
          </w:tcPr>
          <w:p>
            <w:r>
              <w:rPr>
                <w:sz w:val="16"/>
              </w:rPr>
              <w:t>260</w:t>
            </w:r>
          </w:p>
        </w:tc>
        <w:tc>
          <w:tcPr>
            <w:tcW w:type="dxa" w:w="1721"/>
            <w:vAlign w:val="center"/>
          </w:tcPr>
          <w:p>
            <w:r>
              <w:rPr>
                <w:sz w:val="16"/>
              </w:rPr>
              <w:t>8.01%</w:t>
            </w:r>
          </w:p>
        </w:tc>
        <w:tc>
          <w:tcPr>
            <w:tcW w:type="dxa" w:w="1721"/>
            <w:vAlign w:val="center"/>
          </w:tcPr>
          <w:p>
            <w:r>
              <w:rPr>
                <w:sz w:val="16"/>
              </w:rPr>
              <w:t>0.26</w:t>
            </w:r>
          </w:p>
        </w:tc>
        <w:tc>
          <w:tcPr>
            <w:tcW w:type="dxa" w:w="1721"/>
            <w:vAlign w:val="center"/>
          </w:tcPr>
          <w:p>
            <w:r>
              <w:rPr>
                <w:sz w:val="16"/>
              </w:rPr>
              <w:t>-8.15%</w:t>
            </w:r>
          </w:p>
        </w:tc>
        <w:tc>
          <w:tcPr>
            <w:tcW w:type="dxa" w:w="1721"/>
            <w:vAlign w:val="center"/>
          </w:tcPr>
          <w:p>
            <w:r>
              <w:rPr>
                <w:sz w:val="16"/>
              </w:rPr>
              <w:t>10.66%</w:t>
            </w:r>
          </w:p>
        </w:tc>
        <w:tc>
          <w:tcPr>
            <w:tcW w:type="dxa" w:w="1721"/>
            <w:vAlign w:val="center"/>
          </w:tcPr>
          <w:p>
            <w:r>
              <w:rPr>
                <w:sz w:val="16"/>
              </w:rPr>
              <w:t>0.63</w:t>
            </w:r>
          </w:p>
        </w:tc>
      </w:tr>
      <w:tr>
        <w:tc>
          <w:tcPr>
            <w:tcW w:type="dxa" w:w="1721"/>
            <w:vAlign w:val="center"/>
          </w:tcPr>
          <w:p>
            <w:r>
              <w:rPr>
                <w:sz w:val="16"/>
              </w:rPr>
              <w:t>EBS1_20</w:t>
            </w:r>
          </w:p>
        </w:tc>
        <w:tc>
          <w:tcPr>
            <w:tcW w:type="dxa" w:w="1721"/>
            <w:vAlign w:val="center"/>
          </w:tcPr>
          <w:p>
            <w:r>
              <w:rPr>
                <w:sz w:val="16"/>
              </w:rPr>
              <w:t>20</w:t>
            </w:r>
          </w:p>
        </w:tc>
        <w:tc>
          <w:tcPr>
            <w:tcW w:type="dxa" w:w="1721"/>
            <w:vAlign w:val="center"/>
          </w:tcPr>
          <w:p>
            <w:r>
              <w:rPr>
                <w:sz w:val="16"/>
              </w:rPr>
              <w:t>260</w:t>
            </w:r>
          </w:p>
        </w:tc>
        <w:tc>
          <w:tcPr>
            <w:tcW w:type="dxa" w:w="1721"/>
            <w:vAlign w:val="center"/>
          </w:tcPr>
          <w:p>
            <w:r>
              <w:rPr>
                <w:sz w:val="16"/>
              </w:rPr>
              <w:t>10.99%</w:t>
            </w:r>
          </w:p>
        </w:tc>
        <w:tc>
          <w:tcPr>
            <w:tcW w:type="dxa" w:w="1721"/>
            <w:vAlign w:val="center"/>
          </w:tcPr>
          <w:p>
            <w:r>
              <w:rPr>
                <w:sz w:val="16"/>
              </w:rPr>
              <w:t>0.26</w:t>
            </w:r>
          </w:p>
        </w:tc>
        <w:tc>
          <w:tcPr>
            <w:tcW w:type="dxa" w:w="1721"/>
            <w:vAlign w:val="center"/>
          </w:tcPr>
          <w:p>
            <w:r>
              <w:rPr>
                <w:sz w:val="16"/>
              </w:rPr>
              <w:t>-14.56%</w:t>
            </w:r>
          </w:p>
        </w:tc>
        <w:tc>
          <w:tcPr>
            <w:tcW w:type="dxa" w:w="1721"/>
            <w:vAlign w:val="center"/>
          </w:tcPr>
          <w:p>
            <w:r>
              <w:rPr>
                <w:sz w:val="16"/>
              </w:rPr>
              <w:t>5.38%</w:t>
            </w:r>
          </w:p>
        </w:tc>
        <w:tc>
          <w:tcPr>
            <w:tcW w:type="dxa" w:w="1721"/>
            <w:vAlign w:val="center"/>
          </w:tcPr>
          <w:p>
            <w:r>
              <w:rPr>
                <w:sz w:val="16"/>
              </w:rPr>
              <w:t>0.25</w:t>
            </w:r>
          </w:p>
        </w:tc>
      </w:tr>
      <w:tr>
        <w:tc>
          <w:tcPr>
            <w:tcW w:type="dxa" w:w="1721"/>
            <w:vAlign w:val="center"/>
          </w:tcPr>
          <w:p>
            <w:r>
              <w:rPr>
                <w:sz w:val="16"/>
              </w:rPr>
              <w:t>EBS1_40</w:t>
            </w:r>
          </w:p>
        </w:tc>
        <w:tc>
          <w:tcPr>
            <w:tcW w:type="dxa" w:w="1721"/>
            <w:vAlign w:val="center"/>
          </w:tcPr>
          <w:p>
            <w:r>
              <w:rPr>
                <w:sz w:val="16"/>
              </w:rPr>
              <w:t>40</w:t>
            </w:r>
          </w:p>
        </w:tc>
        <w:tc>
          <w:tcPr>
            <w:tcW w:type="dxa" w:w="1721"/>
            <w:vAlign w:val="center"/>
          </w:tcPr>
          <w:p>
            <w:r>
              <w:rPr>
                <w:sz w:val="16"/>
              </w:rPr>
              <w:t>260</w:t>
            </w:r>
          </w:p>
        </w:tc>
        <w:tc>
          <w:tcPr>
            <w:tcW w:type="dxa" w:w="1721"/>
            <w:vAlign w:val="center"/>
          </w:tcPr>
          <w:p>
            <w:r>
              <w:rPr>
                <w:sz w:val="16"/>
              </w:rPr>
              <w:t>26.77%</w:t>
            </w:r>
          </w:p>
        </w:tc>
        <w:tc>
          <w:tcPr>
            <w:tcW w:type="dxa" w:w="1721"/>
            <w:vAlign w:val="center"/>
          </w:tcPr>
          <w:p>
            <w:r>
              <w:rPr>
                <w:sz w:val="16"/>
              </w:rPr>
              <w:t>0.39</w:t>
            </w:r>
          </w:p>
        </w:tc>
        <w:tc>
          <w:tcPr>
            <w:tcW w:type="dxa" w:w="1721"/>
            <w:vAlign w:val="center"/>
          </w:tcPr>
          <w:p>
            <w:r>
              <w:rPr>
                <w:sz w:val="16"/>
              </w:rPr>
              <w:t>-16.86%</w:t>
            </w:r>
          </w:p>
        </w:tc>
        <w:tc>
          <w:tcPr>
            <w:tcW w:type="dxa" w:w="1721"/>
            <w:vAlign w:val="center"/>
          </w:tcPr>
          <w:p>
            <w:r>
              <w:rPr>
                <w:sz w:val="16"/>
              </w:rPr>
              <w:t>1.25%</w:t>
            </w:r>
          </w:p>
        </w:tc>
        <w:tc>
          <w:tcPr>
            <w:tcW w:type="dxa" w:w="1721"/>
            <w:vAlign w:val="center"/>
          </w:tcPr>
          <w:p>
            <w:r>
              <w:rPr>
                <w:sz w:val="16"/>
              </w:rPr>
              <w:t>0.06</w:t>
            </w:r>
          </w:p>
        </w:tc>
      </w:tr>
      <w:tr>
        <w:tc>
          <w:tcPr>
            <w:tcW w:type="dxa" w:w="1721"/>
            <w:vAlign w:val="center"/>
          </w:tcPr>
          <w:p>
            <w:r>
              <w:rPr>
                <w:sz w:val="16"/>
              </w:rPr>
              <w:t>EBS2_10</w:t>
            </w:r>
          </w:p>
        </w:tc>
        <w:tc>
          <w:tcPr>
            <w:tcW w:type="dxa" w:w="1721"/>
            <w:vAlign w:val="center"/>
          </w:tcPr>
          <w:p>
            <w:r>
              <w:rPr>
                <w:sz w:val="16"/>
              </w:rPr>
              <w:t>10</w:t>
            </w:r>
          </w:p>
        </w:tc>
        <w:tc>
          <w:tcPr>
            <w:tcW w:type="dxa" w:w="1721"/>
            <w:vAlign w:val="center"/>
          </w:tcPr>
          <w:p>
            <w:r>
              <w:rPr>
                <w:sz w:val="16"/>
              </w:rPr>
              <w:t>220</w:t>
            </w:r>
          </w:p>
        </w:tc>
        <w:tc>
          <w:tcPr>
            <w:tcW w:type="dxa" w:w="1721"/>
            <w:vAlign w:val="center"/>
          </w:tcPr>
          <w:p>
            <w:r>
              <w:rPr>
                <w:sz w:val="16"/>
              </w:rPr>
              <w:t>11.60%</w:t>
            </w:r>
          </w:p>
        </w:tc>
        <w:tc>
          <w:tcPr>
            <w:tcW w:type="dxa" w:w="1721"/>
            <w:vAlign w:val="center"/>
          </w:tcPr>
          <w:p>
            <w:r>
              <w:rPr>
                <w:sz w:val="16"/>
              </w:rPr>
              <w:t>0.37</w:t>
            </w:r>
          </w:p>
        </w:tc>
        <w:tc>
          <w:tcPr>
            <w:tcW w:type="dxa" w:w="1721"/>
            <w:vAlign w:val="center"/>
          </w:tcPr>
          <w:p>
            <w:r>
              <w:rPr>
                <w:sz w:val="16"/>
              </w:rPr>
              <w:t>-12.28%</w:t>
            </w:r>
          </w:p>
        </w:tc>
        <w:tc>
          <w:tcPr>
            <w:tcW w:type="dxa" w:w="1721"/>
            <w:vAlign w:val="center"/>
          </w:tcPr>
          <w:p>
            <w:r>
              <w:rPr>
                <w:sz w:val="16"/>
              </w:rPr>
              <w:t>5.81%</w:t>
            </w:r>
          </w:p>
        </w:tc>
        <w:tc>
          <w:tcPr>
            <w:tcW w:type="dxa" w:w="1721"/>
            <w:vAlign w:val="center"/>
          </w:tcPr>
          <w:p>
            <w:r>
              <w:rPr>
                <w:sz w:val="16"/>
              </w:rPr>
              <w:t>0.38</w:t>
            </w:r>
          </w:p>
        </w:tc>
      </w:tr>
      <w:tr>
        <w:tc>
          <w:tcPr>
            <w:tcW w:type="dxa" w:w="1721"/>
            <w:vAlign w:val="center"/>
          </w:tcPr>
          <w:p>
            <w:r>
              <w:rPr>
                <w:sz w:val="16"/>
              </w:rPr>
              <w:t>EBS2_20</w:t>
            </w:r>
          </w:p>
        </w:tc>
        <w:tc>
          <w:tcPr>
            <w:tcW w:type="dxa" w:w="1721"/>
            <w:vAlign w:val="center"/>
          </w:tcPr>
          <w:p>
            <w:r>
              <w:rPr>
                <w:sz w:val="16"/>
              </w:rPr>
              <w:t>20</w:t>
            </w:r>
          </w:p>
        </w:tc>
        <w:tc>
          <w:tcPr>
            <w:tcW w:type="dxa" w:w="1721"/>
            <w:vAlign w:val="center"/>
          </w:tcPr>
          <w:p>
            <w:r>
              <w:rPr>
                <w:sz w:val="16"/>
              </w:rPr>
              <w:t>220</w:t>
            </w:r>
          </w:p>
        </w:tc>
        <w:tc>
          <w:tcPr>
            <w:tcW w:type="dxa" w:w="1721"/>
            <w:vAlign w:val="center"/>
          </w:tcPr>
          <w:p>
            <w:r>
              <w:rPr>
                <w:sz w:val="16"/>
              </w:rPr>
              <w:t>10.33%</w:t>
            </w:r>
          </w:p>
        </w:tc>
        <w:tc>
          <w:tcPr>
            <w:tcW w:type="dxa" w:w="1721"/>
            <w:vAlign w:val="center"/>
          </w:tcPr>
          <w:p>
            <w:r>
              <w:rPr>
                <w:sz w:val="16"/>
              </w:rPr>
              <w:t>0.27</w:t>
            </w:r>
          </w:p>
        </w:tc>
        <w:tc>
          <w:tcPr>
            <w:tcW w:type="dxa" w:w="1721"/>
            <w:vAlign w:val="center"/>
          </w:tcPr>
          <w:p>
            <w:r>
              <w:rPr>
                <w:sz w:val="16"/>
              </w:rPr>
              <w:t>-19.37%</w:t>
            </w:r>
          </w:p>
        </w:tc>
        <w:tc>
          <w:tcPr>
            <w:tcW w:type="dxa" w:w="1721"/>
            <w:vAlign w:val="center"/>
          </w:tcPr>
          <w:p>
            <w:r>
              <w:rPr>
                <w:sz w:val="16"/>
              </w:rPr>
              <w:t>3.25%</w:t>
            </w:r>
          </w:p>
        </w:tc>
        <w:tc>
          <w:tcPr>
            <w:tcW w:type="dxa" w:w="1721"/>
            <w:vAlign w:val="center"/>
          </w:tcPr>
          <w:p>
            <w:r>
              <w:rPr>
                <w:sz w:val="16"/>
              </w:rPr>
              <w:t>0.18</w:t>
            </w:r>
          </w:p>
        </w:tc>
      </w:tr>
      <w:tr>
        <w:tc>
          <w:tcPr>
            <w:tcW w:type="dxa" w:w="1721"/>
            <w:vAlign w:val="center"/>
          </w:tcPr>
          <w:p>
            <w:r>
              <w:rPr>
                <w:sz w:val="16"/>
              </w:rPr>
              <w:t>EBS2_40_sweep</w:t>
            </w:r>
          </w:p>
        </w:tc>
        <w:tc>
          <w:tcPr>
            <w:tcW w:type="dxa" w:w="1721"/>
            <w:vAlign w:val="center"/>
          </w:tcPr>
          <w:p>
            <w:r>
              <w:rPr>
                <w:sz w:val="16"/>
              </w:rPr>
              <w:t>40</w:t>
            </w:r>
          </w:p>
        </w:tc>
        <w:tc>
          <w:tcPr>
            <w:tcW w:type="dxa" w:w="1721"/>
            <w:vAlign w:val="center"/>
          </w:tcPr>
          <w:p>
            <w:r>
              <w:rPr>
                <w:sz w:val="16"/>
              </w:rPr>
              <w:t>220</w:t>
            </w:r>
          </w:p>
        </w:tc>
        <w:tc>
          <w:tcPr>
            <w:tcW w:type="dxa" w:w="1721"/>
            <w:vAlign w:val="center"/>
          </w:tcPr>
          <w:p>
            <w:r>
              <w:rPr>
                <w:sz w:val="16"/>
              </w:rPr>
              <w:t>32.57%</w:t>
            </w:r>
          </w:p>
        </w:tc>
        <w:tc>
          <w:tcPr>
            <w:tcW w:type="dxa" w:w="1721"/>
            <w:vAlign w:val="center"/>
          </w:tcPr>
          <w:p>
            <w:r>
              <w:rPr>
                <w:sz w:val="16"/>
              </w:rPr>
              <w:t>0.59</w:t>
            </w:r>
          </w:p>
        </w:tc>
        <w:tc>
          <w:tcPr>
            <w:tcW w:type="dxa" w:w="1721"/>
            <w:vAlign w:val="center"/>
          </w:tcPr>
          <w:p>
            <w:r>
              <w:rPr>
                <w:sz w:val="16"/>
              </w:rPr>
              <w:t>-23.32%</w:t>
            </w:r>
          </w:p>
        </w:tc>
        <w:tc>
          <w:tcPr>
            <w:tcW w:type="dxa" w:w="1721"/>
            <w:vAlign w:val="center"/>
          </w:tcPr>
          <w:p>
            <w:r>
              <w:rPr>
                <w:sz w:val="16"/>
              </w:rPr>
              <w:t>8.47%</w:t>
            </w:r>
          </w:p>
        </w:tc>
        <w:tc>
          <w:tcPr>
            <w:tcW w:type="dxa" w:w="1721"/>
            <w:vAlign w:val="center"/>
          </w:tcPr>
          <w:p>
            <w:r>
              <w:rPr>
                <w:sz w:val="16"/>
              </w:rPr>
              <w:t>0.34</w:t>
            </w:r>
          </w:p>
        </w:tc>
      </w:tr>
      <w:tr>
        <w:tc>
          <w:tcPr>
            <w:tcW w:type="dxa" w:w="1721"/>
            <w:vAlign w:val="center"/>
          </w:tcPr>
          <w:p>
            <w:r>
              <w:rPr>
                <w:sz w:val="16"/>
              </w:rPr>
              <w:t>PEAD20</w:t>
            </w:r>
          </w:p>
        </w:tc>
        <w:tc>
          <w:tcPr>
            <w:tcW w:type="dxa" w:w="1721"/>
            <w:vAlign w:val="center"/>
          </w:tcPr>
          <w:p>
            <w:r>
              <w:rPr>
                <w:sz w:val="16"/>
              </w:rPr>
              <w:t>20</w:t>
            </w:r>
          </w:p>
        </w:tc>
        <w:tc>
          <w:tcPr>
            <w:tcW w:type="dxa" w:w="1721"/>
            <w:vAlign w:val="center"/>
          </w:tcPr>
          <w:p>
            <w:r>
              <w:rPr>
                <w:sz w:val="16"/>
              </w:rPr>
              <w:t>127</w:t>
            </w:r>
          </w:p>
        </w:tc>
        <w:tc>
          <w:tcPr>
            <w:tcW w:type="dxa" w:w="1721"/>
            <w:vAlign w:val="center"/>
          </w:tcPr>
          <w:p>
            <w:r>
              <w:rPr>
                <w:sz w:val="16"/>
              </w:rPr>
              <w:t>17.44%</w:t>
            </w:r>
          </w:p>
        </w:tc>
        <w:tc>
          <w:tcPr>
            <w:tcW w:type="dxa" w:w="1721"/>
            <w:vAlign w:val="center"/>
          </w:tcPr>
          <w:p>
            <w:r>
              <w:rPr>
                <w:sz w:val="16"/>
              </w:rPr>
              <w:t>0.66</w:t>
            </w:r>
          </w:p>
        </w:tc>
        <w:tc>
          <w:tcPr>
            <w:tcW w:type="dxa" w:w="1721"/>
            <w:vAlign w:val="center"/>
          </w:tcPr>
          <w:p>
            <w:r>
              <w:rPr>
                <w:sz w:val="16"/>
              </w:rPr>
              <w:t>-5.61%</w:t>
            </w:r>
          </w:p>
        </w:tc>
        <w:tc>
          <w:tcPr>
            <w:tcW w:type="dxa" w:w="1721"/>
            <w:vAlign w:val="center"/>
          </w:tcPr>
          <w:p>
            <w:r>
              <w:rPr>
                <w:sz w:val="16"/>
              </w:rPr>
              <w:t>8.44%</w:t>
            </w:r>
          </w:p>
        </w:tc>
        <w:tc>
          <w:tcPr>
            <w:tcW w:type="dxa" w:w="1721"/>
            <w:vAlign w:val="center"/>
          </w:tcPr>
          <w:p>
            <w:r>
              <w:rPr>
                <w:sz w:val="16"/>
              </w:rPr>
              <w:t>0.60</w:t>
            </w:r>
          </w:p>
        </w:tc>
      </w:tr>
      <w:tr>
        <w:tc>
          <w:tcPr>
            <w:tcW w:type="dxa" w:w="1721"/>
            <w:vAlign w:val="center"/>
          </w:tcPr>
          <w:p>
            <w:r>
              <w:rPr>
                <w:sz w:val="16"/>
              </w:rPr>
              <w:t>PEAD40</w:t>
            </w:r>
          </w:p>
        </w:tc>
        <w:tc>
          <w:tcPr>
            <w:tcW w:type="dxa" w:w="1721"/>
            <w:vAlign w:val="center"/>
          </w:tcPr>
          <w:p>
            <w:r>
              <w:rPr>
                <w:sz w:val="16"/>
              </w:rPr>
              <w:t>40</w:t>
            </w:r>
          </w:p>
        </w:tc>
        <w:tc>
          <w:tcPr>
            <w:tcW w:type="dxa" w:w="1721"/>
            <w:vAlign w:val="center"/>
          </w:tcPr>
          <w:p>
            <w:r>
              <w:rPr>
                <w:sz w:val="16"/>
              </w:rPr>
              <w:t>127</w:t>
            </w:r>
          </w:p>
        </w:tc>
        <w:tc>
          <w:tcPr>
            <w:tcW w:type="dxa" w:w="1721"/>
            <w:vAlign w:val="center"/>
          </w:tcPr>
          <w:p>
            <w:r>
              <w:rPr>
                <w:sz w:val="16"/>
              </w:rPr>
              <w:t>23.60%</w:t>
            </w:r>
          </w:p>
        </w:tc>
        <w:tc>
          <w:tcPr>
            <w:tcW w:type="dxa" w:w="1721"/>
            <w:vAlign w:val="center"/>
          </w:tcPr>
          <w:p>
            <w:r>
              <w:rPr>
                <w:sz w:val="16"/>
              </w:rPr>
              <w:t>0.48</w:t>
            </w:r>
          </w:p>
        </w:tc>
        <w:tc>
          <w:tcPr>
            <w:tcW w:type="dxa" w:w="1721"/>
            <w:vAlign w:val="center"/>
          </w:tcPr>
          <w:p>
            <w:r>
              <w:rPr>
                <w:sz w:val="16"/>
              </w:rPr>
              <w:t>-12.98%</w:t>
            </w:r>
          </w:p>
        </w:tc>
        <w:tc>
          <w:tcPr>
            <w:tcW w:type="dxa" w:w="1721"/>
            <w:vAlign w:val="center"/>
          </w:tcPr>
          <w:p>
            <w:r>
              <w:rPr>
                <w:sz w:val="16"/>
              </w:rPr>
              <w:t>6.22%</w:t>
            </w:r>
          </w:p>
        </w:tc>
        <w:tc>
          <w:tcPr>
            <w:tcW w:type="dxa" w:w="1721"/>
            <w:vAlign w:val="center"/>
          </w:tcPr>
          <w:p>
            <w:r>
              <w:rPr>
                <w:sz w:val="16"/>
              </w:rPr>
              <w:t>0.30</w:t>
            </w:r>
          </w:p>
        </w:tc>
      </w:tr>
      <w:tr>
        <w:tc>
          <w:tcPr>
            <w:tcW w:type="dxa" w:w="1721"/>
            <w:vAlign w:val="center"/>
          </w:tcPr>
          <w:p>
            <w:r>
              <w:rPr>
                <w:sz w:val="16"/>
              </w:rPr>
              <w:t>PEAD60_sweep</w:t>
            </w:r>
          </w:p>
        </w:tc>
        <w:tc>
          <w:tcPr>
            <w:tcW w:type="dxa" w:w="1721"/>
            <w:vAlign w:val="center"/>
          </w:tcPr>
          <w:p>
            <w:r>
              <w:rPr>
                <w:sz w:val="16"/>
              </w:rPr>
              <w:t>60</w:t>
            </w:r>
          </w:p>
        </w:tc>
        <w:tc>
          <w:tcPr>
            <w:tcW w:type="dxa" w:w="1721"/>
            <w:vAlign w:val="center"/>
          </w:tcPr>
          <w:p>
            <w:r>
              <w:rPr>
                <w:sz w:val="16"/>
              </w:rPr>
              <w:t>125</w:t>
            </w:r>
          </w:p>
        </w:tc>
        <w:tc>
          <w:tcPr>
            <w:tcW w:type="dxa" w:w="1721"/>
            <w:vAlign w:val="center"/>
          </w:tcPr>
          <w:p>
            <w:r>
              <w:rPr>
                <w:sz w:val="16"/>
              </w:rPr>
              <w:t>65.07%</w:t>
            </w:r>
          </w:p>
        </w:tc>
        <w:tc>
          <w:tcPr>
            <w:tcW w:type="dxa" w:w="1721"/>
            <w:vAlign w:val="center"/>
          </w:tcPr>
          <w:p>
            <w:r>
              <w:rPr>
                <w:sz w:val="16"/>
              </w:rPr>
              <w:t>0.85</w:t>
            </w:r>
          </w:p>
        </w:tc>
        <w:tc>
          <w:tcPr>
            <w:tcW w:type="dxa" w:w="1721"/>
            <w:vAlign w:val="center"/>
          </w:tcPr>
          <w:p>
            <w:r>
              <w:rPr>
                <w:sz w:val="16"/>
              </w:rPr>
              <w:t>-12.98%</w:t>
            </w:r>
          </w:p>
        </w:tc>
        <w:tc>
          <w:tcPr>
            <w:tcW w:type="dxa" w:w="1721"/>
            <w:vAlign w:val="center"/>
          </w:tcPr>
          <w:p>
            <w:r>
              <w:rPr>
                <w:sz w:val="16"/>
              </w:rPr>
              <w:t>16.62%</w:t>
            </w:r>
          </w:p>
        </w:tc>
        <w:tc>
          <w:tcPr>
            <w:tcW w:type="dxa" w:w="1721"/>
            <w:vAlign w:val="center"/>
          </w:tcPr>
          <w:p>
            <w:r>
              <w:rPr>
                <w:sz w:val="16"/>
              </w:rPr>
              <w:t>0.60</w:t>
            </w:r>
          </w:p>
        </w:tc>
      </w:tr>
    </w:tbl>
    <w:p>
      <w:pPr>
        <w:pStyle w:val="Heading1"/>
      </w:pPr>
      <w:r>
        <w:t>Data Limitation</w:t>
      </w:r>
    </w:p>
    <w:p>
      <w:r>
        <w:t>The local Qlib price universe contains more symbols than the current Alpha Vantage earnings cache. The API key hit the standard daily limit during expansion, so the final factor runs are complete for the currently cached earnings universe but not complete for the broader desired US tech pool.</w:t>
      </w:r>
    </w:p>
    <w:tbl>
      <w:tblPr>
        <w:tblStyle w:val="TableGrid"/>
        <w:tblW w:type="auto" w:w="0"/>
        <w:tblLook w:firstColumn="1" w:firstRow="1" w:lastColumn="0" w:lastRow="0" w:noHBand="0" w:noVBand="1" w:val="04A0"/>
      </w:tblPr>
      <w:tblGrid>
        <w:gridCol w:w="4589"/>
        <w:gridCol w:w="4589"/>
        <w:gridCol w:w="4589"/>
      </w:tblGrid>
      <w:tr>
        <w:tc>
          <w:tcPr>
            <w:tcW w:type="dxa" w:w="4589"/>
            <w:shd w:fill="D9EAF7"/>
          </w:tcPr>
          <w:p>
            <w:r>
              <w:rPr>
                <w:sz w:val="16"/>
              </w:rPr>
              <w:t>factor</w:t>
            </w:r>
          </w:p>
        </w:tc>
        <w:tc>
          <w:tcPr>
            <w:tcW w:type="dxa" w:w="4589"/>
            <w:shd w:fill="D9EAF7"/>
          </w:tcPr>
          <w:p>
            <w:r>
              <w:rPr>
                <w:sz w:val="16"/>
              </w:rPr>
              <w:t>available_price_symbols</w:t>
            </w:r>
          </w:p>
        </w:tc>
        <w:tc>
          <w:tcPr>
            <w:tcW w:type="dxa" w:w="4589"/>
            <w:shd w:fill="D9EAF7"/>
          </w:tcPr>
          <w:p>
            <w:r>
              <w:rPr>
                <w:sz w:val="16"/>
              </w:rPr>
              <w:t>missing_earnings</w:t>
            </w:r>
          </w:p>
        </w:tc>
      </w:tr>
      <w:tr>
        <w:tc>
          <w:tcPr>
            <w:tcW w:type="dxa" w:w="4589"/>
            <w:vAlign w:val="center"/>
          </w:tcPr>
          <w:p>
            <w:r>
              <w:rPr>
                <w:sz w:val="16"/>
              </w:rPr>
              <w:t>EAP</w:t>
            </w:r>
          </w:p>
        </w:tc>
        <w:tc>
          <w:tcPr>
            <w:tcW w:type="dxa" w:w="4589"/>
            <w:vAlign w:val="center"/>
          </w:tcPr>
          <w:p>
            <w:r>
              <w:rPr>
                <w:sz w:val="16"/>
              </w:rPr>
              <w:t>49</w:t>
            </w:r>
          </w:p>
        </w:tc>
        <w:tc>
          <w:tcPr>
            <w:tcW w:type="dxa" w:w="4589"/>
            <w:vAlign w:val="center"/>
          </w:tcPr>
          <w:p>
            <w:r>
              <w:rPr>
                <w:sz w:val="16"/>
              </w:rPr>
              <w:t>24</w:t>
            </w:r>
          </w:p>
        </w:tc>
      </w:tr>
      <w:tr>
        <w:tc>
          <w:tcPr>
            <w:tcW w:type="dxa" w:w="4589"/>
            <w:vAlign w:val="center"/>
          </w:tcPr>
          <w:p>
            <w:r>
              <w:rPr>
                <w:sz w:val="16"/>
              </w:rPr>
              <w:t>PEAD60</w:t>
            </w:r>
          </w:p>
        </w:tc>
        <w:tc>
          <w:tcPr>
            <w:tcW w:type="dxa" w:w="4589"/>
            <w:vAlign w:val="center"/>
          </w:tcPr>
          <w:p>
            <w:r>
              <w:rPr>
                <w:sz w:val="16"/>
              </w:rPr>
              <w:t>49</w:t>
            </w:r>
          </w:p>
        </w:tc>
        <w:tc>
          <w:tcPr>
            <w:tcW w:type="dxa" w:w="4589"/>
            <w:vAlign w:val="center"/>
          </w:tcPr>
          <w:p>
            <w:r>
              <w:rPr>
                <w:sz w:val="16"/>
              </w:rPr>
              <w:t>24</w:t>
            </w:r>
          </w:p>
        </w:tc>
      </w:tr>
      <w:tr>
        <w:tc>
          <w:tcPr>
            <w:tcW w:type="dxa" w:w="4589"/>
            <w:vAlign w:val="center"/>
          </w:tcPr>
          <w:p>
            <w:r>
              <w:rPr>
                <w:sz w:val="16"/>
              </w:rPr>
              <w:t>EBS1_10</w:t>
            </w:r>
          </w:p>
        </w:tc>
        <w:tc>
          <w:tcPr>
            <w:tcW w:type="dxa" w:w="4589"/>
            <w:vAlign w:val="center"/>
          </w:tcPr>
          <w:p>
            <w:r>
              <w:rPr>
                <w:sz w:val="16"/>
              </w:rPr>
              <w:t>49</w:t>
            </w:r>
          </w:p>
        </w:tc>
        <w:tc>
          <w:tcPr>
            <w:tcW w:type="dxa" w:w="4589"/>
            <w:vAlign w:val="center"/>
          </w:tcPr>
          <w:p>
            <w:r>
              <w:rPr>
                <w:sz w:val="16"/>
              </w:rPr>
              <w:t>24</w:t>
            </w:r>
          </w:p>
        </w:tc>
      </w:tr>
      <w:tr>
        <w:tc>
          <w:tcPr>
            <w:tcW w:type="dxa" w:w="4589"/>
            <w:vAlign w:val="center"/>
          </w:tcPr>
          <w:p>
            <w:r>
              <w:rPr>
                <w:sz w:val="16"/>
              </w:rPr>
              <w:t>EBS2_40</w:t>
            </w:r>
          </w:p>
        </w:tc>
        <w:tc>
          <w:tcPr>
            <w:tcW w:type="dxa" w:w="4589"/>
            <w:vAlign w:val="center"/>
          </w:tcPr>
          <w:p>
            <w:r>
              <w:rPr>
                <w:sz w:val="16"/>
              </w:rPr>
              <w:t>49</w:t>
            </w:r>
          </w:p>
        </w:tc>
        <w:tc>
          <w:tcPr>
            <w:tcW w:type="dxa" w:w="4589"/>
            <w:vAlign w:val="center"/>
          </w:tcPr>
          <w:p>
            <w:r>
              <w:rPr>
                <w:sz w:val="16"/>
              </w:rPr>
              <w:t>24</w:t>
            </w:r>
          </w:p>
        </w:tc>
      </w:tr>
    </w:tbl>
    <w:p>
      <w:pPr>
        <w:pStyle w:val="Heading1"/>
      </w:pPr>
      <w:r>
        <w:t>Next Research Actions</w:t>
      </w:r>
    </w:p>
    <w:p>
      <w:pPr>
        <w:pStyle w:val="ListBullet"/>
      </w:pPr>
      <w:r>
        <w:t>Backfill the missing earnings symbols when the API limit resets or switch to a higher-quality data source.</w:t>
      </w:r>
    </w:p>
    <w:p>
      <w:pPr>
        <w:pStyle w:val="ListBullet"/>
      </w:pPr>
      <w:r>
        <w:t>Add revenue surprise, guidance revision, analyst revisions, and options-implied move.</w:t>
      </w:r>
    </w:p>
    <w:p>
      <w:pPr>
        <w:pStyle w:val="ListBullet"/>
      </w:pPr>
      <w:r>
        <w:t>Replace current curated universe with point-in-time historical membership.</w:t>
      </w:r>
    </w:p>
    <w:p>
      <w:pPr>
        <w:pStyle w:val="ListBullet"/>
      </w:pPr>
      <w:r>
        <w:t>Run leave-one-symbol and leave-one-cluster robustness before considering production.</w:t>
      </w:r>
    </w:p>
    <w:p>
      <w:pPr>
        <w:pStyle w:val="Heading1"/>
      </w:pPr>
      <w:r>
        <w:t>Run Directories</w:t>
      </w:r>
    </w:p>
    <w:tbl>
      <w:tblPr>
        <w:tblStyle w:val="TableGrid"/>
        <w:tblW w:type="auto" w:w="0"/>
        <w:tblLook w:firstColumn="1" w:firstRow="1" w:lastColumn="0" w:lastRow="0" w:noHBand="0" w:noVBand="1" w:val="04A0"/>
      </w:tblPr>
      <w:tblGrid>
        <w:gridCol w:w="6883"/>
        <w:gridCol w:w="6883"/>
      </w:tblGrid>
      <w:tr>
        <w:tc>
          <w:tcPr>
            <w:tcW w:type="dxa" w:w="6883"/>
            <w:shd w:fill="D9EAF7"/>
          </w:tcPr>
          <w:p>
            <w:r>
              <w:rPr>
                <w:sz w:val="16"/>
              </w:rPr>
              <w:t>label</w:t>
            </w:r>
          </w:p>
        </w:tc>
        <w:tc>
          <w:tcPr>
            <w:tcW w:type="dxa" w:w="6883"/>
            <w:shd w:fill="D9EAF7"/>
          </w:tcPr>
          <w:p>
            <w:r>
              <w:rPr>
                <w:sz w:val="16"/>
              </w:rPr>
              <w:t>run_dir</w:t>
            </w:r>
          </w:p>
        </w:tc>
      </w:tr>
      <w:tr>
        <w:tc>
          <w:tcPr>
            <w:tcW w:type="dxa" w:w="6883"/>
            <w:vAlign w:val="center"/>
          </w:tcPr>
          <w:p>
            <w:r>
              <w:rPr>
                <w:sz w:val="16"/>
              </w:rPr>
              <w:t>EAP</w:t>
            </w:r>
          </w:p>
        </w:tc>
        <w:tc>
          <w:tcPr>
            <w:tcW w:type="dxa" w:w="6883"/>
            <w:vAlign w:val="center"/>
          </w:tcPr>
          <w:p>
            <w:r>
              <w:rPr>
                <w:sz w:val="16"/>
              </w:rPr>
              <w:t>.tmp\factor_runs\EAP_v1_diversified_announcement_premium\20260508_122946</w:t>
            </w:r>
          </w:p>
        </w:tc>
      </w:tr>
      <w:tr>
        <w:tc>
          <w:tcPr>
            <w:tcW w:type="dxa" w:w="6883"/>
            <w:vAlign w:val="center"/>
          </w:tcPr>
          <w:p>
            <w:r>
              <w:rPr>
                <w:sz w:val="16"/>
              </w:rPr>
              <w:t>PEAD60</w:t>
            </w:r>
          </w:p>
        </w:tc>
        <w:tc>
          <w:tcPr>
            <w:tcW w:type="dxa" w:w="6883"/>
            <w:vAlign w:val="center"/>
          </w:tcPr>
          <w:p>
            <w:r>
              <w:rPr>
                <w:sz w:val="16"/>
              </w:rPr>
              <w:t>.tmp\factor_runs\PEAD_v1_quality_drift_60d\20260508_123018</w:t>
            </w:r>
          </w:p>
        </w:tc>
      </w:tr>
      <w:tr>
        <w:tc>
          <w:tcPr>
            <w:tcW w:type="dxa" w:w="6883"/>
            <w:vAlign w:val="center"/>
          </w:tcPr>
          <w:p>
            <w:r>
              <w:rPr>
                <w:sz w:val="16"/>
              </w:rPr>
              <w:t>EBS1_10</w:t>
            </w:r>
          </w:p>
        </w:tc>
        <w:tc>
          <w:tcPr>
            <w:tcW w:type="dxa" w:w="6883"/>
            <w:vAlign w:val="center"/>
          </w:tcPr>
          <w:p>
            <w:r>
              <w:rPr>
                <w:sz w:val="16"/>
              </w:rPr>
              <w:t>.tmp\factor_runs\EBS_v1_leader_confirmed_basket_drift_10d\20260508_123039</w:t>
            </w:r>
          </w:p>
        </w:tc>
      </w:tr>
      <w:tr>
        <w:tc>
          <w:tcPr>
            <w:tcW w:type="dxa" w:w="6883"/>
            <w:vAlign w:val="center"/>
          </w:tcPr>
          <w:p>
            <w:r>
              <w:rPr>
                <w:sz w:val="16"/>
              </w:rPr>
              <w:t>EBS2_40</w:t>
            </w:r>
          </w:p>
        </w:tc>
        <w:tc>
          <w:tcPr>
            <w:tcW w:type="dxa" w:w="6883"/>
            <w:vAlign w:val="center"/>
          </w:tcPr>
          <w:p>
            <w:r>
              <w:rPr>
                <w:sz w:val="16"/>
              </w:rPr>
              <w:t>.tmp\factor_runs\EBS_v2_leader_follower_gap_40d\20260508_123103</w:t>
            </w:r>
          </w:p>
        </w:tc>
      </w:tr>
    </w:tbl>
    <w:sectPr w:rsidR="00FC693F" w:rsidRPr="0006063C" w:rsidSect="00034616">
      <w:pgSz w:w="15840" w:h="12240" w:orient="landscape"/>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