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247650</wp:posOffset>
            </wp:positionV>
            <wp:extent cx="4967288" cy="1646955"/>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67288" cy="164695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Title:</w:t>
      </w:r>
    </w:p>
    <w:p w:rsidR="00000000" w:rsidDel="00000000" w:rsidP="00000000" w:rsidRDefault="00000000" w:rsidRPr="00000000" w14:paraId="0000000D">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Driven Responsible AI by monetization in B2B</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ind w:left="144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Acronym:</w:t>
      </w:r>
      <w:r w:rsidDel="00000000" w:rsidR="00000000" w:rsidRPr="00000000">
        <w:rPr>
          <w:rFonts w:ascii="Calibri" w:cs="Calibri" w:eastAsia="Calibri" w:hAnsi="Calibri"/>
          <w:sz w:val="24"/>
          <w:szCs w:val="24"/>
          <w:rtl w:val="0"/>
        </w:rPr>
        <w:t xml:space="preserve"> RAIaaS </w:t>
      </w:r>
    </w:p>
    <w:p w:rsidR="00000000" w:rsidDel="00000000" w:rsidP="00000000" w:rsidRDefault="00000000" w:rsidRPr="00000000" w14:paraId="00000010">
      <w:pPr>
        <w:ind w:left="144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Team Name:</w:t>
      </w:r>
      <w:r w:rsidDel="00000000" w:rsidR="00000000" w:rsidRPr="00000000">
        <w:rPr>
          <w:rFonts w:ascii="Calibri" w:cs="Calibri" w:eastAsia="Calibri" w:hAnsi="Calibri"/>
          <w:sz w:val="24"/>
          <w:szCs w:val="24"/>
          <w:rtl w:val="0"/>
        </w:rPr>
        <w:t xml:space="preserve"> Sinbad2</w:t>
      </w:r>
    </w:p>
    <w:p w:rsidR="00000000" w:rsidDel="00000000" w:rsidP="00000000" w:rsidRDefault="00000000" w:rsidRPr="00000000" w14:paraId="00000011">
      <w:pPr>
        <w:ind w:left="144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Country:</w:t>
      </w:r>
      <w:r w:rsidDel="00000000" w:rsidR="00000000" w:rsidRPr="00000000">
        <w:rPr>
          <w:rFonts w:ascii="Calibri" w:cs="Calibri" w:eastAsia="Calibri" w:hAnsi="Calibri"/>
          <w:sz w:val="24"/>
          <w:szCs w:val="24"/>
          <w:rtl w:val="0"/>
        </w:rPr>
        <w:t xml:space="preserve"> Spain</w:t>
      </w:r>
    </w:p>
    <w:p w:rsidR="00000000" w:rsidDel="00000000" w:rsidP="00000000" w:rsidRDefault="00000000" w:rsidRPr="00000000" w14:paraId="00000012">
      <w:pPr>
        <w:ind w:left="144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Team Lead:</w:t>
      </w:r>
      <w:r w:rsidDel="00000000" w:rsidR="00000000" w:rsidRPr="00000000">
        <w:rPr>
          <w:rFonts w:ascii="Calibri" w:cs="Calibri" w:eastAsia="Calibri" w:hAnsi="Calibri"/>
          <w:sz w:val="24"/>
          <w:szCs w:val="24"/>
          <w:rtl w:val="0"/>
        </w:rPr>
        <w:t xml:space="preserve"> Luis Martínez</w:t>
      </w:r>
    </w:p>
    <w:p w:rsidR="00000000" w:rsidDel="00000000" w:rsidP="00000000" w:rsidRDefault="00000000" w:rsidRPr="00000000" w14:paraId="00000013">
      <w:pPr>
        <w:ind w:left="144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Team lead affiliation:</w:t>
      </w:r>
      <w:r w:rsidDel="00000000" w:rsidR="00000000" w:rsidRPr="00000000">
        <w:rPr>
          <w:rFonts w:ascii="Calibri" w:cs="Calibri" w:eastAsia="Calibri" w:hAnsi="Calibri"/>
          <w:sz w:val="24"/>
          <w:szCs w:val="24"/>
          <w:rtl w:val="0"/>
        </w:rPr>
        <w:t xml:space="preserve"> University of Jaén</w:t>
      </w:r>
    </w:p>
    <w:p w:rsidR="00000000" w:rsidDel="00000000" w:rsidP="00000000" w:rsidRDefault="00000000" w:rsidRPr="00000000" w14:paraId="00000014">
      <w:pPr>
        <w:ind w:left="144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Email address:</w:t>
      </w:r>
      <w:r w:rsidDel="00000000" w:rsidR="00000000" w:rsidRPr="00000000">
        <w:rPr>
          <w:rFonts w:ascii="Calibri" w:cs="Calibri" w:eastAsia="Calibri" w:hAnsi="Calibri"/>
          <w:sz w:val="24"/>
          <w:szCs w:val="24"/>
          <w:rtl w:val="0"/>
        </w:rPr>
        <w:t xml:space="preserve"> martin@ujaen.es</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Title"/>
        <w:rPr>
          <w:rFonts w:ascii="Calibri" w:cs="Calibri" w:eastAsia="Calibri" w:hAnsi="Calibri"/>
          <w:b w:val="1"/>
          <w:bCs w:val="1"/>
          <w:color w:val="1f3864"/>
          <w:sz w:val="28"/>
          <w:szCs w:val="28"/>
        </w:rPr>
      </w:pPr>
      <w:bookmarkStart w:colFirst="0" w:colLast="0" w:name="_7n28vty22ciy" w:id="0"/>
      <w:bookmarkEnd w:id="0"/>
      <w:r w:rsidDel="00000000" w:rsidR="00000000" w:rsidRPr="00000000">
        <w:rPr>
          <w:rFonts w:ascii="Calibri" w:cs="Calibri" w:eastAsia="Calibri" w:hAnsi="Calibri"/>
          <w:b w:val="1"/>
          <w:bCs w:val="1"/>
          <w:color w:val="1f3864"/>
          <w:sz w:val="28"/>
          <w:szCs w:val="28"/>
          <w:rtl w:val="0"/>
        </w:rPr>
        <w:t xml:space="preserve">Content</w:t>
      </w:r>
    </w:p>
    <w:sdt>
      <w:sdtPr>
        <w:id w:val="-433795661"/>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83foq4fh8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What specific trust problem are you addressing?</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xvu0cinqsc73">
            <w:r w:rsidDel="00000000" w:rsidR="00000000" w:rsidRPr="00000000">
              <w:rPr>
                <w:color w:val="000000"/>
                <w:u w:val="none"/>
                <w:rtl w:val="0"/>
              </w:rPr>
              <w:t xml:space="preserve">Motivation</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8cgguy3l81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What intervention are you building?</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sc3qi4vsf9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Architecture</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oz16qg4j1t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Principle</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f4k68fq7gh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 Model and Data Veracity</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jsfb5lfcba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keej0tz2oa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Alignment</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ti4qahc3ct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Adoption Incentives</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17hs5453uh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How will you prove it works?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bsdq0qbpaju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What evidence will demonstrate value and potential impact?</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mk985rv2nx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and Trust Indicators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bkxej6wyu8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and Adoption Indicators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64nhdooktx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 and Social Trust Indicators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rFonts w:ascii="Calibri" w:cs="Calibri" w:eastAsia="Calibri" w:hAnsi="Calibri"/>
          <w:b w:val="1"/>
          <w:bCs w:val="1"/>
          <w:sz w:val="24"/>
          <w:szCs w:val="24"/>
        </w:rPr>
      </w:pPr>
      <w:bookmarkStart w:colFirst="0" w:colLast="0" w:name="_m83foq4fh8r4" w:id="1"/>
      <w:bookmarkEnd w:id="1"/>
      <w:r w:rsidDel="00000000" w:rsidR="00000000" w:rsidRPr="00000000">
        <w:rPr>
          <w:rFonts w:ascii="Calibri" w:cs="Calibri" w:eastAsia="Calibri" w:hAnsi="Calibri"/>
          <w:b w:val="1"/>
          <w:bCs w:val="1"/>
          <w:sz w:val="24"/>
          <w:szCs w:val="24"/>
          <w:rtl w:val="0"/>
        </w:rPr>
        <w:t xml:space="preserve">1. What specific trust problem are you addressing?</w:t>
      </w:r>
    </w:p>
    <w:p w:rsidR="00000000" w:rsidDel="00000000" w:rsidP="00000000" w:rsidRDefault="00000000" w:rsidRPr="00000000" w14:paraId="0000005B">
      <w:pPr>
        <w:pStyle w:val="Heading2"/>
        <w:spacing w:after="160" w:line="240" w:lineRule="auto"/>
        <w:jc w:val="both"/>
        <w:rPr>
          <w:b w:val="1"/>
          <w:bCs w:val="1"/>
          <w:sz w:val="24"/>
          <w:szCs w:val="24"/>
        </w:rPr>
      </w:pPr>
      <w:bookmarkStart w:colFirst="0" w:colLast="0" w:name="_xvu0cinqsc73" w:id="2"/>
      <w:bookmarkEnd w:id="2"/>
      <w:r w:rsidDel="00000000" w:rsidR="00000000" w:rsidRPr="00000000">
        <w:rPr>
          <w:b w:val="1"/>
          <w:bCs w:val="1"/>
          <w:sz w:val="24"/>
          <w:szCs w:val="24"/>
          <w:rtl w:val="0"/>
        </w:rPr>
        <w:t xml:space="preserve">Motivation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AI systems that power e-marketplaces, streaming services, and social media today, recommendation algorithms systematically favor the most popular or highest-earning items, discarding smaller providers, independent creators, and niche businesses. We call this phenomenon “provider unfairness”: an asymmetry of exposure relative to each provider's actual merit.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core of the problem lies in the integrity and traceability of information: currently, there is no verifiable, auditable, and immutable record that demonstrates how a provider's exposure was calculated, nor is there a mechanism for that provider to challenge an algorithmic decision. Centralized platforms operate with opaque internal policies, lacking public fairness metrics or cryptographic verification of compliance, which erodes the trust of providers, consumers, and regulators alike.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Without automated and tamper-resistant mechanisms to enforce fairness commitments, platforms can default with impunity, while providers bear the cost of participating without any real guarantee. This amplifies cultural homogenization, market concentration, and economic inequality in AI-driven digital economies.</w:t>
      </w:r>
    </w:p>
    <w:p w:rsidR="00000000" w:rsidDel="00000000" w:rsidP="00000000" w:rsidRDefault="00000000" w:rsidRPr="00000000" w14:paraId="0000005F">
      <w:pPr>
        <w:pStyle w:val="Heading1"/>
        <w:rPr>
          <w:rFonts w:ascii="Calibri" w:cs="Calibri" w:eastAsia="Calibri" w:hAnsi="Calibri"/>
          <w:sz w:val="24"/>
          <w:szCs w:val="24"/>
        </w:rPr>
      </w:pPr>
      <w:bookmarkStart w:colFirst="0" w:colLast="0" w:name="_8cgguy3l81wn" w:id="3"/>
      <w:bookmarkEnd w:id="3"/>
      <w:r w:rsidDel="00000000" w:rsidR="00000000" w:rsidRPr="00000000">
        <w:rPr>
          <w:rFonts w:ascii="Calibri" w:cs="Calibri" w:eastAsia="Calibri" w:hAnsi="Calibri"/>
          <w:b w:val="1"/>
          <w:bCs w:val="1"/>
          <w:sz w:val="24"/>
          <w:szCs w:val="24"/>
          <w:rtl w:val="0"/>
        </w:rPr>
        <w:t xml:space="preserve">2. What intervention are you building?</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propose RAIaaS (Responsible AI-as-a-Service), a blockchain-based technology infrastructure that guarantees, audits, and monetizes the service level of responsible AI (fairness, explainability, transparency) among the various actors in a B2B process, with “Provider-Fairness-as-a-Service” as its first concrete use case.</w:t>
      </w:r>
    </w:p>
    <w:p w:rsidR="00000000" w:rsidDel="00000000" w:rsidP="00000000" w:rsidRDefault="00000000" w:rsidRPr="00000000" w14:paraId="00000061">
      <w:pPr>
        <w:pStyle w:val="Heading2"/>
        <w:spacing w:after="160" w:line="240" w:lineRule="auto"/>
        <w:jc w:val="both"/>
        <w:rPr>
          <w:rFonts w:ascii="Calibri" w:cs="Calibri" w:eastAsia="Calibri" w:hAnsi="Calibri"/>
          <w:b w:val="1"/>
          <w:bCs w:val="1"/>
          <w:sz w:val="24"/>
          <w:szCs w:val="24"/>
        </w:rPr>
      </w:pPr>
      <w:bookmarkStart w:colFirst="0" w:colLast="0" w:name="_sc3qi4vsf9o3" w:id="4"/>
      <w:bookmarkEnd w:id="4"/>
      <w:r w:rsidDel="00000000" w:rsidR="00000000" w:rsidRPr="00000000">
        <w:rPr>
          <w:rFonts w:ascii="Calibri" w:cs="Calibri" w:eastAsia="Calibri" w:hAnsi="Calibri"/>
          <w:b w:val="1"/>
          <w:bCs w:val="1"/>
          <w:sz w:val="24"/>
          <w:szCs w:val="24"/>
          <w:rtl w:val="0"/>
        </w:rPr>
        <w:t xml:space="preserve">Core Architecture</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FairnessRegistry:</w:t>
      </w:r>
      <w:r w:rsidDel="00000000" w:rsidR="00000000" w:rsidRPr="00000000">
        <w:rPr>
          <w:rFonts w:ascii="Calibri" w:cs="Calibri" w:eastAsia="Calibri" w:hAnsi="Calibri"/>
          <w:sz w:val="24"/>
          <w:szCs w:val="24"/>
          <w:rtl w:val="0"/>
        </w:rPr>
        <w:t xml:space="preserve"> Registers AI providers and users, defining minimum ethical thresholds (e.g., contracted fairness level).</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FairnessSLAFactory:</w:t>
      </w:r>
      <w:r w:rsidDel="00000000" w:rsidR="00000000" w:rsidRPr="00000000">
        <w:rPr>
          <w:rFonts w:ascii="Calibri" w:cs="Calibri" w:eastAsia="Calibri" w:hAnsi="Calibri"/>
          <w:sz w:val="24"/>
          <w:szCs w:val="24"/>
          <w:rtl w:val="0"/>
        </w:rPr>
        <w:t xml:space="preserve"> Automatically deploys individual or group Service Level Agreements (SLAs), allowing scalability across different plans and sectors.</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FairnessSLAContract:</w:t>
      </w:r>
      <w:r w:rsidDel="00000000" w:rsidR="00000000" w:rsidRPr="00000000">
        <w:rPr>
          <w:rFonts w:ascii="Calibri" w:cs="Calibri" w:eastAsia="Calibri" w:hAnsi="Calibri"/>
          <w:sz w:val="24"/>
          <w:szCs w:val="24"/>
          <w:rtl w:val="0"/>
        </w:rPr>
        <w:t xml:space="preserve"> Defines frequency, the fuzzy linguistic compliance scale agreed upon by the parties (linguistic labels and their membership functions over the fairness metrics), and a graduated payment scheme proportional to the resulting compliance level, and manages the stakes that serve as a guarantee of compliance.</w:t>
      </w:r>
      <w:r w:rsidDel="00000000" w:rsidR="00000000" w:rsidRPr="00000000">
        <w:rPr>
          <w:rtl w:val="0"/>
        </w:rPr>
      </w:r>
    </w:p>
    <w:p w:rsidR="00000000" w:rsidDel="00000000" w:rsidP="00000000" w:rsidRDefault="00000000" w:rsidRPr="00000000" w14:paraId="00000065">
      <w:pPr>
        <w:pStyle w:val="Heading2"/>
        <w:spacing w:after="160" w:line="300" w:lineRule="auto"/>
        <w:jc w:val="both"/>
        <w:rPr>
          <w:rFonts w:ascii="Calibri" w:cs="Calibri" w:eastAsia="Calibri" w:hAnsi="Calibri"/>
          <w:sz w:val="24"/>
          <w:szCs w:val="24"/>
        </w:rPr>
      </w:pPr>
      <w:bookmarkStart w:colFirst="0" w:colLast="0" w:name="_oz16qg4j1tlf" w:id="5"/>
      <w:bookmarkEnd w:id="5"/>
      <w:r w:rsidDel="00000000" w:rsidR="00000000" w:rsidRPr="00000000">
        <w:rPr>
          <w:rFonts w:ascii="Calibri" w:cs="Calibri" w:eastAsia="Calibri" w:hAnsi="Calibri"/>
          <w:b w:val="1"/>
          <w:bCs w:val="1"/>
          <w:sz w:val="24"/>
          <w:szCs w:val="24"/>
          <w:rtl w:val="0"/>
        </w:rPr>
        <w:t xml:space="preserve">Design Principle</w:t>
      </w:r>
      <w:r w:rsidDel="00000000" w:rsidR="00000000" w:rsidRPr="00000000">
        <w:rPr>
          <w:rtl w:val="0"/>
        </w:rPr>
      </w:r>
    </w:p>
    <w:p w:rsidR="00000000" w:rsidDel="00000000" w:rsidP="00000000" w:rsidRDefault="00000000" w:rsidRPr="00000000" w14:paraId="00000066">
      <w:pP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Off-chain Computation and On-chain Verification: </w:t>
      </w:r>
      <w:r w:rsidDel="00000000" w:rsidR="00000000" w:rsidRPr="00000000">
        <w:rPr>
          <w:rFonts w:ascii="Calibri" w:cs="Calibri" w:eastAsia="Calibri" w:hAnsi="Calibri"/>
          <w:sz w:val="24"/>
          <w:szCs w:val="24"/>
          <w:rtl w:val="0"/>
        </w:rPr>
        <w:t xml:space="preserve">AI platforms calculate performance and fairness metrics (e.g., Exposure/Merit ratio) off-chain using appropriate tools and publish aggregated summaries and cryptographic proofs (hashes or zk-SNARKs) on the blockchain, demonstrating compliance without exposing sensitive data.a</w:t>
      </w:r>
    </w:p>
    <w:p w:rsidR="00000000" w:rsidDel="00000000" w:rsidP="00000000" w:rsidRDefault="00000000" w:rsidRPr="00000000" w14:paraId="00000067">
      <w:pPr>
        <w:pStyle w:val="Heading2"/>
        <w:spacing w:after="160" w:line="300" w:lineRule="auto"/>
        <w:jc w:val="both"/>
        <w:rPr>
          <w:rFonts w:ascii="Calibri" w:cs="Calibri" w:eastAsia="Calibri" w:hAnsi="Calibri"/>
          <w:b w:val="1"/>
          <w:bCs w:val="1"/>
          <w:sz w:val="24"/>
          <w:szCs w:val="24"/>
        </w:rPr>
      </w:pPr>
      <w:bookmarkStart w:colFirst="0" w:colLast="0" w:name="_f4k68fq7ghwf" w:id="6"/>
      <w:bookmarkEnd w:id="6"/>
      <w:r w:rsidDel="00000000" w:rsidR="00000000" w:rsidRPr="00000000">
        <w:rPr>
          <w:rFonts w:ascii="Calibri" w:cs="Calibri" w:eastAsia="Calibri" w:hAnsi="Calibri"/>
          <w:b w:val="1"/>
          <w:bCs w:val="1"/>
          <w:sz w:val="24"/>
          <w:szCs w:val="24"/>
          <w:rtl w:val="0"/>
        </w:rPr>
        <w:t xml:space="preserve">Threat Model and Data Veracity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primary adversary considered is the dishonest reporter: a platform that is simultaneously the regulated entity and the source of its own exposure and merit data. Cryptographic proofs (hashes, zk-SNARKs) guarantee that metrics were correctly computed over a given input, but not that the input logs themselves are truthful, a malicious platform could tamper with the logs before computation and still produce valid proofs.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close this gap, the design combines four complementary countermeasures: (i) trusted execution environments (TEEs) at the log-capture layer, so that ranking and exposure events are recorded and attested before the platform can alter them; (ii) third-party verification sampling, in which auditors periodically re-compute metrics over randomly selected raw log segments accessed through confidential channels; (iii) provider-side cross-checking, exploiting the fact that each provider directly observes its own exposure and can submit counter-evidence during dispute windows; and (iv) oracle-level aggregation of independent data sources. Discrepancies beyond a tolerance margin between reported and cross-checked data automatically trigger the dispute mechanism and slash the platform's bond.</w:t>
      </w:r>
    </w:p>
    <w:p w:rsidR="00000000" w:rsidDel="00000000" w:rsidP="00000000" w:rsidRDefault="00000000" w:rsidRPr="00000000" w14:paraId="0000006A">
      <w:pPr>
        <w:pStyle w:val="Heading2"/>
        <w:spacing w:after="160" w:line="240" w:lineRule="auto"/>
        <w:jc w:val="both"/>
        <w:rPr>
          <w:rFonts w:ascii="Calibri" w:cs="Calibri" w:eastAsia="Calibri" w:hAnsi="Calibri"/>
          <w:b w:val="1"/>
          <w:bCs w:val="1"/>
          <w:sz w:val="24"/>
          <w:szCs w:val="24"/>
        </w:rPr>
      </w:pPr>
      <w:bookmarkStart w:colFirst="0" w:colLast="0" w:name="_jsfb5lfcba9i" w:id="7"/>
      <w:bookmarkEnd w:id="7"/>
      <w:r w:rsidDel="00000000" w:rsidR="00000000" w:rsidRPr="00000000">
        <w:rPr>
          <w:rFonts w:ascii="Calibri" w:cs="Calibri" w:eastAsia="Calibri" w:hAnsi="Calibri"/>
          <w:b w:val="1"/>
          <w:bCs w:val="1"/>
          <w:sz w:val="24"/>
          <w:szCs w:val="24"/>
          <w:rtl w:val="0"/>
        </w:rPr>
        <w:t xml:space="preserve">Workflow</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Registration:</w:t>
      </w:r>
      <w:r w:rsidDel="00000000" w:rsidR="00000000" w:rsidRPr="00000000">
        <w:rPr>
          <w:rFonts w:ascii="Calibri" w:cs="Calibri" w:eastAsia="Calibri" w:hAnsi="Calibri"/>
          <w:sz w:val="24"/>
          <w:szCs w:val="24"/>
          <w:rtl w:val="0"/>
        </w:rPr>
        <w:t xml:space="preserve"> Providers deposit a stake as an anti-Sybil mechanism; the platform deposits a bond as a guarantee against default.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Off-chain Execution:</w:t>
      </w:r>
      <w:r w:rsidDel="00000000" w:rsidR="00000000" w:rsidRPr="00000000">
        <w:rPr>
          <w:rFonts w:ascii="Calibri" w:cs="Calibri" w:eastAsia="Calibri" w:hAnsi="Calibri"/>
          <w:sz w:val="24"/>
          <w:szCs w:val="24"/>
          <w:rtl w:val="0"/>
        </w:rPr>
        <w:t xml:space="preserve"> The AI system operates under real-world conditions, recording rankings, exposure, and merit in an auditable manner.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On-chain Reporting:</w:t>
      </w:r>
      <w:r w:rsidDel="00000000" w:rsidR="00000000" w:rsidRPr="00000000">
        <w:rPr>
          <w:rFonts w:ascii="Calibri" w:cs="Calibri" w:eastAsia="Calibri" w:hAnsi="Calibri"/>
          <w:sz w:val="24"/>
          <w:szCs w:val="24"/>
          <w:rtl w:val="0"/>
        </w:rPr>
        <w:t xml:space="preserve"> Verified metrics are published on the blockchain along with their proofs, enabling independent verification.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Verification:</w:t>
      </w:r>
      <w:r w:rsidDel="00000000" w:rsidR="00000000" w:rsidRPr="00000000">
        <w:rPr>
          <w:rFonts w:ascii="Calibri" w:cs="Calibri" w:eastAsia="Calibri" w:hAnsi="Calibri"/>
          <w:sz w:val="24"/>
          <w:szCs w:val="24"/>
          <w:rtl w:val="0"/>
        </w:rPr>
        <w:t xml:space="preserve"> Oracles or auditors (integrable with tools like The Graph) validate the metrics and resolve disputes within a defined timeframe.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Settlement:</w:t>
      </w:r>
      <w:r w:rsidDel="00000000" w:rsidR="00000000" w:rsidRPr="00000000">
        <w:rPr>
          <w:rFonts w:ascii="Calibri" w:cs="Calibri" w:eastAsia="Calibri" w:hAnsi="Calibri"/>
          <w:sz w:val="24"/>
          <w:szCs w:val="24"/>
          <w:rtl w:val="0"/>
        </w:rPr>
        <w:t xml:space="preserve"> Compliance is assessed through a graduated scheme based on fuzzy linguistic evaluation rather than a crisp threshold. The measured fairness metrics (e.g., the Exposure/Merit ratio) are mapped onto the linguistic compliance scale defined in the SLA (e.g., Poor, Acceptable, Good, Excellent), and settlement is proportional to the resulting degree of compliance: full fees and bonuses are released for high compliance levels, partial payments for intermediate levels, and automatic penalties from the deposited stake for low levels. This graduated mechanism, grounded in the fuzzy linguistic modelling expertise of the Sinbad² group, avoids the boundary effects and dispute-proneness of binary thresholds and accommodates the inherent vagueness of real-world fairness assessment. For group SLAs, linguistic aggregation operators combine the assessments of multiple providers into a collective compliance level.</w:t>
      </w:r>
    </w:p>
    <w:p w:rsidR="00000000" w:rsidDel="00000000" w:rsidP="00000000" w:rsidRDefault="00000000" w:rsidRPr="00000000" w14:paraId="00000070">
      <w:pPr>
        <w:spacing w:after="16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uses a permissioned blockchain network (e.g., Hyperledger Fabric or Ethereum with privacy layers) to support secure identity management (MSPs) and confidential data exchange channels between authorized entities. Governance is extended through Decentralized Autonomous Organizations (DAOs), which allow the community, including policymakers and consumer associations, to vote on and update ethical thresholds, adapting them to regional regulations (e.g., the EU AI Act and the GDPR) and evolving industry standards.</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pStyle w:val="Heading2"/>
        <w:spacing w:after="160" w:line="240" w:lineRule="auto"/>
        <w:jc w:val="both"/>
        <w:rPr>
          <w:rFonts w:ascii="Calibri" w:cs="Calibri" w:eastAsia="Calibri" w:hAnsi="Calibri"/>
          <w:b w:val="1"/>
          <w:bCs w:val="1"/>
          <w:sz w:val="24"/>
          <w:szCs w:val="24"/>
        </w:rPr>
      </w:pPr>
      <w:bookmarkStart w:colFirst="0" w:colLast="0" w:name="_keej0tz2oak0" w:id="8"/>
      <w:bookmarkEnd w:id="8"/>
      <w:r w:rsidDel="00000000" w:rsidR="00000000" w:rsidRPr="00000000">
        <w:rPr>
          <w:rFonts w:ascii="Calibri" w:cs="Calibri" w:eastAsia="Calibri" w:hAnsi="Calibri"/>
          <w:b w:val="1"/>
          <w:bCs w:val="1"/>
          <w:sz w:val="24"/>
          <w:szCs w:val="24"/>
          <w:rtl w:val="0"/>
        </w:rPr>
        <w:t xml:space="preserve">Regulatory Alignment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infrastructure is explicitly aligned with the European regulatory framework for trustworthy AI. The transparency, traceability, record-keeping and risk-management obligations introduced by the EU AI Act (Regulation (EU) 2024/1689) are precisely the kind of commitments that automated ethical SLAs can operationalise: immutable on-chain records of fairness metrics, disputes and settlements constitute audit-ready evidence of compliance-by-design that platforms can present to market surveillance authorities. Regarding data protection, personal data appearing in off-chain exposure logs (user identifiers, timestamps) is pseudonymised at capture and minimised in all flows towards auditors and oracles, in accordance with the GDPR, leveraging the confidential data channels of the permissioned network (e.g., Hyperledger Fabric private data collections).</w:t>
      </w:r>
    </w:p>
    <w:p w:rsidR="00000000" w:rsidDel="00000000" w:rsidP="00000000" w:rsidRDefault="00000000" w:rsidRPr="00000000" w14:paraId="00000074">
      <w:pPr>
        <w:pStyle w:val="Heading2"/>
        <w:spacing w:after="160" w:line="240" w:lineRule="auto"/>
        <w:jc w:val="both"/>
        <w:rPr>
          <w:rFonts w:ascii="Calibri" w:cs="Calibri" w:eastAsia="Calibri" w:hAnsi="Calibri"/>
          <w:b w:val="1"/>
          <w:bCs w:val="1"/>
          <w:sz w:val="24"/>
          <w:szCs w:val="24"/>
        </w:rPr>
      </w:pPr>
      <w:bookmarkStart w:colFirst="0" w:colLast="0" w:name="_ti4qahc3ctm6" w:id="9"/>
      <w:bookmarkEnd w:id="9"/>
      <w:r w:rsidDel="00000000" w:rsidR="00000000" w:rsidRPr="00000000">
        <w:rPr>
          <w:rFonts w:ascii="Calibri" w:cs="Calibri" w:eastAsia="Calibri" w:hAnsi="Calibri"/>
          <w:b w:val="1"/>
          <w:bCs w:val="1"/>
          <w:sz w:val="24"/>
          <w:szCs w:val="24"/>
          <w:rtl w:val="0"/>
        </w:rPr>
        <w:t xml:space="preserve">Platform Adoption Incentives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Platform participation is voluntary, yet economically and strategically rational for four reasons. First, regulatory pressure: under the EU AI Act's transparency and risk-management obligations, verifiable fairness accreditation becomes an asset that reduces compliance costs and sanction exposure rather than a burden. Second, reputational differentiation: a platform able to certify provider fairness through independently verifiable cryptographic evidence obtains a trust signal towards providers, consumers and regulators that opaque competitors cannot replicate. Third, market access: fairness certification can become an eligibility condition in B2A processes and in public procurement of AI-driven services. Fourth, competitive positioning: for small or consortium-based marketplaces, the deliberate target of the initial pilot, certified fairness is a differentiation lever against dominant incumbents. This is why the pilot targets this segment first, instead of assuming spontaneous adoption by large platforms.</w:t>
      </w:r>
      <w:r w:rsidDel="00000000" w:rsidR="00000000" w:rsidRPr="00000000">
        <w:rPr>
          <w:rtl w:val="0"/>
        </w:rPr>
      </w:r>
    </w:p>
    <w:p w:rsidR="00000000" w:rsidDel="00000000" w:rsidP="00000000" w:rsidRDefault="00000000" w:rsidRPr="00000000" w14:paraId="00000076">
      <w:pPr>
        <w:pStyle w:val="Heading1"/>
        <w:rPr>
          <w:b w:val="1"/>
          <w:bCs w:val="1"/>
          <w:sz w:val="24"/>
          <w:szCs w:val="24"/>
        </w:rPr>
      </w:pPr>
      <w:bookmarkStart w:colFirst="0" w:colLast="0" w:name="_17hs5453uhcn" w:id="10"/>
      <w:bookmarkEnd w:id="10"/>
      <w:r w:rsidDel="00000000" w:rsidR="00000000" w:rsidRPr="00000000">
        <w:rPr>
          <w:b w:val="1"/>
          <w:bCs w:val="1"/>
          <w:sz w:val="24"/>
          <w:szCs w:val="24"/>
          <w:rtl w:val="0"/>
        </w:rPr>
        <w:t xml:space="preserve">3. How will you prove it works?</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Validation is planned at five progressive levels, consistent with the project's current maturity (MVP/prototype under development):</w:t>
      </w:r>
    </w:p>
    <w:p w:rsidR="00000000" w:rsidDel="00000000" w:rsidP="00000000" w:rsidRDefault="00000000" w:rsidRPr="00000000" w14:paraId="00000079">
      <w:pPr>
        <w:numPr>
          <w:ilvl w:val="0"/>
          <w:numId w:val="6"/>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Technical proof of concept: </w:t>
      </w:r>
      <w:r w:rsidDel="00000000" w:rsidR="00000000" w:rsidRPr="00000000">
        <w:rPr>
          <w:rFonts w:ascii="Calibri" w:cs="Calibri" w:eastAsia="Calibri" w:hAnsi="Calibri"/>
          <w:sz w:val="24"/>
          <w:szCs w:val="24"/>
          <w:rtl w:val="0"/>
        </w:rPr>
        <w:t xml:space="preserve">Deploy the three smart contracts (FairnessRegistry, FairnessSLAFactory, FairnessSLAContract) on a permissioned test network, with a small set of providers and a simulated recommendation platform, to demonstrate the complete cycle: registration → staking → off-chain execution → metrics publication → verification → settlement.</w:t>
      </w:r>
    </w:p>
    <w:p w:rsidR="00000000" w:rsidDel="00000000" w:rsidP="00000000" w:rsidRDefault="00000000" w:rsidRPr="00000000" w14:paraId="0000007A">
      <w:pPr>
        <w:numPr>
          <w:ilvl w:val="0"/>
          <w:numId w:val="6"/>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Functional validation of the fairness mechanism: </w:t>
      </w:r>
      <w:r w:rsidDel="00000000" w:rsidR="00000000" w:rsidRPr="00000000">
        <w:rPr>
          <w:rFonts w:ascii="Calibri" w:cs="Calibri" w:eastAsia="Calibri" w:hAnsi="Calibri"/>
          <w:sz w:val="24"/>
          <w:szCs w:val="24"/>
          <w:rtl w:val="0"/>
        </w:rPr>
        <w:t xml:space="preserve">Compare the distribution of exposure versus the accumulated merit of the providers before and after applying the fairness SLA, using the Exposure/Merit ratio as a quantifiable indicator of algorithmic fairness. In addition, the graduated fuzzy settlement will be validated against a crisp-threshold baseline, measuring the reduction in boundary disputes and the correlation between assigned compliance levels and independently computed fairness scores.</w:t>
      </w:r>
    </w:p>
    <w:p w:rsidR="00000000" w:rsidDel="00000000" w:rsidP="00000000" w:rsidRDefault="00000000" w:rsidRPr="00000000" w14:paraId="0000007B">
      <w:pPr>
        <w:numPr>
          <w:ilvl w:val="0"/>
          <w:numId w:val="6"/>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Cryptographic verification: </w:t>
      </w:r>
      <w:r w:rsidDel="00000000" w:rsidR="00000000" w:rsidRPr="00000000">
        <w:rPr>
          <w:rFonts w:ascii="Calibri" w:cs="Calibri" w:eastAsia="Calibri" w:hAnsi="Calibri"/>
          <w:sz w:val="24"/>
          <w:szCs w:val="24"/>
          <w:rtl w:val="0"/>
        </w:rPr>
        <w:t xml:space="preserve">Implement the publication of cryptographic proofs (hashes/zk-SNARKs) and independently verify that the aggregated metrics are correct without needing access to the raw ranking data, thus verifying the privacy-preservation property.</w:t>
      </w:r>
    </w:p>
    <w:p w:rsidR="00000000" w:rsidDel="00000000" w:rsidP="00000000" w:rsidRDefault="00000000" w:rsidRPr="00000000" w14:paraId="0000007C">
      <w:pPr>
        <w:numPr>
          <w:ilvl w:val="0"/>
          <w:numId w:val="6"/>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Adversarial audit: </w:t>
      </w:r>
      <w:r w:rsidDel="00000000" w:rsidR="00000000" w:rsidRPr="00000000">
        <w:rPr>
          <w:rFonts w:ascii="Calibri" w:cs="Calibri" w:eastAsia="Calibri" w:hAnsi="Calibri"/>
          <w:sz w:val="24"/>
          <w:szCs w:val="24"/>
          <w:rtl w:val="0"/>
        </w:rPr>
        <w:t xml:space="preserve">Simulate controlled violation scenarios covering both ranking manipulation (a platform that deliberately biases the ranking) and log falsification at the source (a platform reporting tampered exposure records with valid cryptographic proofs), in order to verify that provider-side counter-evidence and verification sampling detect the fraud, and that the dispute, penalty, and automatic compensation mechanism responds correctly within the defined timeframe.</w:t>
      </w:r>
    </w:p>
    <w:p w:rsidR="00000000" w:rsidDel="00000000" w:rsidP="00000000" w:rsidRDefault="00000000" w:rsidRPr="00000000" w14:paraId="0000007D">
      <w:pPr>
        <w:numPr>
          <w:ilvl w:val="0"/>
          <w:numId w:val="6"/>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Controlled environment pilot: </w:t>
      </w:r>
      <w:r w:rsidDel="00000000" w:rsidR="00000000" w:rsidRPr="00000000">
        <w:rPr>
          <w:rFonts w:ascii="Calibri" w:cs="Calibri" w:eastAsia="Calibri" w:hAnsi="Calibri"/>
          <w:sz w:val="24"/>
          <w:szCs w:val="24"/>
          <w:rtl w:val="0"/>
        </w:rPr>
        <w:t xml:space="preserve">Pilot the system with real providers (independent artists, small businesses) within a partner e-marketplace, measuring the voluntary adoption of the fairness plans (standard/premium) and the satisfaction of participating providers.</w:t>
      </w:r>
    </w:p>
    <w:p w:rsidR="00000000" w:rsidDel="00000000" w:rsidP="00000000" w:rsidRDefault="00000000" w:rsidRPr="00000000" w14:paraId="0000007E">
      <w:pPr>
        <w:pStyle w:val="Heading1"/>
        <w:rPr>
          <w:rFonts w:ascii="Calibri" w:cs="Calibri" w:eastAsia="Calibri" w:hAnsi="Calibri"/>
          <w:sz w:val="24"/>
          <w:szCs w:val="24"/>
        </w:rPr>
      </w:pPr>
      <w:bookmarkStart w:colFirst="0" w:colLast="0" w:name="_bsdq0qbpaju6" w:id="11"/>
      <w:bookmarkEnd w:id="11"/>
      <w:r w:rsidDel="00000000" w:rsidR="00000000" w:rsidRPr="00000000">
        <w:rPr>
          <w:b w:val="1"/>
          <w:bCs w:val="1"/>
          <w:sz w:val="24"/>
          <w:szCs w:val="24"/>
          <w:rtl w:val="0"/>
        </w:rPr>
        <w:t xml:space="preserve">4. What evidence will demonstrate value and potential impact?</w:t>
      </w:r>
      <w:r w:rsidDel="00000000" w:rsidR="00000000" w:rsidRPr="00000000">
        <w:rPr>
          <w:rtl w:val="0"/>
        </w:rPr>
      </w:r>
    </w:p>
    <w:p w:rsidR="00000000" w:rsidDel="00000000" w:rsidP="00000000" w:rsidRDefault="00000000" w:rsidRPr="00000000" w14:paraId="0000007F">
      <w:pPr>
        <w:pStyle w:val="Heading2"/>
        <w:spacing w:after="80" w:line="280" w:lineRule="auto"/>
        <w:jc w:val="both"/>
        <w:rPr>
          <w:rFonts w:ascii="Calibri" w:cs="Calibri" w:eastAsia="Calibri" w:hAnsi="Calibri"/>
          <w:b w:val="1"/>
          <w:bCs w:val="1"/>
          <w:sz w:val="24"/>
          <w:szCs w:val="24"/>
        </w:rPr>
      </w:pPr>
      <w:bookmarkStart w:colFirst="0" w:colLast="0" w:name="_mk985rv2nxq4" w:id="12"/>
      <w:bookmarkEnd w:id="12"/>
      <w:r w:rsidDel="00000000" w:rsidR="00000000" w:rsidRPr="00000000">
        <w:rPr>
          <w:rFonts w:ascii="Calibri" w:cs="Calibri" w:eastAsia="Calibri" w:hAnsi="Calibri"/>
          <w:b w:val="1"/>
          <w:bCs w:val="1"/>
          <w:sz w:val="24"/>
          <w:szCs w:val="24"/>
          <w:rtl w:val="0"/>
        </w:rPr>
        <w:t xml:space="preserve">Technical and Trust Indicators</w:t>
      </w:r>
    </w:p>
    <w:p w:rsidR="00000000" w:rsidDel="00000000" w:rsidP="00000000" w:rsidRDefault="00000000" w:rsidRPr="00000000" w14:paraId="00000080">
      <w:pPr>
        <w:numPr>
          <w:ilvl w:val="0"/>
          <w:numId w:val="5"/>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Exposure-to-Merit Ratio: </w:t>
      </w:r>
      <w:r w:rsidDel="00000000" w:rsidR="00000000" w:rsidRPr="00000000">
        <w:rPr>
          <w:rFonts w:ascii="Calibri" w:cs="Calibri" w:eastAsia="Calibri" w:hAnsi="Calibri"/>
          <w:sz w:val="24"/>
          <w:szCs w:val="24"/>
          <w:rtl w:val="0"/>
        </w:rPr>
        <w:t xml:space="preserve">Reduction of the gap between exposure and accumulated merit after the implementation of the fairness SLA.</w:t>
      </w:r>
    </w:p>
    <w:p w:rsidR="00000000" w:rsidDel="00000000" w:rsidP="00000000" w:rsidRDefault="00000000" w:rsidRPr="00000000" w14:paraId="00000081">
      <w:pPr>
        <w:numPr>
          <w:ilvl w:val="0"/>
          <w:numId w:val="5"/>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Dispute Rate and Resolution Time: </w:t>
      </w:r>
      <w:r w:rsidDel="00000000" w:rsidR="00000000" w:rsidRPr="00000000">
        <w:rPr>
          <w:rFonts w:ascii="Calibri" w:cs="Calibri" w:eastAsia="Calibri" w:hAnsi="Calibri"/>
          <w:sz w:val="24"/>
          <w:szCs w:val="24"/>
          <w:rtl w:val="0"/>
        </w:rPr>
        <w:t xml:space="preserve">Average dispute resolution time and percentage of disputes resolved within the established timeframe.</w:t>
      </w:r>
    </w:p>
    <w:p w:rsidR="00000000" w:rsidDel="00000000" w:rsidP="00000000" w:rsidRDefault="00000000" w:rsidRPr="00000000" w14:paraId="00000082">
      <w:pPr>
        <w:numPr>
          <w:ilvl w:val="0"/>
          <w:numId w:val="5"/>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Cryptographic Evidence Integrity: </w:t>
      </w:r>
      <w:r w:rsidDel="00000000" w:rsidR="00000000" w:rsidRPr="00000000">
        <w:rPr>
          <w:rFonts w:ascii="Calibri" w:cs="Calibri" w:eastAsia="Calibri" w:hAnsi="Calibri"/>
          <w:sz w:val="24"/>
          <w:szCs w:val="24"/>
          <w:rtl w:val="0"/>
        </w:rPr>
        <w:t xml:space="preserve">Percentage of audits successfully verified using zero-knowledge proofs, without exposure of sensitive data.</w:t>
      </w:r>
      <w:r w:rsidDel="00000000" w:rsidR="00000000" w:rsidRPr="00000000">
        <w:rPr>
          <w:rtl w:val="0"/>
        </w:rPr>
      </w:r>
    </w:p>
    <w:p w:rsidR="00000000" w:rsidDel="00000000" w:rsidP="00000000" w:rsidRDefault="00000000" w:rsidRPr="00000000" w14:paraId="00000083">
      <w:pPr>
        <w:pStyle w:val="Heading2"/>
        <w:spacing w:after="80" w:line="280" w:lineRule="auto"/>
        <w:jc w:val="both"/>
        <w:rPr>
          <w:rFonts w:ascii="Calibri" w:cs="Calibri" w:eastAsia="Calibri" w:hAnsi="Calibri"/>
          <w:b w:val="1"/>
          <w:bCs w:val="1"/>
          <w:sz w:val="24"/>
          <w:szCs w:val="24"/>
        </w:rPr>
      </w:pPr>
      <w:bookmarkStart w:colFirst="0" w:colLast="0" w:name="_bkxej6wyu8uk" w:id="13"/>
      <w:bookmarkEnd w:id="13"/>
      <w:r w:rsidDel="00000000" w:rsidR="00000000" w:rsidRPr="00000000">
        <w:rPr>
          <w:rFonts w:ascii="Calibri" w:cs="Calibri" w:eastAsia="Calibri" w:hAnsi="Calibri"/>
          <w:b w:val="1"/>
          <w:bCs w:val="1"/>
          <w:sz w:val="24"/>
          <w:szCs w:val="24"/>
          <w:rtl w:val="0"/>
        </w:rPr>
        <w:t xml:space="preserve">Economic and Adoption Indicators</w:t>
      </w:r>
    </w:p>
    <w:p w:rsidR="00000000" w:rsidDel="00000000" w:rsidP="00000000" w:rsidRDefault="00000000" w:rsidRPr="00000000" w14:paraId="00000084">
      <w:pPr>
        <w:numPr>
          <w:ilvl w:val="0"/>
          <w:numId w:val="2"/>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Provider Adoption: </w:t>
      </w:r>
      <w:r w:rsidDel="00000000" w:rsidR="00000000" w:rsidRPr="00000000">
        <w:rPr>
          <w:rFonts w:ascii="Calibri" w:cs="Calibri" w:eastAsia="Calibri" w:hAnsi="Calibri"/>
          <w:sz w:val="24"/>
          <w:szCs w:val="24"/>
          <w:rtl w:val="0"/>
        </w:rPr>
        <w:t xml:space="preserve">Number of providers voluntarily subscribing to a fairness plan (standard/premium) and renewal rate.</w:t>
      </w:r>
    </w:p>
    <w:p w:rsidR="00000000" w:rsidDel="00000000" w:rsidP="00000000" w:rsidRDefault="00000000" w:rsidRPr="00000000" w14:paraId="00000085">
      <w:pPr>
        <w:numPr>
          <w:ilvl w:val="0"/>
          <w:numId w:val="2"/>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Platform Compliance: </w:t>
      </w:r>
      <w:r w:rsidDel="00000000" w:rsidR="00000000" w:rsidRPr="00000000">
        <w:rPr>
          <w:rFonts w:ascii="Calibri" w:cs="Calibri" w:eastAsia="Calibri" w:hAnsi="Calibri"/>
          <w:sz w:val="24"/>
          <w:szCs w:val="24"/>
          <w:rtl w:val="0"/>
        </w:rPr>
        <w:t xml:space="preserve">Rewards released versus penalties applied, reflecting effective platform compliance.</w:t>
      </w:r>
    </w:p>
    <w:p w:rsidR="00000000" w:rsidDel="00000000" w:rsidP="00000000" w:rsidRDefault="00000000" w:rsidRPr="00000000" w14:paraId="00000086">
      <w:pPr>
        <w:numPr>
          <w:ilvl w:val="0"/>
          <w:numId w:val="2"/>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Impact on Market Diversity: </w:t>
      </w:r>
      <w:r w:rsidDel="00000000" w:rsidR="00000000" w:rsidRPr="00000000">
        <w:rPr>
          <w:rFonts w:ascii="Calibri" w:cs="Calibri" w:eastAsia="Calibri" w:hAnsi="Calibri"/>
          <w:sz w:val="24"/>
          <w:szCs w:val="24"/>
          <w:rtl w:val="0"/>
        </w:rPr>
        <w:t xml:space="preserve">Measurable change in the visibility and economic opportunities of small or niche providers after the pilot program.</w:t>
      </w:r>
    </w:p>
    <w:p w:rsidR="00000000" w:rsidDel="00000000" w:rsidP="00000000" w:rsidRDefault="00000000" w:rsidRPr="00000000" w14:paraId="00000087">
      <w:pPr>
        <w:pStyle w:val="Heading2"/>
        <w:spacing w:after="80" w:line="280" w:lineRule="auto"/>
        <w:jc w:val="both"/>
        <w:rPr>
          <w:rFonts w:ascii="Calibri" w:cs="Calibri" w:eastAsia="Calibri" w:hAnsi="Calibri"/>
          <w:b w:val="1"/>
          <w:bCs w:val="1"/>
          <w:sz w:val="24"/>
          <w:szCs w:val="24"/>
        </w:rPr>
      </w:pPr>
      <w:bookmarkStart w:colFirst="0" w:colLast="0" w:name="_64nhdooktxf4" w:id="14"/>
      <w:bookmarkEnd w:id="14"/>
      <w:r w:rsidDel="00000000" w:rsidR="00000000" w:rsidRPr="00000000">
        <w:rPr>
          <w:rFonts w:ascii="Calibri" w:cs="Calibri" w:eastAsia="Calibri" w:hAnsi="Calibri"/>
          <w:b w:val="1"/>
          <w:bCs w:val="1"/>
          <w:sz w:val="24"/>
          <w:szCs w:val="24"/>
          <w:rtl w:val="0"/>
        </w:rPr>
        <w:t xml:space="preserve">Governance and Social Trust Indicators</w:t>
      </w:r>
    </w:p>
    <w:p w:rsidR="00000000" w:rsidDel="00000000" w:rsidP="00000000" w:rsidRDefault="00000000" w:rsidRPr="00000000" w14:paraId="00000088">
      <w:pPr>
        <w:numPr>
          <w:ilvl w:val="0"/>
          <w:numId w:val="4"/>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DAO Governance Participation: </w:t>
      </w:r>
      <w:r w:rsidDel="00000000" w:rsidR="00000000" w:rsidRPr="00000000">
        <w:rPr>
          <w:rFonts w:ascii="Calibri" w:cs="Calibri" w:eastAsia="Calibri" w:hAnsi="Calibri"/>
          <w:sz w:val="24"/>
          <w:szCs w:val="24"/>
          <w:rtl w:val="0"/>
        </w:rPr>
        <w:t xml:space="preserve">Number of ethical threshold proposals submitted to and approved by the DAO, and level of token holder participation.</w:t>
      </w:r>
    </w:p>
    <w:p w:rsidR="00000000" w:rsidDel="00000000" w:rsidP="00000000" w:rsidRDefault="00000000" w:rsidRPr="00000000" w14:paraId="00000089">
      <w:pPr>
        <w:numPr>
          <w:ilvl w:val="0"/>
          <w:numId w:val="4"/>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Trust Perception: </w:t>
      </w:r>
      <w:r w:rsidDel="00000000" w:rsidR="00000000" w:rsidRPr="00000000">
        <w:rPr>
          <w:rFonts w:ascii="Calibri" w:cs="Calibri" w:eastAsia="Calibri" w:hAnsi="Calibri"/>
          <w:sz w:val="24"/>
          <w:szCs w:val="24"/>
          <w:rtl w:val="0"/>
        </w:rPr>
        <w:t xml:space="preserve">Qualitative surveys of providers, consumers, and policymakers regarding their perception of transparency and fairness before and after the pilot.</w:t>
      </w:r>
    </w:p>
    <w:p w:rsidR="00000000" w:rsidDel="00000000" w:rsidP="00000000" w:rsidRDefault="00000000" w:rsidRPr="00000000" w14:paraId="0000008A">
      <w:pPr>
        <w:numPr>
          <w:ilvl w:val="0"/>
          <w:numId w:val="4"/>
        </w:numPr>
        <w:spacing w:after="100" w:line="240"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4"/>
          <w:szCs w:val="24"/>
          <w:rtl w:val="0"/>
        </w:rPr>
        <w:t xml:space="preserve">Regulatory Scalability: </w:t>
      </w:r>
      <w:r w:rsidDel="00000000" w:rsidR="00000000" w:rsidRPr="00000000">
        <w:rPr>
          <w:rFonts w:ascii="Calibri" w:cs="Calibri" w:eastAsia="Calibri" w:hAnsi="Calibri"/>
          <w:sz w:val="24"/>
          <w:szCs w:val="24"/>
          <w:rtl w:val="0"/>
        </w:rPr>
        <w:t xml:space="preserve">Ease of adapting SLAs to different regulatory frameworks (e.g., the EU AI Act and the GDPR) and sectors (healthcare, finance, education) beyond the initial e-marketplace pilot.</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2"/>
        <w:spacing w:after="80" w:line="280" w:lineRule="auto"/>
        <w:jc w:val="both"/>
        <w:rPr>
          <w:rFonts w:ascii="Calibri" w:cs="Calibri" w:eastAsia="Calibri" w:hAnsi="Calibri"/>
        </w:rPr>
      </w:pPr>
      <w:bookmarkStart w:colFirst="0" w:colLast="0" w:name="_17pnlxmyw5x1" w:id="15"/>
      <w:bookmarkEnd w:id="15"/>
      <w:r w:rsidDel="00000000" w:rsidR="00000000" w:rsidRPr="00000000">
        <w:rPr>
          <w:rFonts w:ascii="Calibri" w:cs="Calibri" w:eastAsia="Calibri" w:hAnsi="Calibri"/>
          <w:b w:val="1"/>
          <w:bCs w:val="1"/>
          <w:sz w:val="24"/>
          <w:szCs w:val="24"/>
          <w:rtl w:val="0"/>
        </w:rPr>
        <w:t xml:space="preserve">Governance and Social Trust Indicators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proposed solution is intended to be piloted in a real-world environment because its value depends on interactions that cannot be fully reproduced through simulations alone. The infrastructure combines technical, economic, and governance mechanisms, including blockchain-based SLAs, cryptographic verification, dispute resolution, and incentive structures, that require participation from actual AI platforms and providers to assess their effectiveness.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initial pilot will focus on a partner e-commerce with independent artists and small businesses, where provider fairness is particularly relevant and where certified fairness can become a competitive advantage. This controlled real-life deployment will enable the evaluation of provider adoption, platform compliance, dispute resolution, trust perception, and the impact on the visibility of smaller providers under operational conditions. The knowledge gained from this pilot will provide the evidence required to support subsequent scaling to additional sectors and larger platforms.</w:t>
      </w:r>
    </w:p>
    <w:p w:rsidR="00000000" w:rsidDel="00000000" w:rsidP="00000000" w:rsidRDefault="00000000" w:rsidRPr="00000000" w14:paraId="0000008F">
      <w:pPr>
        <w:rPr>
          <w:rFonts w:ascii="Calibri" w:cs="Calibri" w:eastAsia="Calibri" w:hAnsi="Calibri"/>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2667000</wp:posOffset>
          </wp:positionH>
          <wp:positionV relativeFrom="paragraph">
            <wp:posOffset>-28574</wp:posOffset>
          </wp:positionV>
          <wp:extent cx="785813" cy="233499"/>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5813" cy="233499"/>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2551275</wp:posOffset>
          </wp:positionH>
          <wp:positionV relativeFrom="paragraph">
            <wp:posOffset>66676</wp:posOffset>
          </wp:positionV>
          <wp:extent cx="632114" cy="1905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32114"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-333374</wp:posOffset>
          </wp:positionV>
          <wp:extent cx="2519363" cy="842568"/>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519363" cy="84256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