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C687" w14:textId="44226CA1" w:rsidR="00B33B71" w:rsidRPr="00B33B71" w:rsidRDefault="00B33B71">
      <w:pPr>
        <w:rPr>
          <w:b/>
          <w:bCs/>
        </w:rPr>
      </w:pPr>
      <w:r w:rsidRPr="00B33B71">
        <w:rPr>
          <w:b/>
          <w:bCs/>
        </w:rPr>
        <w:t>Facilities Managed by Research Cyberinfrastructure Center (RCIC) at UC Irvine</w:t>
      </w:r>
    </w:p>
    <w:p w14:paraId="77AE314E" w14:textId="01478A16" w:rsidR="00B33B71" w:rsidRPr="001A7985" w:rsidRDefault="001A7985" w:rsidP="001A7985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1A7985">
        <w:rPr>
          <w:rFonts w:asciiTheme="minorHAnsi" w:hAnsiTheme="minorHAnsi" w:cstheme="minorHAnsi"/>
          <w:sz w:val="22"/>
          <w:szCs w:val="22"/>
        </w:rPr>
        <w:t xml:space="preserve">Last Updated: </w:t>
      </w:r>
      <w:r w:rsidR="003C77FF">
        <w:rPr>
          <w:rFonts w:asciiTheme="minorHAnsi" w:hAnsiTheme="minorHAnsi" w:cstheme="minorHAnsi"/>
          <w:sz w:val="22"/>
          <w:szCs w:val="22"/>
        </w:rPr>
        <w:t>October</w:t>
      </w:r>
      <w:r w:rsidRPr="001A7985">
        <w:rPr>
          <w:rFonts w:asciiTheme="minorHAnsi" w:hAnsiTheme="minorHAnsi" w:cstheme="minorHAnsi"/>
          <w:sz w:val="22"/>
          <w:szCs w:val="22"/>
        </w:rPr>
        <w:t xml:space="preserve"> </w:t>
      </w:r>
      <w:r w:rsidR="00DF0FBD">
        <w:rPr>
          <w:rFonts w:asciiTheme="minorHAnsi" w:hAnsiTheme="minorHAnsi" w:cstheme="minorHAnsi"/>
          <w:sz w:val="22"/>
          <w:szCs w:val="22"/>
        </w:rPr>
        <w:t>202</w:t>
      </w:r>
      <w:r w:rsidR="003C77FF">
        <w:rPr>
          <w:rFonts w:asciiTheme="minorHAnsi" w:hAnsiTheme="minorHAnsi" w:cstheme="minorHAnsi"/>
          <w:sz w:val="22"/>
          <w:szCs w:val="22"/>
        </w:rPr>
        <w:t>4</w:t>
      </w:r>
      <w:r w:rsidRPr="001A798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AD893D" w14:textId="06FEFBB1" w:rsidR="00B33B71" w:rsidRPr="00534AB2" w:rsidRDefault="00B33B71" w:rsidP="002710B2">
      <w:pPr>
        <w:jc w:val="both"/>
        <w:rPr>
          <w:color w:val="000000" w:themeColor="text1"/>
        </w:rPr>
      </w:pPr>
      <w:r>
        <w:t xml:space="preserve">The Research Cyberinfrastructure Center (RCIC) at UC Irvine </w:t>
      </w:r>
      <w:r w:rsidRPr="00534AB2">
        <w:rPr>
          <w:color w:val="000000" w:themeColor="text1"/>
        </w:rPr>
        <w:t xml:space="preserve">has </w:t>
      </w:r>
      <w:r w:rsidR="00EC146E" w:rsidRPr="00534AB2">
        <w:rPr>
          <w:color w:val="000000" w:themeColor="text1"/>
        </w:rPr>
        <w:t>seven</w:t>
      </w:r>
      <w:r w:rsidRPr="00534AB2">
        <w:rPr>
          <w:color w:val="000000" w:themeColor="text1"/>
        </w:rPr>
        <w:t xml:space="preserve"> permanent staff (several Ph.</w:t>
      </w:r>
      <w:r w:rsidR="00E10D4D">
        <w:rPr>
          <w:color w:val="000000" w:themeColor="text1"/>
        </w:rPr>
        <w:t xml:space="preserve"> </w:t>
      </w:r>
      <w:r w:rsidRPr="00534AB2">
        <w:rPr>
          <w:color w:val="000000" w:themeColor="text1"/>
        </w:rPr>
        <w:t>Ds and M.S.) to develop, deploy, and maintain data and computing infrastructure for academic research.  The key infrastructure includes:</w:t>
      </w:r>
    </w:p>
    <w:p w14:paraId="76FC93F8" w14:textId="74CFFA51" w:rsidR="00B33B71" w:rsidRPr="00534AB2" w:rsidRDefault="00B33B71" w:rsidP="002710B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534AB2">
        <w:rPr>
          <w:color w:val="000000" w:themeColor="text1"/>
        </w:rPr>
        <w:t>High-performance/High-Throughput Computing Clusters</w:t>
      </w:r>
      <w:r w:rsidR="001062CD" w:rsidRPr="00534AB2">
        <w:rPr>
          <w:color w:val="000000" w:themeColor="text1"/>
        </w:rPr>
        <w:t xml:space="preserve"> (HP</w:t>
      </w:r>
      <w:r w:rsidR="001160C1">
        <w:rPr>
          <w:color w:val="000000" w:themeColor="text1"/>
        </w:rPr>
        <w:t>C3</w:t>
      </w:r>
      <w:r w:rsidR="001062CD" w:rsidRPr="00534AB2">
        <w:rPr>
          <w:color w:val="000000" w:themeColor="text1"/>
        </w:rPr>
        <w:t>)</w:t>
      </w:r>
      <w:r w:rsidR="00BD1F4E">
        <w:rPr>
          <w:color w:val="000000" w:themeColor="text1"/>
        </w:rPr>
        <w:t>.</w:t>
      </w:r>
    </w:p>
    <w:p w14:paraId="28A43B73" w14:textId="65A7430A" w:rsidR="00B33B71" w:rsidRPr="00534AB2" w:rsidRDefault="00B33B71" w:rsidP="002710B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534AB2">
        <w:rPr>
          <w:color w:val="000000" w:themeColor="text1"/>
        </w:rPr>
        <w:t xml:space="preserve">A rich set of domain application software installed and maintained with more than </w:t>
      </w:r>
      <w:r w:rsidR="000C5766">
        <w:rPr>
          <w:b/>
          <w:bCs/>
          <w:color w:val="000000" w:themeColor="text1"/>
        </w:rPr>
        <w:t>380</w:t>
      </w:r>
      <w:r w:rsidRPr="00534AB2">
        <w:rPr>
          <w:color w:val="000000" w:themeColor="text1"/>
        </w:rPr>
        <w:t xml:space="preserve"> distinct applications</w:t>
      </w:r>
      <w:r w:rsidR="001062CD" w:rsidRPr="00534AB2">
        <w:rPr>
          <w:color w:val="000000" w:themeColor="text1"/>
        </w:rPr>
        <w:t xml:space="preserve"> available to UCI researchers</w:t>
      </w:r>
      <w:r w:rsidR="00BD1F4E">
        <w:rPr>
          <w:color w:val="000000" w:themeColor="text1"/>
        </w:rPr>
        <w:t>.</w:t>
      </w:r>
    </w:p>
    <w:p w14:paraId="19A1C287" w14:textId="6E4CB4E5" w:rsidR="00B33B71" w:rsidRPr="00534AB2" w:rsidRDefault="00B33B71" w:rsidP="002710B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534AB2">
        <w:rPr>
          <w:color w:val="000000" w:themeColor="text1"/>
        </w:rPr>
        <w:t xml:space="preserve">Single-copy, high-performance, parallel file systems based on BeeGFS. Directly connected via Infiniband networking to the clusters, these provide an aggregate of Four Petabyte (4PB) across </w:t>
      </w:r>
      <w:r w:rsidR="001160C1">
        <w:rPr>
          <w:color w:val="000000" w:themeColor="text1"/>
        </w:rPr>
        <w:t>seven</w:t>
      </w:r>
      <w:r w:rsidRPr="00534AB2">
        <w:rPr>
          <w:color w:val="000000" w:themeColor="text1"/>
        </w:rPr>
        <w:t xml:space="preserve"> active file systems</w:t>
      </w:r>
      <w:r w:rsidR="001062CD" w:rsidRPr="00534AB2">
        <w:rPr>
          <w:color w:val="000000" w:themeColor="text1"/>
        </w:rPr>
        <w:t xml:space="preserve"> (</w:t>
      </w:r>
      <w:r w:rsidR="00152DAD" w:rsidRPr="00534AB2">
        <w:rPr>
          <w:color w:val="000000" w:themeColor="text1"/>
        </w:rPr>
        <w:t>DFS3B</w:t>
      </w:r>
      <w:r w:rsidR="001062CD" w:rsidRPr="00534AB2">
        <w:rPr>
          <w:color w:val="000000" w:themeColor="text1"/>
        </w:rPr>
        <w:t>, DFS4, DFS5</w:t>
      </w:r>
      <w:r w:rsidR="00EC146E" w:rsidRPr="00534AB2">
        <w:rPr>
          <w:color w:val="000000" w:themeColor="text1"/>
        </w:rPr>
        <w:t>, DFS6</w:t>
      </w:r>
      <w:r w:rsidR="001160C1">
        <w:rPr>
          <w:color w:val="000000" w:themeColor="text1"/>
        </w:rPr>
        <w:t>, DFS7, DFS8</w:t>
      </w:r>
      <w:r w:rsidR="003C77FF">
        <w:rPr>
          <w:color w:val="000000" w:themeColor="text1"/>
        </w:rPr>
        <w:t>, DFS9</w:t>
      </w:r>
      <w:r w:rsidR="001062CD" w:rsidRPr="00534AB2">
        <w:rPr>
          <w:color w:val="000000" w:themeColor="text1"/>
        </w:rPr>
        <w:t>)</w:t>
      </w:r>
      <w:r w:rsidR="00BD1F4E">
        <w:rPr>
          <w:color w:val="000000" w:themeColor="text1"/>
        </w:rPr>
        <w:t>.</w:t>
      </w:r>
    </w:p>
    <w:p w14:paraId="085F763F" w14:textId="7BB26CA5" w:rsidR="00B33B71" w:rsidRDefault="00B33B71" w:rsidP="002710B2">
      <w:pPr>
        <w:pStyle w:val="ListParagraph"/>
        <w:numPr>
          <w:ilvl w:val="0"/>
          <w:numId w:val="1"/>
        </w:numPr>
        <w:jc w:val="both"/>
      </w:pPr>
      <w:r>
        <w:t>Dual</w:t>
      </w:r>
      <w:r w:rsidR="00E10D4D">
        <w:t xml:space="preserve"> </w:t>
      </w:r>
      <w:r>
        <w:t xml:space="preserve">copy, 2PB, scalable file system based on IBM Spectrum Scale for research data. </w:t>
      </w:r>
      <w:r w:rsidR="001062CD">
        <w:t>Using standard protocols</w:t>
      </w:r>
      <w:r w:rsidR="00BD1F4E">
        <w:t>,</w:t>
      </w:r>
      <w:r w:rsidR="001062CD">
        <w:t xml:space="preserve"> data can be accessed securely from any device on the UC Network</w:t>
      </w:r>
      <w:r w:rsidR="00BD1F4E">
        <w:t xml:space="preserve"> </w:t>
      </w:r>
      <w:r w:rsidR="001062CD">
        <w:t>(Campus Research Storage Pool, CRSP)</w:t>
      </w:r>
      <w:r w:rsidR="00BD1F4E">
        <w:t>.</w:t>
      </w:r>
    </w:p>
    <w:p w14:paraId="0D38D364" w14:textId="6B3158D9" w:rsidR="00EE2771" w:rsidRDefault="00EE2771" w:rsidP="002710B2">
      <w:pPr>
        <w:jc w:val="both"/>
      </w:pPr>
      <w:r>
        <w:t xml:space="preserve">All resources are available to the UCI research community. </w:t>
      </w:r>
      <w:r w:rsidR="009B31D9">
        <w:t>Network c</w:t>
      </w:r>
      <w:r w:rsidR="00BD1F4E">
        <w:t xml:space="preserve">onnectivity </w:t>
      </w:r>
      <w:r>
        <w:t>is through the standard UC</w:t>
      </w:r>
      <w:r w:rsidR="009B31D9">
        <w:t>I</w:t>
      </w:r>
      <w:r>
        <w:t xml:space="preserve"> Network</w:t>
      </w:r>
      <w:r w:rsidR="009B31D9">
        <w:t xml:space="preserve">. </w:t>
      </w:r>
      <w:r>
        <w:t xml:space="preserve">A small number of systems are </w:t>
      </w:r>
      <w:r w:rsidR="001F5838">
        <w:t xml:space="preserve">connected </w:t>
      </w:r>
      <w:r>
        <w:t>to Light</w:t>
      </w:r>
      <w:r w:rsidR="00534AB2">
        <w:t>P</w:t>
      </w:r>
      <w:r>
        <w:t>ath</w:t>
      </w:r>
      <w:r w:rsidR="006636C8">
        <w:t xml:space="preserve"> (</w:t>
      </w:r>
      <w:r>
        <w:t>UCI’s science DMZ network</w:t>
      </w:r>
      <w:r w:rsidR="006636C8">
        <w:t>)</w:t>
      </w:r>
      <w:r>
        <w:t xml:space="preserve">. Both networks are managed by the UCI </w:t>
      </w:r>
      <w:r w:rsidR="006636C8">
        <w:t xml:space="preserve">Office </w:t>
      </w:r>
      <w:r>
        <w:t xml:space="preserve">of </w:t>
      </w:r>
      <w:r w:rsidR="006636C8">
        <w:t xml:space="preserve">Information Technology </w:t>
      </w:r>
      <w:r>
        <w:t>(OIT).</w:t>
      </w:r>
    </w:p>
    <w:p w14:paraId="68DC8A3D" w14:textId="761C6334" w:rsidR="001062CD" w:rsidRDefault="001062CD" w:rsidP="002710B2">
      <w:pPr>
        <w:jc w:val="both"/>
        <w:rPr>
          <w:b/>
          <w:bCs/>
        </w:rPr>
      </w:pPr>
      <w:r w:rsidRPr="001062CD">
        <w:rPr>
          <w:b/>
          <w:bCs/>
        </w:rPr>
        <w:t>Clusters managed by RCIC</w:t>
      </w:r>
    </w:p>
    <w:p w14:paraId="0C4D6C6F" w14:textId="6601F7F8" w:rsidR="001062CD" w:rsidRPr="00534AB2" w:rsidRDefault="00CA7600" w:rsidP="002710B2">
      <w:pPr>
        <w:jc w:val="both"/>
        <w:rPr>
          <w:color w:val="000000" w:themeColor="text1"/>
        </w:rPr>
      </w:pPr>
      <w:r>
        <w:t xml:space="preserve">The </w:t>
      </w:r>
      <w:r w:rsidR="001062CD" w:rsidRPr="00534AB2">
        <w:rPr>
          <w:color w:val="000000" w:themeColor="text1"/>
        </w:rPr>
        <w:t>HP</w:t>
      </w:r>
      <w:r w:rsidR="00152DAD" w:rsidRPr="00534AB2">
        <w:rPr>
          <w:color w:val="000000" w:themeColor="text1"/>
        </w:rPr>
        <w:t>C3</w:t>
      </w:r>
      <w:r>
        <w:rPr>
          <w:color w:val="000000" w:themeColor="text1"/>
        </w:rPr>
        <w:t xml:space="preserve"> production cluster </w:t>
      </w:r>
      <w:r w:rsidR="001160C1">
        <w:rPr>
          <w:color w:val="000000" w:themeColor="text1"/>
        </w:rPr>
        <w:t>is</w:t>
      </w:r>
      <w:r>
        <w:rPr>
          <w:color w:val="000000" w:themeColor="text1"/>
        </w:rPr>
        <w:t xml:space="preserve"> managed by RCIC</w:t>
      </w:r>
      <w:r w:rsidR="001062CD" w:rsidRPr="001062CD">
        <w:t>.</w:t>
      </w:r>
      <w:r w:rsidR="001062CD">
        <w:t xml:space="preserve">  </w:t>
      </w:r>
      <w:r w:rsidR="00377913">
        <w:t xml:space="preserve"> All parallel file systems</w:t>
      </w:r>
      <w:r>
        <w:t xml:space="preserve"> (DFSx, CRSP)</w:t>
      </w:r>
      <w:r w:rsidR="00377913">
        <w:t xml:space="preserve"> are available </w:t>
      </w:r>
      <w:r w:rsidR="00E57552">
        <w:t xml:space="preserve">on </w:t>
      </w:r>
      <w:r w:rsidR="001160C1">
        <w:t>the cluster</w:t>
      </w:r>
      <w:r w:rsidR="00377913">
        <w:t>.</w:t>
      </w:r>
      <w:r w:rsidR="00EC146E">
        <w:t xml:space="preserve"> </w:t>
      </w:r>
    </w:p>
    <w:p w14:paraId="3A7F2FB4" w14:textId="77777777" w:rsidR="00E10D4D" w:rsidRDefault="001062CD" w:rsidP="002710B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t xml:space="preserve">In </w:t>
      </w:r>
      <w:r w:rsidR="001F5838">
        <w:t>the second quarter 2020,</w:t>
      </w:r>
      <w:r>
        <w:t xml:space="preserve"> HPC3</w:t>
      </w:r>
      <w:r w:rsidR="001F5838">
        <w:t>, UCI’s flagship</w:t>
      </w:r>
      <w:r w:rsidR="00EC146E">
        <w:t xml:space="preserve"> </w:t>
      </w:r>
      <w:r w:rsidR="001F5838">
        <w:t>cluster</w:t>
      </w:r>
      <w:r w:rsidR="00761BEA">
        <w:t xml:space="preserve">, </w:t>
      </w:r>
      <w:r w:rsidR="001F5838">
        <w:t>entered early operation</w:t>
      </w:r>
      <w:r>
        <w:t xml:space="preserve">. </w:t>
      </w:r>
      <w:r w:rsidR="001F5838">
        <w:t xml:space="preserve"> Full production was achieved </w:t>
      </w:r>
      <w:r w:rsidR="00761BEA">
        <w:t>in</w:t>
      </w:r>
      <w:r w:rsidR="001F5838">
        <w:t xml:space="preserve"> Fall 2020. </w:t>
      </w:r>
      <w:r w:rsidR="00534AB2">
        <w:t>This</w:t>
      </w:r>
      <w:r>
        <w:t xml:space="preserve"> </w:t>
      </w:r>
      <w:r w:rsidR="001F5838">
        <w:t xml:space="preserve">resource </w:t>
      </w:r>
      <w:r w:rsidR="00152DAD">
        <w:t>is</w:t>
      </w:r>
      <w:r>
        <w:t xml:space="preserve"> available to all researchers at UCI</w:t>
      </w:r>
      <w:r w:rsidR="001F5838">
        <w:t>.  It can be extended via hard</w:t>
      </w:r>
      <w:r w:rsidR="00761BEA">
        <w:t>ware</w:t>
      </w:r>
      <w:r w:rsidR="001F5838">
        <w:t xml:space="preserve"> purchase or core-hours purchase.  Faculty, upon request, are granted about 200,000</w:t>
      </w:r>
      <w:r w:rsidR="00377913">
        <w:t xml:space="preserve"> core hours</w:t>
      </w:r>
      <w:r w:rsidR="001F5838">
        <w:t xml:space="preserve"> per calendar year.  These hours are made possible by UCI</w:t>
      </w:r>
      <w:r w:rsidR="00377913">
        <w:t>-</w:t>
      </w:r>
      <w:r w:rsidR="001F5838">
        <w:t xml:space="preserve">purchased </w:t>
      </w:r>
      <w:r w:rsidR="00377913">
        <w:t xml:space="preserve">hardware. HPC3 </w:t>
      </w:r>
      <w:r w:rsidR="001160C1">
        <w:t>continues</w:t>
      </w:r>
      <w:r w:rsidR="00377913">
        <w:t xml:space="preserve"> to grow over time with a mixture of </w:t>
      </w:r>
      <w:r w:rsidR="00534AB2">
        <w:t>CPU</w:t>
      </w:r>
      <w:r w:rsidR="00377913">
        <w:t xml:space="preserve">-types. </w:t>
      </w:r>
      <w:r w:rsidR="001F5838">
        <w:rPr>
          <w:rFonts w:eastAsia="Times New Roman" w:cstheme="minorHAnsi"/>
        </w:rPr>
        <w:t>It</w:t>
      </w:r>
      <w:r w:rsidR="001F5838" w:rsidRPr="00152DAD">
        <w:rPr>
          <w:rFonts w:eastAsia="Times New Roman" w:cstheme="minorHAnsi"/>
        </w:rPr>
        <w:t xml:space="preserve"> </w:t>
      </w:r>
      <w:r w:rsidR="00152DAD" w:rsidRPr="00152DAD">
        <w:rPr>
          <w:rFonts w:eastAsia="Times New Roman" w:cstheme="minorHAnsi"/>
        </w:rPr>
        <w:t xml:space="preserve">is multi-vendor with pure compute and compute + GPU nodes. All </w:t>
      </w:r>
      <w:r w:rsidR="00AB1A0C">
        <w:rPr>
          <w:rFonts w:eastAsia="Times New Roman" w:cstheme="minorHAnsi"/>
        </w:rPr>
        <w:t>systems</w:t>
      </w:r>
      <w:r w:rsidR="00AB1A0C" w:rsidRPr="00152DAD">
        <w:rPr>
          <w:rFonts w:eastAsia="Times New Roman" w:cstheme="minorHAnsi"/>
        </w:rPr>
        <w:t xml:space="preserve"> </w:t>
      </w:r>
      <w:r w:rsidR="00152DAD" w:rsidRPr="00152DAD">
        <w:rPr>
          <w:rFonts w:eastAsia="Times New Roman" w:cstheme="minorHAnsi"/>
        </w:rPr>
        <w:t xml:space="preserve">are interconnected with 10Gbps Ethernet and 100Gbps </w:t>
      </w:r>
      <w:r w:rsidR="001F5838">
        <w:rPr>
          <w:rFonts w:eastAsia="Times New Roman" w:cstheme="minorHAnsi"/>
        </w:rPr>
        <w:t xml:space="preserve">EDR </w:t>
      </w:r>
      <w:r w:rsidR="00152DAD" w:rsidRPr="00152DAD">
        <w:rPr>
          <w:rFonts w:eastAsia="Times New Roman" w:cstheme="minorHAnsi"/>
        </w:rPr>
        <w:t xml:space="preserve">Infiniband. </w:t>
      </w:r>
      <w:r w:rsidR="00152DAD" w:rsidRPr="00534AB2">
        <w:rPr>
          <w:rFonts w:eastAsia="Times New Roman" w:cstheme="minorHAnsi"/>
          <w:color w:val="000000" w:themeColor="text1"/>
        </w:rPr>
        <w:t xml:space="preserve">All nodes are configured with at least </w:t>
      </w:r>
      <w:r w:rsidR="001F5838">
        <w:rPr>
          <w:rFonts w:eastAsia="Times New Roman" w:cstheme="minorHAnsi"/>
          <w:color w:val="000000" w:themeColor="text1"/>
        </w:rPr>
        <w:t>4</w:t>
      </w:r>
      <w:r w:rsidR="001F5838" w:rsidRPr="00534AB2">
        <w:rPr>
          <w:rFonts w:eastAsia="Times New Roman" w:cstheme="minorHAnsi"/>
          <w:color w:val="000000" w:themeColor="text1"/>
        </w:rPr>
        <w:t>GB</w:t>
      </w:r>
      <w:r w:rsidR="00152DAD" w:rsidRPr="00534AB2">
        <w:rPr>
          <w:rFonts w:eastAsia="Times New Roman" w:cstheme="minorHAnsi"/>
          <w:color w:val="000000" w:themeColor="text1"/>
        </w:rPr>
        <w:t xml:space="preserve">/core of memory.   </w:t>
      </w:r>
    </w:p>
    <w:p w14:paraId="47EC85E8" w14:textId="77777777" w:rsidR="00E10D4D" w:rsidRDefault="00E10D4D" w:rsidP="002710B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2736C07A" w14:textId="73067AD6" w:rsidR="00230AE1" w:rsidRPr="00534AB2" w:rsidRDefault="00AB1A0C" w:rsidP="002710B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Configuration as of </w:t>
      </w:r>
      <w:r w:rsidR="003C77FF">
        <w:rPr>
          <w:rFonts w:eastAsia="Times New Roman" w:cstheme="minorHAnsi"/>
          <w:color w:val="000000" w:themeColor="text1"/>
        </w:rPr>
        <w:t>October</w:t>
      </w:r>
      <w:r w:rsidR="00230AE1">
        <w:rPr>
          <w:rFonts w:eastAsia="Times New Roman" w:cstheme="minorHAnsi"/>
          <w:color w:val="000000" w:themeColor="text1"/>
        </w:rPr>
        <w:t xml:space="preserve"> </w:t>
      </w:r>
      <w:r w:rsidR="001160C1">
        <w:rPr>
          <w:rFonts w:eastAsia="Times New Roman" w:cstheme="minorHAnsi"/>
          <w:color w:val="000000" w:themeColor="text1"/>
        </w:rPr>
        <w:t>202</w:t>
      </w:r>
      <w:r w:rsidR="003C77FF">
        <w:rPr>
          <w:rFonts w:eastAsia="Times New Roman" w:cstheme="minorHAnsi"/>
          <w:color w:val="000000" w:themeColor="text1"/>
        </w:rPr>
        <w:t>4</w:t>
      </w:r>
      <w:r w:rsidR="00230AE1">
        <w:rPr>
          <w:rFonts w:eastAsia="Times New Roman" w:cstheme="minorHAnsi"/>
          <w:color w:val="000000" w:themeColor="text1"/>
        </w:rPr>
        <w:t xml:space="preserve"> is as follows: </w:t>
      </w:r>
    </w:p>
    <w:p w14:paraId="77134189" w14:textId="0AEE204D" w:rsidR="00152DAD" w:rsidRPr="00534AB2" w:rsidRDefault="001160C1" w:rsidP="002710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2</w:t>
      </w:r>
      <w:r w:rsidR="003C77FF">
        <w:rPr>
          <w:rFonts w:eastAsia="Times New Roman" w:cstheme="minorHAnsi"/>
          <w:color w:val="000000" w:themeColor="text1"/>
        </w:rPr>
        <w:t>37</w:t>
      </w:r>
      <w:r w:rsidR="00152DAD" w:rsidRPr="00534AB2">
        <w:rPr>
          <w:rFonts w:eastAsia="Times New Roman" w:cstheme="minorHAnsi"/>
          <w:color w:val="000000" w:themeColor="text1"/>
        </w:rPr>
        <w:t xml:space="preserve"> Nodes Total</w:t>
      </w:r>
      <w:r w:rsidR="00230AE1">
        <w:rPr>
          <w:rFonts w:eastAsia="Times New Roman" w:cstheme="minorHAnsi"/>
          <w:color w:val="000000" w:themeColor="text1"/>
        </w:rPr>
        <w:t xml:space="preserve">, </w:t>
      </w:r>
      <w:r w:rsidR="003C77FF">
        <w:rPr>
          <w:rFonts w:eastAsia="Times New Roman" w:cstheme="minorHAnsi"/>
          <w:color w:val="000000" w:themeColor="text1"/>
        </w:rPr>
        <w:t>10576</w:t>
      </w:r>
      <w:r w:rsidR="00230AE1">
        <w:rPr>
          <w:rFonts w:eastAsia="Times New Roman" w:cstheme="minorHAnsi"/>
          <w:color w:val="000000" w:themeColor="text1"/>
        </w:rPr>
        <w:t xml:space="preserve"> cores</w:t>
      </w:r>
    </w:p>
    <w:p w14:paraId="38C62D97" w14:textId="34A6CF72" w:rsidR="00152DAD" w:rsidRDefault="00152DAD" w:rsidP="002710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34AB2">
        <w:rPr>
          <w:rFonts w:eastAsia="Times New Roman" w:cstheme="minorHAnsi"/>
          <w:color w:val="000000" w:themeColor="text1"/>
        </w:rPr>
        <w:t>1</w:t>
      </w:r>
      <w:r w:rsidR="001160C1">
        <w:rPr>
          <w:rFonts w:eastAsia="Times New Roman" w:cstheme="minorHAnsi"/>
          <w:color w:val="000000" w:themeColor="text1"/>
        </w:rPr>
        <w:t>4</w:t>
      </w:r>
      <w:r w:rsidRPr="00534AB2">
        <w:rPr>
          <w:rFonts w:eastAsia="Times New Roman" w:cstheme="minorHAnsi"/>
          <w:color w:val="000000" w:themeColor="text1"/>
        </w:rPr>
        <w:t xml:space="preserve"> GPU nodes – each with 4 Nvidia V100 GPUs (total of 5</w:t>
      </w:r>
      <w:r w:rsidR="001160C1">
        <w:rPr>
          <w:rFonts w:eastAsia="Times New Roman" w:cstheme="minorHAnsi"/>
          <w:color w:val="000000" w:themeColor="text1"/>
        </w:rPr>
        <w:t>6</w:t>
      </w:r>
      <w:r w:rsidRPr="00534AB2">
        <w:rPr>
          <w:rFonts w:eastAsia="Times New Roman" w:cstheme="minorHAnsi"/>
          <w:color w:val="000000" w:themeColor="text1"/>
        </w:rPr>
        <w:t xml:space="preserve"> GPUs)</w:t>
      </w:r>
    </w:p>
    <w:p w14:paraId="34898D65" w14:textId="0630CF4F" w:rsidR="001160C1" w:rsidRDefault="001160C1" w:rsidP="002710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</w:t>
      </w:r>
      <w:r w:rsidR="003C77FF">
        <w:rPr>
          <w:rFonts w:eastAsia="Times New Roman" w:cstheme="minorHAnsi"/>
          <w:color w:val="000000" w:themeColor="text1"/>
        </w:rPr>
        <w:t>8</w:t>
      </w:r>
      <w:r>
        <w:rPr>
          <w:rFonts w:eastAsia="Times New Roman" w:cstheme="minorHAnsi"/>
          <w:color w:val="000000" w:themeColor="text1"/>
        </w:rPr>
        <w:t xml:space="preserve"> GPU nodes – each with 4 Nvidia A30 GPUs (total of </w:t>
      </w:r>
      <w:r w:rsidR="003C77FF">
        <w:rPr>
          <w:rFonts w:eastAsia="Times New Roman" w:cstheme="minorHAnsi"/>
          <w:color w:val="000000" w:themeColor="text1"/>
        </w:rPr>
        <w:t>72</w:t>
      </w:r>
      <w:r>
        <w:rPr>
          <w:rFonts w:eastAsia="Times New Roman" w:cstheme="minorHAnsi"/>
          <w:color w:val="000000" w:themeColor="text1"/>
        </w:rPr>
        <w:t xml:space="preserve"> GPUs) GPUs)</w:t>
      </w:r>
    </w:p>
    <w:p w14:paraId="345FCF04" w14:textId="44F1777D" w:rsidR="001160C1" w:rsidRPr="00534AB2" w:rsidRDefault="001160C1" w:rsidP="002710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4 GPU nodes – each with 2 Nvidia A100 GPUs (total of 8 GPUs)</w:t>
      </w:r>
    </w:p>
    <w:p w14:paraId="25CFC768" w14:textId="77777777" w:rsidR="00152DAD" w:rsidRPr="00534AB2" w:rsidRDefault="00152DAD" w:rsidP="002710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34AB2">
        <w:rPr>
          <w:rFonts w:eastAsia="Times New Roman" w:cstheme="minorHAnsi"/>
          <w:color w:val="000000" w:themeColor="text1"/>
        </w:rPr>
        <w:t>Most nodes have at least 40 cores</w:t>
      </w:r>
    </w:p>
    <w:p w14:paraId="4EB59CB4" w14:textId="77777777" w:rsidR="00E10D4D" w:rsidRDefault="00E10D4D" w:rsidP="002710B2">
      <w:pPr>
        <w:jc w:val="both"/>
        <w:rPr>
          <w:color w:val="000000" w:themeColor="text1"/>
        </w:rPr>
      </w:pPr>
    </w:p>
    <w:p w14:paraId="15880859" w14:textId="7F0A719D" w:rsidR="00377913" w:rsidRDefault="001F5838" w:rsidP="002710B2">
      <w:pPr>
        <w:jc w:val="both"/>
        <w:rPr>
          <w:color w:val="000000" w:themeColor="text1"/>
        </w:rPr>
      </w:pPr>
      <w:r>
        <w:rPr>
          <w:color w:val="000000" w:themeColor="text1"/>
        </w:rPr>
        <w:t>Most nodes have a standard memory of</w:t>
      </w:r>
      <w:r w:rsidR="00377913" w:rsidRPr="00534AB2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="00152DAD" w:rsidRPr="00534AB2">
        <w:rPr>
          <w:color w:val="000000" w:themeColor="text1"/>
        </w:rPr>
        <w:t>.0</w:t>
      </w:r>
      <w:r w:rsidR="00377913" w:rsidRPr="00534AB2">
        <w:rPr>
          <w:color w:val="000000" w:themeColor="text1"/>
        </w:rPr>
        <w:t xml:space="preserve">GB/core (standard node), </w:t>
      </w:r>
      <w:r>
        <w:rPr>
          <w:color w:val="000000" w:themeColor="text1"/>
        </w:rPr>
        <w:t xml:space="preserve">but there are other </w:t>
      </w:r>
      <w:r w:rsidR="00496C86">
        <w:rPr>
          <w:color w:val="000000" w:themeColor="text1"/>
        </w:rPr>
        <w:t>node</w:t>
      </w:r>
      <w:r w:rsidR="00E17CC8">
        <w:rPr>
          <w:color w:val="000000" w:themeColor="text1"/>
        </w:rPr>
        <w:t xml:space="preserve"> configurations</w:t>
      </w:r>
      <w:r w:rsidR="00496C86">
        <w:rPr>
          <w:color w:val="000000" w:themeColor="text1"/>
        </w:rPr>
        <w:t xml:space="preserve"> including </w:t>
      </w:r>
      <w:r w:rsidR="00377913" w:rsidRPr="00534AB2">
        <w:rPr>
          <w:color w:val="000000" w:themeColor="text1"/>
        </w:rPr>
        <w:t>9GB/core (large memory), 18GB/core (huge memory)</w:t>
      </w:r>
      <w:r w:rsidR="00496C86">
        <w:rPr>
          <w:color w:val="000000" w:themeColor="text1"/>
        </w:rPr>
        <w:t>, and 36GB/core (max</w:t>
      </w:r>
      <w:r w:rsidR="00A95BA7">
        <w:rPr>
          <w:color w:val="000000" w:themeColor="text1"/>
        </w:rPr>
        <w:t xml:space="preserve">imum </w:t>
      </w:r>
      <w:r w:rsidR="00496C86">
        <w:rPr>
          <w:color w:val="000000" w:themeColor="text1"/>
        </w:rPr>
        <w:t>mem</w:t>
      </w:r>
      <w:r w:rsidR="00A95BA7">
        <w:rPr>
          <w:color w:val="000000" w:themeColor="text1"/>
        </w:rPr>
        <w:t>ory</w:t>
      </w:r>
      <w:r w:rsidR="00496C86">
        <w:rPr>
          <w:color w:val="000000" w:themeColor="text1"/>
        </w:rPr>
        <w:t>)</w:t>
      </w:r>
      <w:r w:rsidR="00377913" w:rsidRPr="00534AB2">
        <w:rPr>
          <w:color w:val="000000" w:themeColor="text1"/>
        </w:rPr>
        <w:t xml:space="preserve">.  A collection of application software </w:t>
      </w:r>
      <w:r w:rsidR="00152DAD" w:rsidRPr="00534AB2">
        <w:rPr>
          <w:color w:val="000000" w:themeColor="text1"/>
        </w:rPr>
        <w:t xml:space="preserve">is </w:t>
      </w:r>
      <w:r w:rsidR="00377913" w:rsidRPr="00534AB2">
        <w:rPr>
          <w:color w:val="000000" w:themeColor="text1"/>
        </w:rPr>
        <w:t>deployed on HP</w:t>
      </w:r>
      <w:r w:rsidR="00152DAD" w:rsidRPr="00534AB2">
        <w:rPr>
          <w:color w:val="000000" w:themeColor="text1"/>
        </w:rPr>
        <w:t xml:space="preserve">C3 using a rigorous and standardized software build and deployment process. </w:t>
      </w:r>
    </w:p>
    <w:p w14:paraId="3DB2D898" w14:textId="6F49C798" w:rsidR="00EE2771" w:rsidRDefault="00EE2771" w:rsidP="002710B2">
      <w:pPr>
        <w:jc w:val="both"/>
        <w:rPr>
          <w:b/>
          <w:bCs/>
        </w:rPr>
      </w:pPr>
      <w:r>
        <w:rPr>
          <w:b/>
          <w:bCs/>
        </w:rPr>
        <w:lastRenderedPageBreak/>
        <w:t>Application Software Stack</w:t>
      </w:r>
    </w:p>
    <w:p w14:paraId="225E6E0B" w14:textId="300F3EF6" w:rsidR="002710B2" w:rsidRPr="002710B2" w:rsidRDefault="00EE2771" w:rsidP="002710B2">
      <w:pPr>
        <w:jc w:val="both"/>
      </w:pPr>
      <w:r>
        <w:t>RCIC manages, installs, and updates a rich collection of scientific software spanning a very large number of disciplines including, biology, chemistry, physics, medicine, engineering, social sciences, humanities, and data science</w:t>
      </w:r>
      <w:r w:rsidR="00E1289A">
        <w:t>s</w:t>
      </w:r>
      <w:r>
        <w:t xml:space="preserve">.  More than </w:t>
      </w:r>
      <w:r w:rsidR="000C5766">
        <w:rPr>
          <w:color w:val="000000" w:themeColor="text1"/>
        </w:rPr>
        <w:t>380</w:t>
      </w:r>
      <w:r w:rsidRPr="00534AB2">
        <w:rPr>
          <w:color w:val="000000" w:themeColor="text1"/>
        </w:rPr>
        <w:t xml:space="preserve"> </w:t>
      </w:r>
      <w:r>
        <w:t xml:space="preserve">distinct software </w:t>
      </w:r>
      <w:r w:rsidR="00496C86">
        <w:t xml:space="preserve">modules </w:t>
      </w:r>
      <w:r>
        <w:t>(which are not available through standard OS channels) are handled on HP</w:t>
      </w:r>
      <w:r w:rsidR="00534AB2">
        <w:t>C3</w:t>
      </w:r>
      <w:r>
        <w:t>.  Environment modules enable users to load different versions</w:t>
      </w:r>
      <w:r w:rsidR="000C5766">
        <w:t xml:space="preserve"> of software</w:t>
      </w:r>
      <w:r>
        <w:t xml:space="preserve"> when needed. When taking software with multiple versions</w:t>
      </w:r>
      <w:r w:rsidR="00534AB2">
        <w:t xml:space="preserve"> and with multiple additional packages (for Perl, R and Python) </w:t>
      </w:r>
      <w:r>
        <w:t xml:space="preserve">more than </w:t>
      </w:r>
      <w:r w:rsidR="000C5766">
        <w:t>2500</w:t>
      </w:r>
      <w:r w:rsidR="00496C86" w:rsidRPr="00282064">
        <w:t xml:space="preserve"> distinct software packages are built and maintained by </w:t>
      </w:r>
      <w:r w:rsidR="00496C86" w:rsidRPr="006447A4">
        <w:t>RCIC.</w:t>
      </w:r>
    </w:p>
    <w:p w14:paraId="576C7048" w14:textId="6FE0E92E" w:rsidR="001062CD" w:rsidRDefault="00377913" w:rsidP="002710B2">
      <w:pPr>
        <w:jc w:val="both"/>
        <w:rPr>
          <w:b/>
          <w:bCs/>
        </w:rPr>
      </w:pPr>
      <w:r>
        <w:rPr>
          <w:b/>
          <w:bCs/>
        </w:rPr>
        <w:t>Single-Copy Parallel File Systems</w:t>
      </w:r>
    </w:p>
    <w:p w14:paraId="7C48B0B7" w14:textId="4A9E9978" w:rsidR="002710B2" w:rsidRPr="002710B2" w:rsidRDefault="00377913" w:rsidP="002710B2">
      <w:pPr>
        <w:jc w:val="both"/>
      </w:pPr>
      <w:r>
        <w:t xml:space="preserve">Large-scale data is handled by RCIC across </w:t>
      </w:r>
      <w:r w:rsidR="00496C86">
        <w:t xml:space="preserve">six </w:t>
      </w:r>
      <w:r>
        <w:t xml:space="preserve">distinct parallel file systems that are </w:t>
      </w:r>
      <w:r w:rsidR="006447A4">
        <w:t>named</w:t>
      </w:r>
      <w:r w:rsidRPr="00737829">
        <w:rPr>
          <w:color w:val="000000" w:themeColor="text1"/>
        </w:rPr>
        <w:t xml:space="preserve"> </w:t>
      </w:r>
      <w:r w:rsidR="00152DAD" w:rsidRPr="00737829">
        <w:rPr>
          <w:color w:val="000000" w:themeColor="text1"/>
        </w:rPr>
        <w:t xml:space="preserve">DFS3b, </w:t>
      </w:r>
      <w:r w:rsidRPr="00737829">
        <w:rPr>
          <w:color w:val="000000" w:themeColor="text1"/>
        </w:rPr>
        <w:t>DFS4</w:t>
      </w:r>
      <w:r>
        <w:t>, DFS5</w:t>
      </w:r>
      <w:r w:rsidR="00152DAD">
        <w:t>,</w:t>
      </w:r>
      <w:r w:rsidR="006447A4">
        <w:t xml:space="preserve"> </w:t>
      </w:r>
      <w:r w:rsidR="000C5766">
        <w:t>DFS6, DFS7</w:t>
      </w:r>
      <w:r w:rsidR="003C77FF">
        <w:t>, DFS8</w:t>
      </w:r>
      <w:r w:rsidR="000C5766">
        <w:t xml:space="preserve"> </w:t>
      </w:r>
      <w:r w:rsidR="006447A4">
        <w:t>and</w:t>
      </w:r>
      <w:r w:rsidR="00152DAD">
        <w:t xml:space="preserve"> DFS</w:t>
      </w:r>
      <w:r w:rsidR="003C77FF">
        <w:t>9</w:t>
      </w:r>
      <w:r>
        <w:t>.  All systems utilize BeeGFS layered on ZFS for scale and performance. BeeGFS is regularly updated with one to two major updates per year. Storage is funded by researchers through a standard recharge system</w:t>
      </w:r>
      <w:r w:rsidR="00EE2771">
        <w:t xml:space="preserve"> where a user purchases capacity for a 5-year period of time (currently $100/TB/5-years).  The DFS systems are directly available only to the clusters and a handful of data transfer nodes. </w:t>
      </w:r>
    </w:p>
    <w:p w14:paraId="3200CB68" w14:textId="1BB057DE" w:rsidR="00EE2771" w:rsidRDefault="00EE2771" w:rsidP="002710B2">
      <w:pPr>
        <w:jc w:val="both"/>
        <w:rPr>
          <w:b/>
          <w:bCs/>
        </w:rPr>
      </w:pPr>
      <w:r>
        <w:rPr>
          <w:b/>
          <w:bCs/>
        </w:rPr>
        <w:t>Dual-Copy Campus Research Storage (CRSP)</w:t>
      </w:r>
    </w:p>
    <w:p w14:paraId="3CD367AC" w14:textId="0E2B5A6E" w:rsidR="002710B2" w:rsidRDefault="00EE2771" w:rsidP="002710B2">
      <w:pPr>
        <w:jc w:val="both"/>
        <w:rPr>
          <w:b/>
          <w:bCs/>
        </w:rPr>
      </w:pPr>
      <w:r>
        <w:t xml:space="preserve">UCI has recognized the importance of high-quality storage for research data. The Campus Research Storage Pool (CRSP) is </w:t>
      </w:r>
      <w:r w:rsidR="00FB58B2">
        <w:t>1</w:t>
      </w:r>
      <w:r w:rsidR="000C5766">
        <w:t>.1</w:t>
      </w:r>
      <w:r w:rsidR="00FB58B2">
        <w:t xml:space="preserve"> Petabyte of usable capacity</w:t>
      </w:r>
      <w:r>
        <w:t xml:space="preserve"> IBM Spectrum-Scale system where researchers can access their research data through</w:t>
      </w:r>
      <w:r w:rsidR="00A017D5">
        <w:t xml:space="preserve"> the UCI Network.  Performance is quite good so that data may be used in-place. Data is immediately replicated into two distinct data centers on campus.  Significant redundancy </w:t>
      </w:r>
      <w:r w:rsidR="00496C86">
        <w:t xml:space="preserve">in hardware results </w:t>
      </w:r>
      <w:r w:rsidR="002903C5">
        <w:t>in very high data availability</w:t>
      </w:r>
      <w:r w:rsidR="00A017D5">
        <w:t xml:space="preserve">. Since entering production in early 2019, CRSP has not had a full outage. </w:t>
      </w:r>
    </w:p>
    <w:p w14:paraId="6F61E5F7" w14:textId="25049BA2" w:rsidR="00CE1C20" w:rsidRDefault="00CE1C20" w:rsidP="002710B2">
      <w:pPr>
        <w:jc w:val="both"/>
        <w:rPr>
          <w:b/>
          <w:bCs/>
        </w:rPr>
      </w:pPr>
      <w:r w:rsidRPr="00ED5B7E">
        <w:rPr>
          <w:b/>
          <w:bCs/>
        </w:rPr>
        <w:t xml:space="preserve">Costs for </w:t>
      </w:r>
      <w:r w:rsidR="00ED5B7E" w:rsidRPr="00ED5B7E">
        <w:rPr>
          <w:b/>
          <w:bCs/>
        </w:rPr>
        <w:t>Adding Storage, Processing, GPU Capability</w:t>
      </w:r>
    </w:p>
    <w:p w14:paraId="65788007" w14:textId="432B029B" w:rsidR="00225F4E" w:rsidRDefault="00D638CE" w:rsidP="002710B2">
      <w:pPr>
        <w:jc w:val="both"/>
      </w:pPr>
      <w:r>
        <w:t>Resources can be expanded via grant (or other funding) purchases</w:t>
      </w:r>
      <w:r w:rsidR="002547DF">
        <w:t xml:space="preserve">. For computing, </w:t>
      </w:r>
      <w:r w:rsidR="00600CBE">
        <w:t>grants may either purchase equipment</w:t>
      </w:r>
      <w:r w:rsidR="00510434">
        <w:t xml:space="preserve"> (condo)</w:t>
      </w:r>
      <w:r w:rsidR="00600CBE">
        <w:t xml:space="preserve"> and pay a one-time integration charge</w:t>
      </w:r>
      <w:r w:rsidR="00E10D4D">
        <w:t xml:space="preserve"> </w:t>
      </w:r>
      <w:r w:rsidR="00650A31">
        <w:t xml:space="preserve">or </w:t>
      </w:r>
      <w:r w:rsidR="005E1DF1">
        <w:t xml:space="preserve">purchase </w:t>
      </w:r>
      <w:r w:rsidR="00510434">
        <w:t xml:space="preserve">a </w:t>
      </w:r>
      <w:r w:rsidR="005E1DF1">
        <w:t>prepaid time allocation</w:t>
      </w:r>
      <w:r w:rsidR="009C45B2">
        <w:t xml:space="preserve"> (cloud-like). RCIC does not post-bill for resources</w:t>
      </w:r>
      <w:r w:rsidR="00D74D81">
        <w:t>.</w:t>
      </w:r>
    </w:p>
    <w:p w14:paraId="2DA9B888" w14:textId="5656B490" w:rsidR="00692E56" w:rsidRDefault="009F675D" w:rsidP="002710B2">
      <w:pPr>
        <w:jc w:val="both"/>
      </w:pPr>
      <w:r>
        <w:t xml:space="preserve">RCIC and its advisory committee </w:t>
      </w:r>
      <w:r w:rsidR="00E02699">
        <w:t xml:space="preserve">revisit “standard” </w:t>
      </w:r>
      <w:r w:rsidR="00D31439">
        <w:t xml:space="preserve">hardware </w:t>
      </w:r>
      <w:r w:rsidR="00E02699">
        <w:t>configurations annually</w:t>
      </w:r>
      <w:r w:rsidR="0093146A">
        <w:t>. Only standard configurations are supported</w:t>
      </w:r>
      <w:r w:rsidR="00E02699">
        <w:t xml:space="preserve">. </w:t>
      </w:r>
      <w:r w:rsidR="00225F4E">
        <w:t xml:space="preserve"> For HP</w:t>
      </w:r>
      <w:r w:rsidR="00081A63">
        <w:t>C3</w:t>
      </w:r>
      <w:r w:rsidR="00225F4E">
        <w:t>, when a condo node is adde</w:t>
      </w:r>
      <w:r w:rsidR="007755C9">
        <w:t>d, the number of core hours than node could deliver in a year is added to the owner</w:t>
      </w:r>
      <w:r w:rsidR="00714B63">
        <w:t>’</w:t>
      </w:r>
      <w:r w:rsidR="007755C9">
        <w:t xml:space="preserve">s account. </w:t>
      </w:r>
      <w:r w:rsidR="00714B63">
        <w:t xml:space="preserve"> The owner (and their </w:t>
      </w:r>
      <w:r w:rsidR="00FA24FF">
        <w:t xml:space="preserve">students/colleagues) can access all nodes of similar configuration.  </w:t>
      </w:r>
      <w:r w:rsidR="00714B63">
        <w:t xml:space="preserve"> </w:t>
      </w:r>
      <w:r w:rsidR="008B5543">
        <w:t>Accounting is used to ensure that</w:t>
      </w:r>
      <w:r w:rsidR="00A0459E">
        <w:t xml:space="preserve"> the number of cycles</w:t>
      </w:r>
      <w:r w:rsidR="004A3C01">
        <w:t xml:space="preserve"> (core hours or GPU-hours) </w:t>
      </w:r>
      <w:r w:rsidR="00A0459E">
        <w:t xml:space="preserve">available to </w:t>
      </w:r>
      <w:r w:rsidR="00EB44CA">
        <w:t>a condo owner</w:t>
      </w:r>
      <w:r w:rsidR="001E039E">
        <w:t xml:space="preserve"> over </w:t>
      </w:r>
      <w:r w:rsidR="00713529">
        <w:t xml:space="preserve">a </w:t>
      </w:r>
      <w:r w:rsidR="000E7D5F">
        <w:t xml:space="preserve">fixed </w:t>
      </w:r>
      <w:r w:rsidR="00E10D4D">
        <w:t xml:space="preserve">time </w:t>
      </w:r>
      <w:r w:rsidR="000E7D5F">
        <w:t xml:space="preserve">period </w:t>
      </w:r>
      <w:r w:rsidR="00EB44CA">
        <w:t xml:space="preserve">is </w:t>
      </w:r>
      <w:r w:rsidR="003D485D" w:rsidRPr="001E039E">
        <w:rPr>
          <w:i/>
          <w:iCs/>
        </w:rPr>
        <w:t xml:space="preserve">equivalent </w:t>
      </w:r>
      <w:r w:rsidR="004A3C01" w:rsidRPr="001E039E">
        <w:rPr>
          <w:i/>
          <w:iCs/>
        </w:rPr>
        <w:t xml:space="preserve">to </w:t>
      </w:r>
      <w:r w:rsidR="003D485D" w:rsidRPr="001E039E">
        <w:rPr>
          <w:i/>
          <w:iCs/>
        </w:rPr>
        <w:t>or better than dedicated access</w:t>
      </w:r>
      <w:r w:rsidR="00692E56">
        <w:rPr>
          <w:i/>
          <w:iCs/>
        </w:rPr>
        <w:t xml:space="preserve"> to specific hardware</w:t>
      </w:r>
      <w:r w:rsidR="001E039E">
        <w:t xml:space="preserve">. </w:t>
      </w:r>
    </w:p>
    <w:p w14:paraId="403C7720" w14:textId="5759CC15" w:rsidR="00D74D81" w:rsidRDefault="006D2EFE" w:rsidP="002710B2">
      <w:pPr>
        <w:jc w:val="both"/>
      </w:pPr>
      <w:r>
        <w:t xml:space="preserve">The following figures can be used for grant-planning purposes, actual costs of </w:t>
      </w:r>
      <w:r w:rsidR="00E02125">
        <w:t xml:space="preserve">hardware are commodity </w:t>
      </w:r>
      <w:r w:rsidR="00CC34CF">
        <w:t xml:space="preserve">and require </w:t>
      </w:r>
      <w:r w:rsidR="00C87308">
        <w:t xml:space="preserve">formal quotations </w:t>
      </w:r>
      <w:r w:rsidR="00C87308" w:rsidRPr="00941D02">
        <w:rPr>
          <w:u w:val="single"/>
        </w:rPr>
        <w:t>at the time of purchase</w:t>
      </w:r>
      <w:r w:rsidR="00BE74AC">
        <w:t xml:space="preserve">.  For grant applications, </w:t>
      </w:r>
      <w:r w:rsidR="00660895">
        <w:t>the most-recent quotations can be supplied</w:t>
      </w:r>
      <w:r w:rsidR="00B30F67">
        <w:t>. Due to the pricing volatility of commodity computin</w:t>
      </w:r>
      <w:r w:rsidR="0023641F">
        <w:t xml:space="preserve">g, </w:t>
      </w:r>
      <w:r w:rsidR="00B001EB">
        <w:t>quotations at grant submission</w:t>
      </w:r>
      <w:r w:rsidR="003D4B32">
        <w:t xml:space="preserve"> time will almost certainly expire prior to grant award. </w:t>
      </w:r>
      <w:r w:rsidR="00925CF1">
        <w:t xml:space="preserve">Standard nodes may have parts </w:t>
      </w:r>
      <w:r w:rsidR="00404210">
        <w:t>updated</w:t>
      </w:r>
      <w:r w:rsidR="007F076D">
        <w:t xml:space="preserve"> (e.g.</w:t>
      </w:r>
      <w:r w:rsidR="00E10D4D">
        <w:t>,</w:t>
      </w:r>
      <w:r w:rsidR="007F076D">
        <w:t xml:space="preserve"> CPU change</w:t>
      </w:r>
      <w:r w:rsidR="006B6501">
        <w:t xml:space="preserve"> or GPU change) as time evolves.</w:t>
      </w:r>
    </w:p>
    <w:p w14:paraId="183CB844" w14:textId="6C75CF6F" w:rsidR="002710B2" w:rsidRDefault="002710B2" w:rsidP="002710B2">
      <w:pPr>
        <w:jc w:val="both"/>
      </w:pPr>
    </w:p>
    <w:p w14:paraId="7EA3C124" w14:textId="77777777" w:rsidR="002710B2" w:rsidRDefault="002710B2" w:rsidP="002710B2">
      <w:pPr>
        <w:jc w:val="both"/>
      </w:pPr>
    </w:p>
    <w:p w14:paraId="3C0B6613" w14:textId="6313F31F" w:rsidR="00963C7A" w:rsidRPr="00A43F9F" w:rsidRDefault="00963C7A" w:rsidP="002710B2">
      <w:pPr>
        <w:jc w:val="both"/>
        <w:rPr>
          <w:u w:val="single"/>
        </w:rPr>
      </w:pPr>
      <w:r w:rsidRPr="00A43F9F">
        <w:rPr>
          <w:u w:val="single"/>
        </w:rPr>
        <w:t>Standard Node Configurations</w:t>
      </w:r>
      <w:r w:rsidR="00943002">
        <w:rPr>
          <w:u w:val="single"/>
        </w:rPr>
        <w:t xml:space="preserve"> for new purchase</w:t>
      </w:r>
      <w:r w:rsidRPr="00A43F9F">
        <w:rPr>
          <w:u w:val="single"/>
        </w:rPr>
        <w:t xml:space="preserve"> (Valid for Calendar Year </w:t>
      </w:r>
      <w:r w:rsidR="003C77FF">
        <w:rPr>
          <w:u w:val="single"/>
        </w:rPr>
        <w:t>2024</w:t>
      </w:r>
      <w:r w:rsidRPr="00A43F9F">
        <w:rPr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6382"/>
        <w:gridCol w:w="1705"/>
      </w:tblGrid>
      <w:tr w:rsidR="00991C59" w14:paraId="5F00DE38" w14:textId="77777777" w:rsidTr="00BF7248">
        <w:tc>
          <w:tcPr>
            <w:tcW w:w="1255" w:type="dxa"/>
          </w:tcPr>
          <w:p w14:paraId="69A1EBC1" w14:textId="27B7C829" w:rsidR="00991C59" w:rsidRPr="00A43F9F" w:rsidRDefault="00991C59" w:rsidP="001062CD">
            <w:pPr>
              <w:rPr>
                <w:b/>
                <w:bCs/>
              </w:rPr>
            </w:pPr>
            <w:r w:rsidRPr="00A43F9F">
              <w:rPr>
                <w:b/>
                <w:bCs/>
              </w:rPr>
              <w:t>Description</w:t>
            </w:r>
          </w:p>
        </w:tc>
        <w:tc>
          <w:tcPr>
            <w:tcW w:w="6390" w:type="dxa"/>
          </w:tcPr>
          <w:p w14:paraId="03DE4A1F" w14:textId="50ED428D" w:rsidR="00991C59" w:rsidRPr="00A43F9F" w:rsidRDefault="00BF7248" w:rsidP="001062CD">
            <w:pPr>
              <w:rPr>
                <w:b/>
                <w:bCs/>
              </w:rPr>
            </w:pPr>
            <w:r w:rsidRPr="00A43F9F">
              <w:rPr>
                <w:b/>
                <w:bCs/>
              </w:rPr>
              <w:t>Brief Specification</w:t>
            </w:r>
          </w:p>
        </w:tc>
        <w:tc>
          <w:tcPr>
            <w:tcW w:w="1705" w:type="dxa"/>
          </w:tcPr>
          <w:p w14:paraId="01CE362C" w14:textId="7E9DAF74" w:rsidR="00991C59" w:rsidRPr="00A43F9F" w:rsidRDefault="00E7107D" w:rsidP="001062CD">
            <w:pPr>
              <w:rPr>
                <w:b/>
                <w:bCs/>
              </w:rPr>
            </w:pPr>
            <w:r w:rsidRPr="00A43F9F">
              <w:rPr>
                <w:b/>
                <w:bCs/>
              </w:rPr>
              <w:t xml:space="preserve">Approximate </w:t>
            </w:r>
            <w:r w:rsidR="00BF7248" w:rsidRPr="00A43F9F">
              <w:rPr>
                <w:b/>
                <w:bCs/>
              </w:rPr>
              <w:t xml:space="preserve">Cost </w:t>
            </w:r>
            <w:r w:rsidR="00371740" w:rsidRPr="00A43F9F">
              <w:rPr>
                <w:b/>
                <w:bCs/>
              </w:rPr>
              <w:t>(pre-tax)</w:t>
            </w:r>
          </w:p>
        </w:tc>
      </w:tr>
      <w:tr w:rsidR="00991C59" w14:paraId="63F42D31" w14:textId="77777777" w:rsidTr="00BF7248">
        <w:tc>
          <w:tcPr>
            <w:tcW w:w="1255" w:type="dxa"/>
          </w:tcPr>
          <w:p w14:paraId="3F59F8F1" w14:textId="0651B695" w:rsidR="00991C59" w:rsidRDefault="00371740" w:rsidP="001062CD">
            <w:r>
              <w:t>CPU Node</w:t>
            </w:r>
          </w:p>
        </w:tc>
        <w:tc>
          <w:tcPr>
            <w:tcW w:w="6390" w:type="dxa"/>
          </w:tcPr>
          <w:p w14:paraId="79B003EC" w14:textId="40B9B389" w:rsidR="00991C59" w:rsidRDefault="00B35D45" w:rsidP="001062CD">
            <w:r>
              <w:t xml:space="preserve">2x Intel </w:t>
            </w:r>
            <w:r w:rsidR="00496C86">
              <w:t xml:space="preserve">6248 </w:t>
            </w:r>
            <w:r w:rsidR="00814ED9">
              <w:t>(</w:t>
            </w:r>
            <w:r w:rsidR="00496C86">
              <w:t xml:space="preserve">24 </w:t>
            </w:r>
            <w:r w:rsidR="00814ED9">
              <w:t>Core, 2.</w:t>
            </w:r>
            <w:r w:rsidR="00215978">
              <w:t>4Ghz</w:t>
            </w:r>
            <w:r w:rsidR="00F2665D">
              <w:t xml:space="preserve">. </w:t>
            </w:r>
            <w:r w:rsidR="00496C86">
              <w:t xml:space="preserve">48 </w:t>
            </w:r>
            <w:r w:rsidR="00F2665D">
              <w:t>cores total</w:t>
            </w:r>
            <w:r w:rsidR="00814ED9">
              <w:t>)</w:t>
            </w:r>
            <w:r w:rsidR="00470760">
              <w:t>, 1</w:t>
            </w:r>
            <w:r w:rsidR="00335A27">
              <w:t xml:space="preserve"> x</w:t>
            </w:r>
            <w:r w:rsidR="00470760">
              <w:t xml:space="preserve"> Infiniband IB (EDR), </w:t>
            </w:r>
            <w:r w:rsidR="00335A27">
              <w:t>2 X</w:t>
            </w:r>
            <w:r w:rsidR="004D1ADE">
              <w:t xml:space="preserve"> 10/25GigE</w:t>
            </w:r>
            <w:r w:rsidR="00335A27">
              <w:t xml:space="preserve"> SFP, </w:t>
            </w:r>
            <w:r w:rsidR="00496C86">
              <w:t xml:space="preserve">1 </w:t>
            </w:r>
            <w:r w:rsidR="00C90D99">
              <w:t xml:space="preserve">x </w:t>
            </w:r>
            <w:r w:rsidR="00496C86">
              <w:t>480</w:t>
            </w:r>
            <w:r w:rsidR="00C90D99">
              <w:t>GB SSD,</w:t>
            </w:r>
            <w:r w:rsidR="00496C86">
              <w:t xml:space="preserve"> 1x1.92TB SSD (scratch),</w:t>
            </w:r>
            <w:r w:rsidR="00C90D99">
              <w:t xml:space="preserve"> 192 GB Memory</w:t>
            </w:r>
            <w:r w:rsidR="00997949">
              <w:t xml:space="preserve">. </w:t>
            </w:r>
            <w:r w:rsidR="00496C86">
              <w:t xml:space="preserve">3 </w:t>
            </w:r>
            <w:r w:rsidR="00997949">
              <w:t>Yr. Warranty</w:t>
            </w:r>
          </w:p>
        </w:tc>
        <w:tc>
          <w:tcPr>
            <w:tcW w:w="1705" w:type="dxa"/>
          </w:tcPr>
          <w:p w14:paraId="709374C9" w14:textId="42D4472E" w:rsidR="00991C59" w:rsidRDefault="00E7107D" w:rsidP="001062CD">
            <w:r>
              <w:t>$</w:t>
            </w:r>
            <w:r w:rsidR="00024F72">
              <w:t>8200</w:t>
            </w:r>
          </w:p>
        </w:tc>
      </w:tr>
      <w:tr w:rsidR="00991C59" w14:paraId="440018F3" w14:textId="77777777" w:rsidTr="00BF7248">
        <w:tc>
          <w:tcPr>
            <w:tcW w:w="1255" w:type="dxa"/>
          </w:tcPr>
          <w:p w14:paraId="2976997A" w14:textId="136CE228" w:rsidR="00991C59" w:rsidRDefault="00024F72" w:rsidP="001062CD">
            <w:r>
              <w:t>GPU Node</w:t>
            </w:r>
          </w:p>
        </w:tc>
        <w:tc>
          <w:tcPr>
            <w:tcW w:w="6390" w:type="dxa"/>
          </w:tcPr>
          <w:p w14:paraId="45EAADA5" w14:textId="62291FA5" w:rsidR="00991C59" w:rsidRDefault="00024F72" w:rsidP="001062CD">
            <w:r>
              <w:t xml:space="preserve">Same as CPU Node + </w:t>
            </w:r>
            <w:r w:rsidR="00DB7169">
              <w:t xml:space="preserve">4 x Nvidia </w:t>
            </w:r>
            <w:r w:rsidR="00496C86">
              <w:t xml:space="preserve">A100 </w:t>
            </w:r>
            <w:r w:rsidR="00DB7169">
              <w:t xml:space="preserve">GPU with </w:t>
            </w:r>
            <w:r w:rsidR="00496C86">
              <w:t xml:space="preserve">32GB </w:t>
            </w:r>
            <w:r w:rsidR="00DB7169">
              <w:t>of High-bandwidth Memory</w:t>
            </w:r>
          </w:p>
        </w:tc>
        <w:tc>
          <w:tcPr>
            <w:tcW w:w="1705" w:type="dxa"/>
          </w:tcPr>
          <w:p w14:paraId="571461FD" w14:textId="5EAFE5D7" w:rsidR="00991C59" w:rsidRDefault="00B5285D" w:rsidP="001062CD">
            <w:r>
              <w:t>$</w:t>
            </w:r>
            <w:r w:rsidR="00496C86">
              <w:t>55000</w:t>
            </w:r>
          </w:p>
        </w:tc>
      </w:tr>
      <w:tr w:rsidR="00991C59" w14:paraId="7991E7A1" w14:textId="77777777" w:rsidTr="00BF7248">
        <w:tc>
          <w:tcPr>
            <w:tcW w:w="1255" w:type="dxa"/>
          </w:tcPr>
          <w:p w14:paraId="52CA0DA6" w14:textId="2344A887" w:rsidR="00991C59" w:rsidRDefault="000C446A" w:rsidP="001062CD">
            <w:r>
              <w:t>384GB</w:t>
            </w:r>
          </w:p>
        </w:tc>
        <w:tc>
          <w:tcPr>
            <w:tcW w:w="6390" w:type="dxa"/>
          </w:tcPr>
          <w:p w14:paraId="2C7A7E4F" w14:textId="771C4665" w:rsidR="00991C59" w:rsidRDefault="00915D20" w:rsidP="001062CD">
            <w:r>
              <w:t>Expand Memory from 192GB to 384GB</w:t>
            </w:r>
          </w:p>
        </w:tc>
        <w:tc>
          <w:tcPr>
            <w:tcW w:w="1705" w:type="dxa"/>
          </w:tcPr>
          <w:p w14:paraId="724C70D7" w14:textId="1D114E56" w:rsidR="00991C59" w:rsidRDefault="000339A6" w:rsidP="001062CD">
            <w:r>
              <w:t>$</w:t>
            </w:r>
            <w:r w:rsidR="00496C86">
              <w:t>2500</w:t>
            </w:r>
          </w:p>
        </w:tc>
      </w:tr>
      <w:tr w:rsidR="00991C59" w14:paraId="6785181D" w14:textId="77777777" w:rsidTr="00BF7248">
        <w:tc>
          <w:tcPr>
            <w:tcW w:w="1255" w:type="dxa"/>
          </w:tcPr>
          <w:p w14:paraId="6D7011AF" w14:textId="5509503F" w:rsidR="00991C59" w:rsidRDefault="00997949" w:rsidP="001062CD">
            <w:r>
              <w:t>768GB</w:t>
            </w:r>
          </w:p>
        </w:tc>
        <w:tc>
          <w:tcPr>
            <w:tcW w:w="6390" w:type="dxa"/>
          </w:tcPr>
          <w:p w14:paraId="7F634CB3" w14:textId="4646D5AD" w:rsidR="00991C59" w:rsidRDefault="00997949" w:rsidP="001062CD">
            <w:r>
              <w:t>Expand Memory from 192GB to 768GB</w:t>
            </w:r>
          </w:p>
        </w:tc>
        <w:tc>
          <w:tcPr>
            <w:tcW w:w="1705" w:type="dxa"/>
          </w:tcPr>
          <w:p w14:paraId="1F825F0C" w14:textId="3BF6FBEE" w:rsidR="00991C59" w:rsidRDefault="0003716F" w:rsidP="001062CD">
            <w:r>
              <w:t>$</w:t>
            </w:r>
            <w:r w:rsidR="00496C86">
              <w:t>6500</w:t>
            </w:r>
          </w:p>
        </w:tc>
      </w:tr>
      <w:tr w:rsidR="00991C59" w14:paraId="58418626" w14:textId="77777777" w:rsidTr="00BF7248">
        <w:tc>
          <w:tcPr>
            <w:tcW w:w="1255" w:type="dxa"/>
          </w:tcPr>
          <w:p w14:paraId="77FAF8AF" w14:textId="438BEEF7" w:rsidR="00991C59" w:rsidRDefault="0073663E" w:rsidP="001062CD">
            <w:r>
              <w:t>CPU Warranty</w:t>
            </w:r>
          </w:p>
        </w:tc>
        <w:tc>
          <w:tcPr>
            <w:tcW w:w="6390" w:type="dxa"/>
          </w:tcPr>
          <w:p w14:paraId="72233DD8" w14:textId="777C2EE0" w:rsidR="00991C59" w:rsidRDefault="0073663E" w:rsidP="001062CD">
            <w:r>
              <w:t>Extend Warranty on CPU node from 3 years to 5 years</w:t>
            </w:r>
          </w:p>
        </w:tc>
        <w:tc>
          <w:tcPr>
            <w:tcW w:w="1705" w:type="dxa"/>
          </w:tcPr>
          <w:p w14:paraId="4D087371" w14:textId="1C3325F0" w:rsidR="00991C59" w:rsidRDefault="000F0ED2" w:rsidP="001062CD">
            <w:r>
              <w:t>$500</w:t>
            </w:r>
          </w:p>
        </w:tc>
      </w:tr>
      <w:tr w:rsidR="00997949" w14:paraId="5160B503" w14:textId="77777777" w:rsidTr="00BF7248">
        <w:tc>
          <w:tcPr>
            <w:tcW w:w="1255" w:type="dxa"/>
          </w:tcPr>
          <w:p w14:paraId="07C4C6A2" w14:textId="38DC0368" w:rsidR="00997949" w:rsidRDefault="006D4F14" w:rsidP="001062CD">
            <w:r>
              <w:t>GPU Warranty</w:t>
            </w:r>
          </w:p>
        </w:tc>
        <w:tc>
          <w:tcPr>
            <w:tcW w:w="6390" w:type="dxa"/>
          </w:tcPr>
          <w:p w14:paraId="2304E6D5" w14:textId="6A0389A9" w:rsidR="00997949" w:rsidRDefault="006D4F14" w:rsidP="001062CD">
            <w:r>
              <w:t xml:space="preserve">Extend Warranty on GPU node from </w:t>
            </w:r>
            <w:r w:rsidR="00A43F9F">
              <w:t>3 years to 4 years</w:t>
            </w:r>
          </w:p>
        </w:tc>
        <w:tc>
          <w:tcPr>
            <w:tcW w:w="1705" w:type="dxa"/>
          </w:tcPr>
          <w:p w14:paraId="0E1832C7" w14:textId="2B744E47" w:rsidR="00997949" w:rsidRDefault="00496C86" w:rsidP="00CB0B40">
            <w:pPr>
              <w:keepNext/>
            </w:pPr>
            <w:r>
              <w:t>$1500</w:t>
            </w:r>
          </w:p>
        </w:tc>
      </w:tr>
    </w:tbl>
    <w:p w14:paraId="02E034F4" w14:textId="699E01DC" w:rsidR="00963C7A" w:rsidRDefault="00CB0B40" w:rsidP="00CB0B40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Approximate cost of CPU/GPU nodes for equipment purchase.</w:t>
      </w:r>
      <w:r w:rsidR="003F580F">
        <w:t xml:space="preserve"> These are standard configurations</w:t>
      </w:r>
      <w:r w:rsidR="00F2665D">
        <w:t xml:space="preserve">. </w:t>
      </w:r>
    </w:p>
    <w:p w14:paraId="32485BEF" w14:textId="77777777" w:rsidR="009A3D9D" w:rsidRDefault="00DF0405" w:rsidP="001062CD">
      <w:r>
        <w:t>The following table summarizes costs and time-commitments</w:t>
      </w:r>
      <w:r w:rsidR="004614A6">
        <w:t xml:space="preserve"> for all services.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960"/>
        <w:gridCol w:w="2340"/>
        <w:gridCol w:w="1705"/>
      </w:tblGrid>
      <w:tr w:rsidR="009A3D9D" w14:paraId="0C62A7CC" w14:textId="77777777" w:rsidTr="002F5816">
        <w:tc>
          <w:tcPr>
            <w:tcW w:w="1345" w:type="dxa"/>
          </w:tcPr>
          <w:p w14:paraId="25AA1C6F" w14:textId="38B87D12" w:rsidR="009A3D9D" w:rsidRPr="00C50141" w:rsidRDefault="00BE53AD" w:rsidP="001062CD">
            <w:pPr>
              <w:rPr>
                <w:b/>
                <w:bCs/>
              </w:rPr>
            </w:pPr>
            <w:r w:rsidRPr="00C50141">
              <w:rPr>
                <w:b/>
                <w:bCs/>
              </w:rPr>
              <w:t>Item</w:t>
            </w:r>
          </w:p>
        </w:tc>
        <w:tc>
          <w:tcPr>
            <w:tcW w:w="3960" w:type="dxa"/>
          </w:tcPr>
          <w:p w14:paraId="0A1191C3" w14:textId="0B25225B" w:rsidR="009A3D9D" w:rsidRPr="00C50141" w:rsidRDefault="00BE53AD" w:rsidP="001062CD">
            <w:pPr>
              <w:rPr>
                <w:b/>
                <w:bCs/>
              </w:rPr>
            </w:pPr>
            <w:r w:rsidRPr="00C50141">
              <w:rPr>
                <w:b/>
                <w:bCs/>
              </w:rPr>
              <w:t>Brief Description</w:t>
            </w:r>
          </w:p>
        </w:tc>
        <w:tc>
          <w:tcPr>
            <w:tcW w:w="2340" w:type="dxa"/>
          </w:tcPr>
          <w:p w14:paraId="5F11AB99" w14:textId="6BC2C33A" w:rsidR="009A3D9D" w:rsidRPr="00C50141" w:rsidRDefault="00BE53AD" w:rsidP="001062CD">
            <w:pPr>
              <w:rPr>
                <w:b/>
                <w:bCs/>
              </w:rPr>
            </w:pPr>
            <w:r w:rsidRPr="00C50141">
              <w:rPr>
                <w:b/>
                <w:bCs/>
              </w:rPr>
              <w:t>Time Commitment</w:t>
            </w:r>
          </w:p>
        </w:tc>
        <w:tc>
          <w:tcPr>
            <w:tcW w:w="1705" w:type="dxa"/>
          </w:tcPr>
          <w:p w14:paraId="43F0EA8B" w14:textId="70861B77" w:rsidR="009A3D9D" w:rsidRPr="00C50141" w:rsidRDefault="002F5816" w:rsidP="001062CD">
            <w:pPr>
              <w:rPr>
                <w:b/>
                <w:bCs/>
              </w:rPr>
            </w:pPr>
            <w:r w:rsidRPr="00C50141">
              <w:rPr>
                <w:b/>
                <w:bCs/>
              </w:rPr>
              <w:t xml:space="preserve">Cost </w:t>
            </w:r>
          </w:p>
        </w:tc>
      </w:tr>
      <w:tr w:rsidR="009A3D9D" w14:paraId="4122914A" w14:textId="77777777" w:rsidTr="002F5816">
        <w:tc>
          <w:tcPr>
            <w:tcW w:w="1345" w:type="dxa"/>
          </w:tcPr>
          <w:p w14:paraId="3FCBF3A8" w14:textId="496FA2B4" w:rsidR="009A3D9D" w:rsidRDefault="00873EA1" w:rsidP="001062CD">
            <w:r>
              <w:t>Condo Node Racking</w:t>
            </w:r>
          </w:p>
        </w:tc>
        <w:tc>
          <w:tcPr>
            <w:tcW w:w="3960" w:type="dxa"/>
          </w:tcPr>
          <w:p w14:paraId="0E4F56DD" w14:textId="58FFD36B" w:rsidR="009A3D9D" w:rsidRDefault="00514894" w:rsidP="001062CD">
            <w:r>
              <w:t>Racking a condo node into HP</w:t>
            </w:r>
            <w:r w:rsidR="00081A63">
              <w:t>C3</w:t>
            </w:r>
            <w:r w:rsidR="005E20FC">
              <w:t xml:space="preserve">.  </w:t>
            </w:r>
            <w:r w:rsidR="00A02D0C">
              <w:t>RCIC purchases switch ports, cables from this fee</w:t>
            </w:r>
          </w:p>
        </w:tc>
        <w:tc>
          <w:tcPr>
            <w:tcW w:w="2340" w:type="dxa"/>
          </w:tcPr>
          <w:p w14:paraId="14C4262B" w14:textId="28B0B7A5" w:rsidR="009A3D9D" w:rsidRDefault="007043C5" w:rsidP="001062CD">
            <w:r>
              <w:t>Once (per node)</w:t>
            </w:r>
          </w:p>
        </w:tc>
        <w:tc>
          <w:tcPr>
            <w:tcW w:w="1705" w:type="dxa"/>
          </w:tcPr>
          <w:p w14:paraId="43F8F6D8" w14:textId="1206DA7E" w:rsidR="009A3D9D" w:rsidRDefault="007043C5" w:rsidP="001062CD">
            <w:r>
              <w:t>$1000</w:t>
            </w:r>
          </w:p>
        </w:tc>
      </w:tr>
      <w:tr w:rsidR="009A3D9D" w14:paraId="56B19D69" w14:textId="77777777" w:rsidTr="002F5816">
        <w:tc>
          <w:tcPr>
            <w:tcW w:w="1345" w:type="dxa"/>
          </w:tcPr>
          <w:p w14:paraId="662C8F09" w14:textId="6F42EDC3" w:rsidR="009A3D9D" w:rsidRDefault="00D8791C" w:rsidP="001062CD">
            <w:r>
              <w:t xml:space="preserve">CPU </w:t>
            </w:r>
            <w:r w:rsidR="0068745E">
              <w:t>Core-Hour</w:t>
            </w:r>
          </w:p>
        </w:tc>
        <w:tc>
          <w:tcPr>
            <w:tcW w:w="3960" w:type="dxa"/>
          </w:tcPr>
          <w:p w14:paraId="56782D3A" w14:textId="4A8443D5" w:rsidR="009A3D9D" w:rsidRDefault="00B8676D" w:rsidP="001062CD">
            <w:r>
              <w:t>Cost to purchase a core-hour of computing</w:t>
            </w:r>
            <w:r w:rsidR="00CD5229">
              <w:t xml:space="preserve"> from RCIC-purchased hardware</w:t>
            </w:r>
          </w:p>
        </w:tc>
        <w:tc>
          <w:tcPr>
            <w:tcW w:w="2340" w:type="dxa"/>
          </w:tcPr>
          <w:p w14:paraId="1DEDB53B" w14:textId="77777777" w:rsidR="009A3D9D" w:rsidRDefault="008E6CB4" w:rsidP="001062CD">
            <w:r>
              <w:t>Expires after 1 Year.</w:t>
            </w:r>
          </w:p>
          <w:p w14:paraId="5B6BE58E" w14:textId="07AFDEE2" w:rsidR="008E6CB4" w:rsidRDefault="008E6CB4" w:rsidP="001062CD">
            <w:r>
              <w:t>Minimum Purchase</w:t>
            </w:r>
            <w:r w:rsidR="004A0287">
              <w:t xml:space="preserve">: </w:t>
            </w:r>
            <w:r w:rsidR="0046270A">
              <w:t>10000 core hours</w:t>
            </w:r>
          </w:p>
        </w:tc>
        <w:tc>
          <w:tcPr>
            <w:tcW w:w="1705" w:type="dxa"/>
          </w:tcPr>
          <w:p w14:paraId="55527078" w14:textId="0D2BA644" w:rsidR="009A3D9D" w:rsidRDefault="0046270A" w:rsidP="001062CD">
            <w:r>
              <w:t>$0.01</w:t>
            </w:r>
            <w:r w:rsidR="006826F9">
              <w:t>/ Core-hour</w:t>
            </w:r>
          </w:p>
        </w:tc>
      </w:tr>
      <w:tr w:rsidR="009A3D9D" w14:paraId="4C3E0CB8" w14:textId="77777777" w:rsidTr="002F5816">
        <w:tc>
          <w:tcPr>
            <w:tcW w:w="1345" w:type="dxa"/>
          </w:tcPr>
          <w:p w14:paraId="76F09B9C" w14:textId="733BC03F" w:rsidR="009A3D9D" w:rsidRDefault="003B3247" w:rsidP="001062CD">
            <w:r>
              <w:t>GPU Hour</w:t>
            </w:r>
          </w:p>
        </w:tc>
        <w:tc>
          <w:tcPr>
            <w:tcW w:w="3960" w:type="dxa"/>
          </w:tcPr>
          <w:p w14:paraId="078EA10B" w14:textId="73DE08C9" w:rsidR="009A3D9D" w:rsidRDefault="003B3247" w:rsidP="001062CD">
            <w:r>
              <w:t xml:space="preserve">Cost to purchase a GPU hour </w:t>
            </w:r>
            <w:r w:rsidR="006F17A7">
              <w:t>from RCIC-purchased hardware</w:t>
            </w:r>
          </w:p>
        </w:tc>
        <w:tc>
          <w:tcPr>
            <w:tcW w:w="2340" w:type="dxa"/>
          </w:tcPr>
          <w:p w14:paraId="05C4CFBB" w14:textId="44BD58C9" w:rsidR="009A3D9D" w:rsidRDefault="006F17A7" w:rsidP="001062CD">
            <w:r>
              <w:t>Expires after 1 Year. Minimum Purchase:</w:t>
            </w:r>
            <w:r w:rsidR="0014171B">
              <w:t xml:space="preserve"> </w:t>
            </w:r>
            <w:r w:rsidR="00317665">
              <w:t>500</w:t>
            </w:r>
            <w:r w:rsidR="0014171B">
              <w:t xml:space="preserve"> GPU Hours</w:t>
            </w:r>
          </w:p>
        </w:tc>
        <w:tc>
          <w:tcPr>
            <w:tcW w:w="1705" w:type="dxa"/>
          </w:tcPr>
          <w:p w14:paraId="6A61FD44" w14:textId="5E963925" w:rsidR="009A3D9D" w:rsidRDefault="00317665" w:rsidP="001062CD">
            <w:r>
              <w:t>$0.</w:t>
            </w:r>
            <w:r w:rsidR="00496C86">
              <w:t>32</w:t>
            </w:r>
            <w:r>
              <w:t>/GPU-Hour</w:t>
            </w:r>
          </w:p>
        </w:tc>
      </w:tr>
      <w:tr w:rsidR="009A3D9D" w14:paraId="4B425140" w14:textId="77777777" w:rsidTr="002F5816">
        <w:tc>
          <w:tcPr>
            <w:tcW w:w="1345" w:type="dxa"/>
          </w:tcPr>
          <w:p w14:paraId="037AC1B8" w14:textId="60C222BC" w:rsidR="009A3D9D" w:rsidRDefault="00EC3D91" w:rsidP="001062CD">
            <w:r>
              <w:t>1 TB DFS</w:t>
            </w:r>
          </w:p>
        </w:tc>
        <w:tc>
          <w:tcPr>
            <w:tcW w:w="3960" w:type="dxa"/>
          </w:tcPr>
          <w:p w14:paraId="17665F47" w14:textId="5DE72538" w:rsidR="009A3D9D" w:rsidRDefault="00EC3D91" w:rsidP="001062CD">
            <w:r>
              <w:t xml:space="preserve">1 Terabyte of quota </w:t>
            </w:r>
            <w:r w:rsidR="00BC2CA2">
              <w:t>on a DFS system. Single copy of data</w:t>
            </w:r>
            <w:r w:rsidR="00CF39A7">
              <w:t>. Accessible only from the clusters</w:t>
            </w:r>
          </w:p>
        </w:tc>
        <w:tc>
          <w:tcPr>
            <w:tcW w:w="2340" w:type="dxa"/>
          </w:tcPr>
          <w:p w14:paraId="4D61D972" w14:textId="13713F78" w:rsidR="009A3D9D" w:rsidRDefault="00882BDC" w:rsidP="001062CD">
            <w:r>
              <w:t>5 years</w:t>
            </w:r>
          </w:p>
        </w:tc>
        <w:tc>
          <w:tcPr>
            <w:tcW w:w="1705" w:type="dxa"/>
          </w:tcPr>
          <w:p w14:paraId="3DDFBC29" w14:textId="570F6A3F" w:rsidR="009A3D9D" w:rsidRDefault="00882BDC" w:rsidP="001062CD">
            <w:r>
              <w:t>$100/TB/5 years</w:t>
            </w:r>
          </w:p>
        </w:tc>
      </w:tr>
      <w:tr w:rsidR="007B73B7" w14:paraId="6D2F6107" w14:textId="77777777" w:rsidTr="002F5816">
        <w:tc>
          <w:tcPr>
            <w:tcW w:w="1345" w:type="dxa"/>
          </w:tcPr>
          <w:p w14:paraId="0AF32108" w14:textId="5C652026" w:rsidR="007B73B7" w:rsidRDefault="007B73B7" w:rsidP="001062CD">
            <w:r>
              <w:t>1 TB CRSP</w:t>
            </w:r>
          </w:p>
        </w:tc>
        <w:tc>
          <w:tcPr>
            <w:tcW w:w="3960" w:type="dxa"/>
          </w:tcPr>
          <w:p w14:paraId="2C46F6CA" w14:textId="128237D9" w:rsidR="007B73B7" w:rsidRDefault="007B73B7" w:rsidP="001062CD">
            <w:r>
              <w:t xml:space="preserve">1 Terabyte of quota on CRSP. </w:t>
            </w:r>
            <w:r w:rsidR="00CB0B40">
              <w:t>Dual copies of data. Accessible from Devices on UCI net and the clusters</w:t>
            </w:r>
          </w:p>
        </w:tc>
        <w:tc>
          <w:tcPr>
            <w:tcW w:w="2340" w:type="dxa"/>
          </w:tcPr>
          <w:p w14:paraId="397676C7" w14:textId="78321BAA" w:rsidR="007B73B7" w:rsidRDefault="00CB0B40" w:rsidP="001062CD">
            <w:r>
              <w:t>1 year</w:t>
            </w:r>
          </w:p>
        </w:tc>
        <w:tc>
          <w:tcPr>
            <w:tcW w:w="1705" w:type="dxa"/>
          </w:tcPr>
          <w:p w14:paraId="10B79081" w14:textId="670F01F7" w:rsidR="007B73B7" w:rsidRDefault="00CB0B40" w:rsidP="00CB0B40">
            <w:pPr>
              <w:keepNext/>
            </w:pPr>
            <w:r>
              <w:t>$60/TB/year</w:t>
            </w:r>
          </w:p>
        </w:tc>
      </w:tr>
    </w:tbl>
    <w:p w14:paraId="1682B5CB" w14:textId="0AE922E0" w:rsidR="00D74D81" w:rsidRPr="00ED5B7E" w:rsidRDefault="00CB0B40" w:rsidP="00A52280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Costs of Services Supported by RCIC</w:t>
      </w:r>
    </w:p>
    <w:sectPr w:rsidR="00D74D81" w:rsidRPr="00ED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47ED6"/>
    <w:multiLevelType w:val="hybridMultilevel"/>
    <w:tmpl w:val="41F4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2C42"/>
    <w:multiLevelType w:val="hybridMultilevel"/>
    <w:tmpl w:val="3AC4EB6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2133479182">
    <w:abstractNumId w:val="0"/>
  </w:num>
  <w:num w:numId="2" w16cid:durableId="78492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71"/>
    <w:rsid w:val="00024F72"/>
    <w:rsid w:val="000339A6"/>
    <w:rsid w:val="0003716F"/>
    <w:rsid w:val="000813C0"/>
    <w:rsid w:val="00081A63"/>
    <w:rsid w:val="000A6BD4"/>
    <w:rsid w:val="000C03F6"/>
    <w:rsid w:val="000C446A"/>
    <w:rsid w:val="000C5766"/>
    <w:rsid w:val="000E7D5F"/>
    <w:rsid w:val="000F0ED2"/>
    <w:rsid w:val="000F4C1E"/>
    <w:rsid w:val="001062CD"/>
    <w:rsid w:val="001160C1"/>
    <w:rsid w:val="00137A3C"/>
    <w:rsid w:val="0014171B"/>
    <w:rsid w:val="00152DAD"/>
    <w:rsid w:val="001A7985"/>
    <w:rsid w:val="001C5D24"/>
    <w:rsid w:val="001C6A8D"/>
    <w:rsid w:val="001E039E"/>
    <w:rsid w:val="001F5838"/>
    <w:rsid w:val="00215978"/>
    <w:rsid w:val="00225F4E"/>
    <w:rsid w:val="00230AE1"/>
    <w:rsid w:val="0023641F"/>
    <w:rsid w:val="00243541"/>
    <w:rsid w:val="002547DF"/>
    <w:rsid w:val="002710B2"/>
    <w:rsid w:val="00282064"/>
    <w:rsid w:val="002903C5"/>
    <w:rsid w:val="002F5816"/>
    <w:rsid w:val="00317665"/>
    <w:rsid w:val="00335A27"/>
    <w:rsid w:val="00371740"/>
    <w:rsid w:val="00377913"/>
    <w:rsid w:val="003B3247"/>
    <w:rsid w:val="003C77FF"/>
    <w:rsid w:val="003D485D"/>
    <w:rsid w:val="003D4B32"/>
    <w:rsid w:val="003F580F"/>
    <w:rsid w:val="00404210"/>
    <w:rsid w:val="00411236"/>
    <w:rsid w:val="00422212"/>
    <w:rsid w:val="00444096"/>
    <w:rsid w:val="004614A6"/>
    <w:rsid w:val="0046270A"/>
    <w:rsid w:val="00470760"/>
    <w:rsid w:val="00496C86"/>
    <w:rsid w:val="004A0287"/>
    <w:rsid w:val="004A3C01"/>
    <w:rsid w:val="004B7925"/>
    <w:rsid w:val="004C1993"/>
    <w:rsid w:val="004D1ADE"/>
    <w:rsid w:val="00510434"/>
    <w:rsid w:val="00514894"/>
    <w:rsid w:val="00527848"/>
    <w:rsid w:val="00534AB2"/>
    <w:rsid w:val="005E1DF1"/>
    <w:rsid w:val="005E20FC"/>
    <w:rsid w:val="00600CBE"/>
    <w:rsid w:val="0062334A"/>
    <w:rsid w:val="006447A4"/>
    <w:rsid w:val="00650A31"/>
    <w:rsid w:val="00660895"/>
    <w:rsid w:val="006636C8"/>
    <w:rsid w:val="006826F9"/>
    <w:rsid w:val="0068534A"/>
    <w:rsid w:val="0068745E"/>
    <w:rsid w:val="00692E56"/>
    <w:rsid w:val="006B6501"/>
    <w:rsid w:val="006D2EFE"/>
    <w:rsid w:val="006D4F14"/>
    <w:rsid w:val="006F17A7"/>
    <w:rsid w:val="007043C5"/>
    <w:rsid w:val="00706B41"/>
    <w:rsid w:val="00713529"/>
    <w:rsid w:val="00714B63"/>
    <w:rsid w:val="0073663E"/>
    <w:rsid w:val="00737829"/>
    <w:rsid w:val="00750A74"/>
    <w:rsid w:val="00761BEA"/>
    <w:rsid w:val="007755C9"/>
    <w:rsid w:val="007B73B7"/>
    <w:rsid w:val="007E096C"/>
    <w:rsid w:val="007F076D"/>
    <w:rsid w:val="00814ED9"/>
    <w:rsid w:val="00873EA1"/>
    <w:rsid w:val="00875E21"/>
    <w:rsid w:val="00882BDC"/>
    <w:rsid w:val="008B5543"/>
    <w:rsid w:val="008E6CB4"/>
    <w:rsid w:val="00915D20"/>
    <w:rsid w:val="00925CF1"/>
    <w:rsid w:val="0093146A"/>
    <w:rsid w:val="00941D02"/>
    <w:rsid w:val="00943002"/>
    <w:rsid w:val="00963C7A"/>
    <w:rsid w:val="00991C59"/>
    <w:rsid w:val="00997949"/>
    <w:rsid w:val="009A3D9D"/>
    <w:rsid w:val="009B31D9"/>
    <w:rsid w:val="009C45B2"/>
    <w:rsid w:val="009F675D"/>
    <w:rsid w:val="00A017D5"/>
    <w:rsid w:val="00A02D0C"/>
    <w:rsid w:val="00A0459E"/>
    <w:rsid w:val="00A36C0B"/>
    <w:rsid w:val="00A43F9F"/>
    <w:rsid w:val="00A52280"/>
    <w:rsid w:val="00A95BA7"/>
    <w:rsid w:val="00AA720E"/>
    <w:rsid w:val="00AB1A0C"/>
    <w:rsid w:val="00B001EB"/>
    <w:rsid w:val="00B17D25"/>
    <w:rsid w:val="00B30F67"/>
    <w:rsid w:val="00B33B71"/>
    <w:rsid w:val="00B35D45"/>
    <w:rsid w:val="00B5285D"/>
    <w:rsid w:val="00B8676D"/>
    <w:rsid w:val="00BC2CA2"/>
    <w:rsid w:val="00BD1F4E"/>
    <w:rsid w:val="00BD3FE1"/>
    <w:rsid w:val="00BD5FA6"/>
    <w:rsid w:val="00BE53AD"/>
    <w:rsid w:val="00BE74AC"/>
    <w:rsid w:val="00BF7248"/>
    <w:rsid w:val="00C25D52"/>
    <w:rsid w:val="00C41015"/>
    <w:rsid w:val="00C50141"/>
    <w:rsid w:val="00C87308"/>
    <w:rsid w:val="00C90D99"/>
    <w:rsid w:val="00CA7600"/>
    <w:rsid w:val="00CB0B40"/>
    <w:rsid w:val="00CC34CF"/>
    <w:rsid w:val="00CD5229"/>
    <w:rsid w:val="00CE1C20"/>
    <w:rsid w:val="00CF39A7"/>
    <w:rsid w:val="00D31439"/>
    <w:rsid w:val="00D378AD"/>
    <w:rsid w:val="00D37D7A"/>
    <w:rsid w:val="00D638CE"/>
    <w:rsid w:val="00D74D81"/>
    <w:rsid w:val="00D8194F"/>
    <w:rsid w:val="00D8791C"/>
    <w:rsid w:val="00D933AE"/>
    <w:rsid w:val="00DB7169"/>
    <w:rsid w:val="00DF0405"/>
    <w:rsid w:val="00DF0FBD"/>
    <w:rsid w:val="00E02125"/>
    <w:rsid w:val="00E02699"/>
    <w:rsid w:val="00E10D4D"/>
    <w:rsid w:val="00E1289A"/>
    <w:rsid w:val="00E13145"/>
    <w:rsid w:val="00E17CC8"/>
    <w:rsid w:val="00E23DF2"/>
    <w:rsid w:val="00E57552"/>
    <w:rsid w:val="00E7107D"/>
    <w:rsid w:val="00E905A2"/>
    <w:rsid w:val="00EB44CA"/>
    <w:rsid w:val="00EC146E"/>
    <w:rsid w:val="00EC3D91"/>
    <w:rsid w:val="00ED5B7E"/>
    <w:rsid w:val="00EE2771"/>
    <w:rsid w:val="00F13BAE"/>
    <w:rsid w:val="00F2665D"/>
    <w:rsid w:val="00F812F3"/>
    <w:rsid w:val="00FA24FF"/>
    <w:rsid w:val="00FB58B2"/>
    <w:rsid w:val="00FD6473"/>
    <w:rsid w:val="00FD663D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D897"/>
  <w15:chartTrackingRefBased/>
  <w15:docId w15:val="{E68C0812-27BE-4C32-B1FB-5ACF01B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71"/>
    <w:pPr>
      <w:ind w:left="720"/>
      <w:contextualSpacing/>
    </w:pPr>
  </w:style>
  <w:style w:type="table" w:styleId="TableGrid">
    <w:name w:val="Table Grid"/>
    <w:basedOn w:val="TableNormal"/>
    <w:uiPriority w:val="39"/>
    <w:rsid w:val="0099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0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A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E00F4CC97F84E930ABA35593AE4AC" ma:contentTypeVersion="10" ma:contentTypeDescription="Create a new document." ma:contentTypeScope="" ma:versionID="9321466dc8c8300864cdb7e23c06e063">
  <xsd:schema xmlns:xsd="http://www.w3.org/2001/XMLSchema" xmlns:xs="http://www.w3.org/2001/XMLSchema" xmlns:p="http://schemas.microsoft.com/office/2006/metadata/properties" xmlns:ns3="4a676207-d079-469a-bebe-5965f6448461" xmlns:ns4="a1deca3c-0d50-4bd1-b314-aee8fcb188ab" targetNamespace="http://schemas.microsoft.com/office/2006/metadata/properties" ma:root="true" ma:fieldsID="6259e5b3c9e1a19127717b84ece0e100" ns3:_="" ns4:_="">
    <xsd:import namespace="4a676207-d079-469a-bebe-5965f6448461"/>
    <xsd:import namespace="a1deca3c-0d50-4bd1-b314-aee8fcb18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76207-d079-469a-bebe-5965f6448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eca3c-0d50-4bd1-b314-aee8fcb18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433EC-B26A-491B-ADC9-3DC383EE4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76207-d079-469a-bebe-5965f6448461"/>
    <ds:schemaRef ds:uri="a1deca3c-0d50-4bd1-b314-aee8fcb18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8B015-5AAC-6847-87FC-7D47458C09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9F14FA-F65F-4EB7-9A6B-6B97FCB72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8CA2C-1726-42A9-9414-01F7F5BE7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Papadopoulos</dc:creator>
  <cp:keywords/>
  <dc:description/>
  <cp:lastModifiedBy>Nadya P Williams</cp:lastModifiedBy>
  <cp:revision>40</cp:revision>
  <dcterms:created xsi:type="dcterms:W3CDTF">2021-06-15T21:30:00Z</dcterms:created>
  <dcterms:modified xsi:type="dcterms:W3CDTF">2024-10-29T19:30:00Z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0x010100FA0E00F4CC97F84E930ABA35593AE4AC</vt:lpwstr>
  </property>
</Properties>
</file>