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816C" w14:textId="47BCE989" w:rsidR="006D3BD4" w:rsidRDefault="001F7C97" w:rsidP="001F7C97">
      <w:pPr>
        <w:pStyle w:val="Heading1"/>
        <w:rPr>
          <w:lang w:val="en-US"/>
        </w:rPr>
      </w:pPr>
      <w:r>
        <w:rPr>
          <w:lang w:val="en-US"/>
        </w:rPr>
        <w:t>Data Wrangling</w:t>
      </w:r>
      <w:r w:rsidR="002A2518">
        <w:rPr>
          <w:lang w:val="en-US"/>
        </w:rPr>
        <w:t xml:space="preserve"> and analysis</w:t>
      </w:r>
      <w:r>
        <w:rPr>
          <w:lang w:val="en-US"/>
        </w:rPr>
        <w:t xml:space="preserve"> Methods</w:t>
      </w:r>
    </w:p>
    <w:p w14:paraId="08E875EE" w14:textId="2C3F6C3D" w:rsidR="001F7C97" w:rsidRDefault="002A2518" w:rsidP="001F7C97">
      <w:pPr>
        <w:rPr>
          <w:lang w:val="en-US"/>
        </w:rPr>
      </w:pPr>
      <w:r>
        <w:rPr>
          <w:lang w:val="en-US"/>
        </w:rPr>
        <w:t>The primary method of data wrangling used was the pruning of unnecessary information from the dataset to isolate the data that was the most pertinent to analyze</w:t>
      </w:r>
      <w:r w:rsidR="00B1292E">
        <w:rPr>
          <w:lang w:val="en-US"/>
        </w:rPr>
        <w:t xml:space="preserve"> then restructuring the data to make it easier to process in Python</w:t>
      </w:r>
      <w:r>
        <w:rPr>
          <w:lang w:val="en-US"/>
        </w:rPr>
        <w:t>. Analysis was primarily done using bar charts to determine trends within the data.</w:t>
      </w:r>
    </w:p>
    <w:p w14:paraId="7DCB29C0" w14:textId="398C50E9" w:rsidR="001F7C97" w:rsidRDefault="001F7C97" w:rsidP="001F7C97">
      <w:pPr>
        <w:pStyle w:val="Heading1"/>
        <w:rPr>
          <w:lang w:val="en-US"/>
        </w:rPr>
      </w:pPr>
      <w:r>
        <w:rPr>
          <w:lang w:val="en-US"/>
        </w:rPr>
        <w:t>Key Results</w:t>
      </w:r>
    </w:p>
    <w:p w14:paraId="5708CABE" w14:textId="159BED91" w:rsidR="001F7C97" w:rsidRDefault="00426987" w:rsidP="001F7C97">
      <w:pPr>
        <w:rPr>
          <w:lang w:val="en-US"/>
        </w:rPr>
      </w:pPr>
      <w:r>
        <w:rPr>
          <w:noProof/>
        </w:rPr>
        <w:drawing>
          <wp:inline distT="0" distB="0" distL="0" distR="0" wp14:anchorId="2E1621F6" wp14:editId="4F83FCD3">
            <wp:extent cx="2846764" cy="213743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30" cy="217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F592C5" wp14:editId="76B9E5A1">
            <wp:extent cx="2856016" cy="2143201"/>
            <wp:effectExtent l="0" t="0" r="190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2" cy="21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B264" w14:textId="2E335DB2" w:rsidR="002A2518" w:rsidRDefault="000A70DC" w:rsidP="000A70DC">
      <w:pPr>
        <w:rPr>
          <w:lang w:val="en-US"/>
        </w:rPr>
      </w:pPr>
      <w:r>
        <w:rPr>
          <w:lang w:val="en-US"/>
        </w:rPr>
        <w:t>The analysis of the data provided by the AIHW focusing on the relation between SEIFA index and number of consumers that received clinical care was visualized using a bar chart as can be seen in Figure</w:t>
      </w:r>
      <w:r w:rsidRPr="000A70DC">
        <w:rPr>
          <w:color w:val="FF0000"/>
          <w:lang w:val="en-US"/>
        </w:rPr>
        <w:t xml:space="preserve"> X</w:t>
      </w:r>
      <w:r>
        <w:rPr>
          <w:lang w:val="en-US"/>
        </w:rPr>
        <w:t>. This shows that there is a clear trend where</w:t>
      </w:r>
      <w:r w:rsidR="009C27C1">
        <w:rPr>
          <w:lang w:val="en-US"/>
        </w:rPr>
        <w:t xml:space="preserve"> people</w:t>
      </w:r>
      <w:r>
        <w:rPr>
          <w:lang w:val="en-US"/>
        </w:rPr>
        <w:t xml:space="preserve"> who </w:t>
      </w:r>
      <w:r w:rsidR="00B5133C">
        <w:rPr>
          <w:lang w:val="en-US"/>
        </w:rPr>
        <w:t xml:space="preserve">come from heavily socio-economically disadvantaged areas as indicated by </w:t>
      </w:r>
      <w:r w:rsidR="009C27C1">
        <w:rPr>
          <w:lang w:val="en-US"/>
        </w:rPr>
        <w:t>q</w:t>
      </w:r>
      <w:r w:rsidR="00B5133C">
        <w:rPr>
          <w:lang w:val="en-US"/>
        </w:rPr>
        <w:t>uintile</w:t>
      </w:r>
      <w:r w:rsidR="009C27C1">
        <w:rPr>
          <w:lang w:val="en-US"/>
        </w:rPr>
        <w:t>s</w:t>
      </w:r>
      <w:r w:rsidR="00B5133C">
        <w:rPr>
          <w:lang w:val="en-US"/>
        </w:rPr>
        <w:t xml:space="preserve"> 1 and 2 generally have more cases of receiving mental healthcare than those who come from less disadvantaged areas</w:t>
      </w:r>
      <w:r w:rsidR="009C27C1">
        <w:rPr>
          <w:lang w:val="en-US"/>
        </w:rPr>
        <w:t xml:space="preserve">, indicated as quintiles 4 and 5. </w:t>
      </w:r>
      <w:r w:rsidR="00426987">
        <w:rPr>
          <w:lang w:val="en-US"/>
        </w:rPr>
        <w:t xml:space="preserve">When compared to Figure </w:t>
      </w:r>
      <w:r w:rsidR="00426987">
        <w:rPr>
          <w:color w:val="FF0000"/>
          <w:lang w:val="en-US"/>
        </w:rPr>
        <w:t xml:space="preserve">X </w:t>
      </w:r>
      <w:r w:rsidR="00426987">
        <w:rPr>
          <w:lang w:val="en-US"/>
        </w:rPr>
        <w:t>showing the regular population in each quintile, this shows that proportionally more cases occur in these heavily disadvantaged areas.</w:t>
      </w:r>
      <w:r w:rsidR="009C27C1">
        <w:rPr>
          <w:lang w:val="en-US"/>
        </w:rPr>
        <w:t xml:space="preserve"> Additionally, within each quintile there is also a visible increase in the number of cases over the three-year period of 2016-2019 where data is available. </w:t>
      </w:r>
      <w:r w:rsidR="00B1292E">
        <w:rPr>
          <w:lang w:val="en-US"/>
        </w:rPr>
        <w:t>This could potentially come from a natural increase in cases due to several factors such as population growth</w:t>
      </w:r>
      <w:r w:rsidR="007D04CE">
        <w:rPr>
          <w:lang w:val="en-US"/>
        </w:rPr>
        <w:t xml:space="preserve"> or an increase in healthcare accessibility. </w:t>
      </w:r>
    </w:p>
    <w:p w14:paraId="039E4145" w14:textId="0DFCBE46" w:rsidR="007D04CE" w:rsidRDefault="007D04CE" w:rsidP="000A70DC">
      <w:pPr>
        <w:rPr>
          <w:lang w:val="en-US"/>
        </w:rPr>
      </w:pPr>
      <w:r>
        <w:rPr>
          <w:noProof/>
        </w:rPr>
        <w:drawing>
          <wp:inline distT="0" distB="0" distL="0" distR="0" wp14:anchorId="23D045E8" wp14:editId="2CD092DE">
            <wp:extent cx="2707574" cy="2029331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50" cy="207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388">
        <w:rPr>
          <w:noProof/>
        </w:rPr>
        <w:drawing>
          <wp:inline distT="0" distB="0" distL="0" distR="0" wp14:anchorId="341C42E5" wp14:editId="4400264F">
            <wp:extent cx="2748270" cy="2059832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60" cy="20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F87D" w14:textId="3DCB7E33" w:rsidR="007D04CE" w:rsidRPr="000A70DC" w:rsidRDefault="007D04CE" w:rsidP="000A70DC">
      <w:pPr>
        <w:rPr>
          <w:lang w:val="en-US"/>
        </w:rPr>
      </w:pPr>
      <w:r>
        <w:rPr>
          <w:lang w:val="en-US"/>
        </w:rPr>
        <w:t xml:space="preserve">Looking more closely at Victoria, the population distribution is heavily weighted towards less disadvantaged </w:t>
      </w:r>
      <w:r w:rsidR="005639D2">
        <w:rPr>
          <w:lang w:val="en-US"/>
        </w:rPr>
        <w:t xml:space="preserve">areas and when comparing this to the number of service contacts within each SEIFA quintile, </w:t>
      </w:r>
      <w:r w:rsidR="00DE2EF8">
        <w:rPr>
          <w:lang w:val="en-US"/>
        </w:rPr>
        <w:t>the</w:t>
      </w:r>
      <w:r w:rsidR="005639D2">
        <w:rPr>
          <w:lang w:val="en-US"/>
        </w:rPr>
        <w:t xml:space="preserve"> trend demonstrated in the previous bar charts where more disadvantaged </w:t>
      </w:r>
      <w:r w:rsidR="00CF440A">
        <w:rPr>
          <w:lang w:val="en-US"/>
        </w:rPr>
        <w:t>areas have higher numbers of people suffering from mental health conditions is still represented in Victoria</w:t>
      </w:r>
      <w:r w:rsidR="00DE2EF8">
        <w:rPr>
          <w:lang w:val="en-US"/>
        </w:rPr>
        <w:t xml:space="preserve">. The number of service contacts show that despite there being a much lower proportion of the Victorian </w:t>
      </w:r>
      <w:r w:rsidR="00DE2EF8">
        <w:rPr>
          <w:lang w:val="en-US"/>
        </w:rPr>
        <w:lastRenderedPageBreak/>
        <w:t xml:space="preserve">population coming from these heavily disadvantaged areas, there is still a higher rate of mental health conditions occurring </w:t>
      </w:r>
      <w:r w:rsidR="007431AD">
        <w:rPr>
          <w:lang w:val="en-US"/>
        </w:rPr>
        <w:t>within them</w:t>
      </w:r>
      <w:r w:rsidR="003240CB">
        <w:rPr>
          <w:lang w:val="en-US"/>
        </w:rPr>
        <w:t>.</w:t>
      </w:r>
    </w:p>
    <w:p w14:paraId="25652873" w14:textId="39943ED1" w:rsidR="001F7C97" w:rsidRDefault="001F7C97" w:rsidP="001F7C97">
      <w:pPr>
        <w:pStyle w:val="Heading1"/>
        <w:rPr>
          <w:lang w:val="en-US"/>
        </w:rPr>
      </w:pPr>
      <w:r>
        <w:rPr>
          <w:lang w:val="en-US"/>
        </w:rPr>
        <w:t>Significance and Value</w:t>
      </w:r>
    </w:p>
    <w:p w14:paraId="073ABDC2" w14:textId="093E427B" w:rsidR="001F7C97" w:rsidRDefault="003240CB" w:rsidP="001F7C97">
      <w:pPr>
        <w:rPr>
          <w:lang w:val="en-US"/>
        </w:rPr>
      </w:pPr>
      <w:r>
        <w:rPr>
          <w:lang w:val="en-US"/>
        </w:rPr>
        <w:t xml:space="preserve">The trends </w:t>
      </w:r>
      <w:r w:rsidR="00F167AF">
        <w:rPr>
          <w:lang w:val="en-US"/>
        </w:rPr>
        <w:t>shown via analysis of the data</w:t>
      </w:r>
      <w:r w:rsidR="00DD4D53">
        <w:rPr>
          <w:lang w:val="en-US"/>
        </w:rPr>
        <w:t xml:space="preserve"> </w:t>
      </w:r>
      <w:r w:rsidR="002D3D19">
        <w:rPr>
          <w:lang w:val="en-US"/>
        </w:rPr>
        <w:t xml:space="preserve">relating an area’s SEIFA index with numbers of people seeking mental healthcare and mental healthcare </w:t>
      </w:r>
      <w:r w:rsidR="00A47A52">
        <w:rPr>
          <w:lang w:val="en-US"/>
        </w:rPr>
        <w:t xml:space="preserve">related contacts demonstrates the significant impact of how factors such as low incomes, low levels of education and </w:t>
      </w:r>
      <w:r w:rsidR="00EC76F5">
        <w:rPr>
          <w:lang w:val="en-US"/>
        </w:rPr>
        <w:t>other sources of socio-economic disadvantage</w:t>
      </w:r>
      <w:r w:rsidR="004356D9">
        <w:rPr>
          <w:lang w:val="en-US"/>
        </w:rPr>
        <w:t xml:space="preserve">. These results, in combination </w:t>
      </w:r>
      <w:r w:rsidR="00AA3CC3">
        <w:rPr>
          <w:lang w:val="en-US"/>
        </w:rPr>
        <w:t>with</w:t>
      </w:r>
      <w:r w:rsidR="00FE7862">
        <w:rPr>
          <w:lang w:val="en-US"/>
        </w:rPr>
        <w:t xml:space="preserve"> </w:t>
      </w:r>
      <w:r w:rsidR="0071024F">
        <w:rPr>
          <w:lang w:val="en-US"/>
        </w:rPr>
        <w:t xml:space="preserve">data about an area’s SEIFA index can help to pinpoint areas where there needs to be </w:t>
      </w:r>
      <w:r w:rsidR="00873A62">
        <w:rPr>
          <w:lang w:val="en-US"/>
        </w:rPr>
        <w:t>better support for those who are part of these vulnerable populations</w:t>
      </w:r>
      <w:r w:rsidR="004874F6">
        <w:rPr>
          <w:lang w:val="en-US"/>
        </w:rPr>
        <w:t xml:space="preserve">. This could include improving infrastructure to provide better accessibility for mental healthcare services or other similar programs to help support </w:t>
      </w:r>
      <w:r w:rsidR="00E54967">
        <w:rPr>
          <w:lang w:val="en-US"/>
        </w:rPr>
        <w:t xml:space="preserve">those coming from heavily disadvantaged areas. </w:t>
      </w:r>
    </w:p>
    <w:p w14:paraId="39660245" w14:textId="4C14A147" w:rsidR="001F7C97" w:rsidRDefault="001F7C97" w:rsidP="001F7C97">
      <w:pPr>
        <w:pStyle w:val="Heading1"/>
        <w:rPr>
          <w:lang w:val="en-US"/>
        </w:rPr>
      </w:pPr>
      <w:r>
        <w:rPr>
          <w:lang w:val="en-US"/>
        </w:rPr>
        <w:t>Limitations and improvements</w:t>
      </w:r>
    </w:p>
    <w:p w14:paraId="4E7BF5B0" w14:textId="36537E29" w:rsidR="002A2518" w:rsidRDefault="000322DC" w:rsidP="002A2518">
      <w:pPr>
        <w:rPr>
          <w:lang w:val="en-US"/>
        </w:rPr>
      </w:pPr>
      <w:r>
        <w:rPr>
          <w:lang w:val="en-US"/>
        </w:rPr>
        <w:t xml:space="preserve">The major limitation encountered was the lack of available data regarding </w:t>
      </w:r>
      <w:r w:rsidR="005858F9">
        <w:rPr>
          <w:lang w:val="en-US"/>
        </w:rPr>
        <w:t xml:space="preserve">the number of people using mental healthcare services in each SEIFA quintile, </w:t>
      </w:r>
      <w:r w:rsidR="00CA3BEA">
        <w:rPr>
          <w:lang w:val="en-US"/>
        </w:rPr>
        <w:t xml:space="preserve">as currently </w:t>
      </w:r>
      <w:r w:rsidR="00D7703E">
        <w:rPr>
          <w:lang w:val="en-US"/>
        </w:rPr>
        <w:t>there is only data available over a three year period from 2016-2019</w:t>
      </w:r>
      <w:r w:rsidR="004B38EE">
        <w:rPr>
          <w:lang w:val="en-US"/>
        </w:rPr>
        <w:t xml:space="preserve"> </w:t>
      </w:r>
      <w:r w:rsidR="00D1663C">
        <w:rPr>
          <w:lang w:val="en-US"/>
        </w:rPr>
        <w:t xml:space="preserve">and </w:t>
      </w:r>
      <w:r w:rsidR="00477F9F">
        <w:rPr>
          <w:lang w:val="en-US"/>
        </w:rPr>
        <w:t xml:space="preserve">as the SEIFA index uses information collected from the census </w:t>
      </w:r>
      <w:r w:rsidR="007B0977">
        <w:rPr>
          <w:lang w:val="en-US"/>
        </w:rPr>
        <w:t xml:space="preserve">conducted every five years, the </w:t>
      </w:r>
      <w:r w:rsidR="00A26B2C">
        <w:rPr>
          <w:lang w:val="en-US"/>
        </w:rPr>
        <w:t xml:space="preserve">time discrepancy between the data used and the SEIFA index’s calculations could </w:t>
      </w:r>
      <w:r w:rsidR="00CD735E">
        <w:rPr>
          <w:lang w:val="en-US"/>
        </w:rPr>
        <w:t xml:space="preserve">mean that there might be some level of inaccuracy between the population within those areas </w:t>
      </w:r>
      <w:r w:rsidR="001E3BDE">
        <w:rPr>
          <w:lang w:val="en-US"/>
        </w:rPr>
        <w:t xml:space="preserve">calculated to be within some SEIFA index. </w:t>
      </w:r>
    </w:p>
    <w:p w14:paraId="37ECA349" w14:textId="0CE0AEE6" w:rsidR="002A2518" w:rsidRDefault="002A2518" w:rsidP="002A2518">
      <w:pPr>
        <w:pStyle w:val="Heading1"/>
        <w:rPr>
          <w:lang w:val="en-US"/>
        </w:rPr>
      </w:pPr>
      <w:r>
        <w:rPr>
          <w:lang w:val="en-US"/>
        </w:rPr>
        <w:t>Datasets and Linkage</w:t>
      </w:r>
    </w:p>
    <w:p w14:paraId="22A25CE9" w14:textId="129886EC" w:rsidR="007D04CE" w:rsidRPr="007D04CE" w:rsidRDefault="00766F60" w:rsidP="007D04CE">
      <w:pPr>
        <w:rPr>
          <w:lang w:val="en-US"/>
        </w:rPr>
      </w:pPr>
      <w:r>
        <w:rPr>
          <w:lang w:val="en-US"/>
        </w:rPr>
        <w:t xml:space="preserve">The main datasets used were </w:t>
      </w:r>
      <w:r w:rsidR="00A113E5">
        <w:rPr>
          <w:lang w:val="en-US"/>
        </w:rPr>
        <w:t xml:space="preserve">the Consumer Outcomes in Mental Health Care, the SEIFA IRSD index and the </w:t>
      </w:r>
      <w:r w:rsidR="00334D39">
        <w:rPr>
          <w:lang w:val="en-US"/>
        </w:rPr>
        <w:t xml:space="preserve">Community mental healthcare service contacts which were used to determine the </w:t>
      </w:r>
      <w:r w:rsidR="001A4021">
        <w:rPr>
          <w:lang w:val="en-US"/>
        </w:rPr>
        <w:t xml:space="preserve">trends regarding </w:t>
      </w:r>
      <w:r w:rsidR="00F102D6">
        <w:rPr>
          <w:lang w:val="en-US"/>
        </w:rPr>
        <w:t xml:space="preserve">how </w:t>
      </w:r>
      <w:r w:rsidR="00DE7FDB">
        <w:rPr>
          <w:lang w:val="en-US"/>
        </w:rPr>
        <w:t xml:space="preserve">factors contributing to disadvantaged populations, as indicated by the SEIFA index, affects the rate of mental health conditions occurring within a population. </w:t>
      </w:r>
      <w:r w:rsidR="00A104D7">
        <w:rPr>
          <w:lang w:val="en-US"/>
        </w:rPr>
        <w:t xml:space="preserve">The </w:t>
      </w:r>
      <w:r w:rsidR="008F21B8">
        <w:rPr>
          <w:lang w:val="en-US"/>
        </w:rPr>
        <w:t xml:space="preserve">distribution of the population living within the various SEIFA quintiles </w:t>
      </w:r>
      <w:r w:rsidR="00B951A1">
        <w:rPr>
          <w:lang w:val="en-US"/>
        </w:rPr>
        <w:t xml:space="preserve">was acquired from the SEIFA dataset and </w:t>
      </w:r>
      <w:r w:rsidR="008033AC">
        <w:rPr>
          <w:lang w:val="en-US"/>
        </w:rPr>
        <w:t xml:space="preserve">assisted in the analysis of how </w:t>
      </w:r>
      <w:r w:rsidR="00135C1C">
        <w:rPr>
          <w:lang w:val="en-US"/>
        </w:rPr>
        <w:t>most</w:t>
      </w:r>
      <w:r w:rsidR="003E0A9F">
        <w:rPr>
          <w:lang w:val="en-US"/>
        </w:rPr>
        <w:t xml:space="preserve"> mental healthcare services were provided to those who came from these most disadvantaged areas. </w:t>
      </w:r>
      <w:r w:rsidR="00135C1C">
        <w:rPr>
          <w:lang w:val="en-US"/>
        </w:rPr>
        <w:t xml:space="preserve">Additionally, the more specific analysis of Victoria was enabled using the SEIFA dataset and </w:t>
      </w:r>
      <w:r w:rsidR="00437207">
        <w:rPr>
          <w:lang w:val="en-US"/>
        </w:rPr>
        <w:t xml:space="preserve">the measurement of mental healthcare service contacts to show </w:t>
      </w:r>
      <w:r w:rsidR="00EE44A2">
        <w:rPr>
          <w:lang w:val="en-US"/>
        </w:rPr>
        <w:t>the</w:t>
      </w:r>
      <w:r w:rsidR="004136DD">
        <w:rPr>
          <w:lang w:val="en-US"/>
        </w:rPr>
        <w:t xml:space="preserve"> connection between low SEIFA index ratings and </w:t>
      </w:r>
      <w:r w:rsidR="00F70A67">
        <w:rPr>
          <w:lang w:val="en-US"/>
        </w:rPr>
        <w:t>rates of mental health conditions.</w:t>
      </w:r>
    </w:p>
    <w:sectPr w:rsidR="007D04CE" w:rsidRPr="007D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7"/>
    <w:rsid w:val="000119F2"/>
    <w:rsid w:val="000322DC"/>
    <w:rsid w:val="00080FA4"/>
    <w:rsid w:val="000A70DC"/>
    <w:rsid w:val="000C0D51"/>
    <w:rsid w:val="000F49D8"/>
    <w:rsid w:val="00104528"/>
    <w:rsid w:val="00135C1C"/>
    <w:rsid w:val="00162356"/>
    <w:rsid w:val="0019055B"/>
    <w:rsid w:val="001A4021"/>
    <w:rsid w:val="001E3BDE"/>
    <w:rsid w:val="001F7C97"/>
    <w:rsid w:val="002A2518"/>
    <w:rsid w:val="002D3D19"/>
    <w:rsid w:val="003240CB"/>
    <w:rsid w:val="003252B1"/>
    <w:rsid w:val="00334D39"/>
    <w:rsid w:val="003732FE"/>
    <w:rsid w:val="003E0A9F"/>
    <w:rsid w:val="004112F8"/>
    <w:rsid w:val="00412871"/>
    <w:rsid w:val="004136DD"/>
    <w:rsid w:val="00426987"/>
    <w:rsid w:val="004356D9"/>
    <w:rsid w:val="00437207"/>
    <w:rsid w:val="00477F9F"/>
    <w:rsid w:val="004874F6"/>
    <w:rsid w:val="004B38EE"/>
    <w:rsid w:val="004D0489"/>
    <w:rsid w:val="00517D29"/>
    <w:rsid w:val="005639D2"/>
    <w:rsid w:val="005858F9"/>
    <w:rsid w:val="006C14C8"/>
    <w:rsid w:val="0071024F"/>
    <w:rsid w:val="007431AD"/>
    <w:rsid w:val="00766F60"/>
    <w:rsid w:val="007B0977"/>
    <w:rsid w:val="007D04CE"/>
    <w:rsid w:val="007D6D61"/>
    <w:rsid w:val="008033AC"/>
    <w:rsid w:val="00832D3C"/>
    <w:rsid w:val="00873A62"/>
    <w:rsid w:val="008F21B8"/>
    <w:rsid w:val="0099448B"/>
    <w:rsid w:val="009968E1"/>
    <w:rsid w:val="009C09DF"/>
    <w:rsid w:val="009C27C1"/>
    <w:rsid w:val="00A03D0C"/>
    <w:rsid w:val="00A104D7"/>
    <w:rsid w:val="00A113E5"/>
    <w:rsid w:val="00A2241C"/>
    <w:rsid w:val="00A26B2C"/>
    <w:rsid w:val="00A47A52"/>
    <w:rsid w:val="00AA3CC3"/>
    <w:rsid w:val="00AD2388"/>
    <w:rsid w:val="00AE2F9D"/>
    <w:rsid w:val="00B01BB8"/>
    <w:rsid w:val="00B1292E"/>
    <w:rsid w:val="00B5133C"/>
    <w:rsid w:val="00B951A1"/>
    <w:rsid w:val="00C937D5"/>
    <w:rsid w:val="00CA3BEA"/>
    <w:rsid w:val="00CD735E"/>
    <w:rsid w:val="00CF440A"/>
    <w:rsid w:val="00D1663C"/>
    <w:rsid w:val="00D7703E"/>
    <w:rsid w:val="00DD4D53"/>
    <w:rsid w:val="00DE2EF8"/>
    <w:rsid w:val="00DE7FDB"/>
    <w:rsid w:val="00E54967"/>
    <w:rsid w:val="00EC76F5"/>
    <w:rsid w:val="00EE44A2"/>
    <w:rsid w:val="00F102D6"/>
    <w:rsid w:val="00F167AF"/>
    <w:rsid w:val="00F70A67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A14C"/>
  <w15:chartTrackingRefBased/>
  <w15:docId w15:val="{746D3D42-C820-4396-B70B-FAFA18B4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Wong</dc:creator>
  <cp:keywords/>
  <dc:description/>
  <cp:lastModifiedBy>JJ Wong</cp:lastModifiedBy>
  <cp:revision>2</cp:revision>
  <dcterms:created xsi:type="dcterms:W3CDTF">2021-10-11T07:03:00Z</dcterms:created>
  <dcterms:modified xsi:type="dcterms:W3CDTF">2021-10-11T07:03:00Z</dcterms:modified>
</cp:coreProperties>
</file>