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24B" w:rsidRDefault="008C0706">
      <w:r>
        <w:t xml:space="preserve">Student: </w:t>
      </w:r>
      <w:r w:rsidR="00FB4C79">
        <w:tab/>
      </w:r>
      <w:r w:rsidR="00FB4C79">
        <w:tab/>
      </w:r>
      <w:r>
        <w:t>Rick Korkmaz</w:t>
      </w:r>
    </w:p>
    <w:p w:rsidR="008C0706" w:rsidRDefault="008C0706">
      <w:r>
        <w:t xml:space="preserve">Studentnummer: </w:t>
      </w:r>
      <w:r w:rsidR="00FB4C79">
        <w:tab/>
      </w:r>
      <w:r>
        <w:t>530248</w:t>
      </w:r>
    </w:p>
    <w:p w:rsidR="008C0706" w:rsidRDefault="008C0706"/>
    <w:p w:rsidR="008C0706" w:rsidRDefault="008C0706">
      <w:r>
        <w:t>Hierbij mijn uitwerking van de ICSS-Compiler. De code is als zip bijlage toegevoegd</w:t>
      </w:r>
      <w:bookmarkStart w:id="0" w:name="_GoBack"/>
      <w:bookmarkEnd w:id="0"/>
      <w:r>
        <w:t>.</w:t>
      </w:r>
      <w:r w:rsidR="00FB4C79">
        <w:t xml:space="preserve"> </w:t>
      </w:r>
      <w:r>
        <w:t>Hieronder vindt u de lijst met producteisen</w:t>
      </w:r>
      <w:r w:rsidR="00E25C3D">
        <w:t xml:space="preserve">. In de meest rechter kolom staat welke onderdeel ik gerealiseerd heb. </w:t>
      </w:r>
      <w:r w:rsidR="00FB4C79">
        <w:t>Vrijwel alle</w:t>
      </w:r>
      <w:r w:rsidR="00E25C3D">
        <w:t xml:space="preserve"> onderdelen zijn gerealiseerd</w:t>
      </w:r>
      <w:r w:rsidR="00FB4C79">
        <w:t xml:space="preserve"> met uitzondering van een eigen uitbreiding.</w:t>
      </w:r>
    </w:p>
    <w:p w:rsidR="00E25C3D" w:rsidRDefault="00E25C3D"/>
    <w:tbl>
      <w:tblPr>
        <w:tblStyle w:val="TableGridLight"/>
        <w:tblW w:w="0" w:type="auto"/>
        <w:tblLook w:val="04A0" w:firstRow="1" w:lastRow="0" w:firstColumn="1" w:lastColumn="0" w:noHBand="0" w:noVBand="1"/>
      </w:tblPr>
      <w:tblGrid>
        <w:gridCol w:w="1149"/>
        <w:gridCol w:w="6893"/>
        <w:gridCol w:w="968"/>
      </w:tblGrid>
      <w:tr w:rsidR="00E25C3D" w:rsidRPr="00E25C3D" w:rsidTr="00FB4C79">
        <w:tc>
          <w:tcPr>
            <w:tcW w:w="1149" w:type="dxa"/>
          </w:tcPr>
          <w:p w:rsidR="00E25C3D" w:rsidRPr="00E25C3D" w:rsidRDefault="00E25C3D">
            <w:pPr>
              <w:rPr>
                <w:b/>
                <w:bCs/>
                <w:sz w:val="21"/>
                <w:szCs w:val="21"/>
              </w:rPr>
            </w:pPr>
            <w:r w:rsidRPr="00E25C3D">
              <w:rPr>
                <w:b/>
                <w:bCs/>
                <w:sz w:val="21"/>
                <w:szCs w:val="21"/>
              </w:rPr>
              <w:t>ID</w:t>
            </w:r>
          </w:p>
        </w:tc>
        <w:tc>
          <w:tcPr>
            <w:tcW w:w="7351" w:type="dxa"/>
          </w:tcPr>
          <w:p w:rsidR="00E25C3D" w:rsidRPr="00E25C3D" w:rsidRDefault="00E25C3D">
            <w:pPr>
              <w:rPr>
                <w:b/>
                <w:bCs/>
                <w:sz w:val="21"/>
                <w:szCs w:val="21"/>
              </w:rPr>
            </w:pPr>
            <w:r w:rsidRPr="00E25C3D">
              <w:rPr>
                <w:b/>
                <w:bCs/>
                <w:sz w:val="21"/>
                <w:szCs w:val="21"/>
              </w:rPr>
              <w:t>Omschrijving</w:t>
            </w:r>
          </w:p>
        </w:tc>
        <w:tc>
          <w:tcPr>
            <w:tcW w:w="510" w:type="dxa"/>
          </w:tcPr>
          <w:p w:rsidR="00E25C3D" w:rsidRPr="00E25C3D" w:rsidRDefault="00E25C3D">
            <w:pPr>
              <w:rPr>
                <w:b/>
                <w:bCs/>
                <w:sz w:val="21"/>
                <w:szCs w:val="21"/>
              </w:rPr>
            </w:pPr>
            <w:r w:rsidRPr="00E25C3D">
              <w:rPr>
                <w:b/>
                <w:bCs/>
                <w:sz w:val="21"/>
                <w:szCs w:val="21"/>
              </w:rPr>
              <w:t>Voltooid</w:t>
            </w:r>
          </w:p>
        </w:tc>
      </w:tr>
      <w:tr w:rsidR="00E25C3D" w:rsidRPr="00E25C3D" w:rsidTr="00FB4C79">
        <w:tc>
          <w:tcPr>
            <w:tcW w:w="1149" w:type="dxa"/>
          </w:tcPr>
          <w:p w:rsidR="00E25C3D" w:rsidRPr="00E25C3D" w:rsidRDefault="00E25C3D">
            <w:pPr>
              <w:rPr>
                <w:sz w:val="21"/>
                <w:szCs w:val="21"/>
              </w:rPr>
            </w:pPr>
            <w:r w:rsidRPr="00E25C3D">
              <w:rPr>
                <w:sz w:val="21"/>
                <w:szCs w:val="21"/>
              </w:rPr>
              <w:t>AL01</w:t>
            </w:r>
          </w:p>
        </w:tc>
        <w:tc>
          <w:tcPr>
            <w:tcW w:w="7351" w:type="dxa"/>
          </w:tcPr>
          <w:p w:rsidR="00E25C3D" w:rsidRPr="00E25C3D" w:rsidRDefault="00E25C3D">
            <w:pPr>
              <w:rPr>
                <w:sz w:val="21"/>
                <w:szCs w:val="21"/>
              </w:rPr>
            </w:pPr>
            <w:r w:rsidRPr="00E25C3D">
              <w:rPr>
                <w:sz w:val="21"/>
                <w:szCs w:val="21"/>
              </w:rPr>
              <w:t>De code behoudt de packagestructuur van de aangeleverde startcode.</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Pr="00E25C3D" w:rsidRDefault="00E25C3D">
            <w:pPr>
              <w:rPr>
                <w:sz w:val="21"/>
                <w:szCs w:val="21"/>
              </w:rPr>
            </w:pPr>
            <w:r w:rsidRPr="00E25C3D">
              <w:rPr>
                <w:sz w:val="21"/>
                <w:szCs w:val="21"/>
              </w:rPr>
              <w:t>AL02</w:t>
            </w:r>
          </w:p>
        </w:tc>
        <w:tc>
          <w:tcPr>
            <w:tcW w:w="7351" w:type="dxa"/>
          </w:tcPr>
          <w:p w:rsidR="00E25C3D" w:rsidRPr="00E25C3D" w:rsidRDefault="00E25C3D">
            <w:pPr>
              <w:rPr>
                <w:sz w:val="21"/>
                <w:szCs w:val="21"/>
              </w:rPr>
            </w:pPr>
            <w:r w:rsidRPr="00E25C3D">
              <w:rPr>
                <w:sz w:val="21"/>
                <w:szCs w:val="21"/>
              </w:rPr>
              <w:t>Alle code compileert en is te bouwen met met Maven.</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Pr="00E25C3D" w:rsidRDefault="00E25C3D">
            <w:pPr>
              <w:rPr>
                <w:sz w:val="21"/>
                <w:szCs w:val="21"/>
              </w:rPr>
            </w:pPr>
            <w:r w:rsidRPr="00E25C3D">
              <w:rPr>
                <w:sz w:val="21"/>
                <w:szCs w:val="21"/>
              </w:rPr>
              <w:t>AL03</w:t>
            </w:r>
          </w:p>
        </w:tc>
        <w:tc>
          <w:tcPr>
            <w:tcW w:w="7351" w:type="dxa"/>
          </w:tcPr>
          <w:p w:rsidR="00E25C3D" w:rsidRPr="00FB4C79" w:rsidRDefault="00E25C3D">
            <w:pPr>
              <w:rPr>
                <w:sz w:val="21"/>
                <w:szCs w:val="21"/>
              </w:rPr>
            </w:pPr>
            <w:r w:rsidRPr="00FB4C79">
              <w:rPr>
                <w:sz w:val="21"/>
                <w:szCs w:val="21"/>
              </w:rPr>
              <w:t>De code is goed geformatteerd, zo nodig voorzien van commentaar, correcte variabelenamen gebruikt, bevat geen onnodig ingewikkelde constructies en is zo onderhoudbaar mogelijk opgesteld. (naar oordeel van docent)</w:t>
            </w:r>
          </w:p>
        </w:tc>
        <w:tc>
          <w:tcPr>
            <w:tcW w:w="510" w:type="dxa"/>
          </w:tcPr>
          <w:p w:rsidR="00E25C3D" w:rsidRPr="00E25C3D" w:rsidRDefault="00E25C3D">
            <w:pPr>
              <w:rPr>
                <w:i/>
                <w:iCs/>
                <w:sz w:val="21"/>
                <w:szCs w:val="21"/>
              </w:rPr>
            </w:pPr>
            <w:r w:rsidRPr="00E25C3D">
              <w:rPr>
                <w:i/>
                <w:iCs/>
                <w:color w:val="7F7F7F" w:themeColor="text1" w:themeTint="80"/>
                <w:sz w:val="21"/>
                <w:szCs w:val="21"/>
              </w:rPr>
              <w:t>n.t.b. door docent</w:t>
            </w:r>
          </w:p>
        </w:tc>
      </w:tr>
      <w:tr w:rsidR="00E25C3D" w:rsidRPr="00E25C3D" w:rsidTr="00FB4C79">
        <w:tc>
          <w:tcPr>
            <w:tcW w:w="1149" w:type="dxa"/>
          </w:tcPr>
          <w:p w:rsidR="00E25C3D" w:rsidRPr="00E25C3D" w:rsidRDefault="00E25C3D">
            <w:pPr>
              <w:rPr>
                <w:sz w:val="21"/>
                <w:szCs w:val="21"/>
              </w:rPr>
            </w:pPr>
            <w:r>
              <w:rPr>
                <w:sz w:val="21"/>
                <w:szCs w:val="21"/>
              </w:rPr>
              <w:t>PA01</w:t>
            </w:r>
          </w:p>
        </w:tc>
        <w:tc>
          <w:tcPr>
            <w:tcW w:w="7351" w:type="dxa"/>
          </w:tcPr>
          <w:p w:rsidR="00E25C3D" w:rsidRPr="00E25C3D" w:rsidRDefault="00E25C3D">
            <w:pPr>
              <w:rPr>
                <w:sz w:val="21"/>
                <w:szCs w:val="21"/>
              </w:rPr>
            </w:pPr>
            <w:r w:rsidRPr="00E25C3D">
              <w:rPr>
                <w:sz w:val="21"/>
                <w:szCs w:val="21"/>
              </w:rPr>
              <w:t>Implementeer een parser plus listener die AST’s kan maken voor ICSS documenten die “eenvoudige opmaak” kan parseren, zoals beschreven in de taalbeschrijving. In level0.icss vind je een voorbeeld van ICSS code die je moet kunnen parseren. testParseLevel0() slaagt.</w:t>
            </w:r>
          </w:p>
        </w:tc>
        <w:tc>
          <w:tcPr>
            <w:tcW w:w="510" w:type="dxa"/>
          </w:tcPr>
          <w:p w:rsidR="00E25C3D" w:rsidRPr="00E25C3D" w:rsidRDefault="00E25C3D">
            <w:pPr>
              <w:rPr>
                <w:sz w:val="21"/>
                <w:szCs w:val="21"/>
              </w:rPr>
            </w:pPr>
            <w:r>
              <w:rPr>
                <w:sz w:val="21"/>
                <w:szCs w:val="21"/>
              </w:rPr>
              <w:t>Ja</w:t>
            </w:r>
          </w:p>
        </w:tc>
      </w:tr>
      <w:tr w:rsidR="00E25C3D" w:rsidRPr="00E25C3D" w:rsidTr="00FB4C79">
        <w:tc>
          <w:tcPr>
            <w:tcW w:w="1149" w:type="dxa"/>
          </w:tcPr>
          <w:p w:rsidR="00E25C3D" w:rsidRPr="00E25C3D" w:rsidRDefault="00E25C3D">
            <w:pPr>
              <w:rPr>
                <w:sz w:val="21"/>
                <w:szCs w:val="21"/>
              </w:rPr>
            </w:pPr>
            <w:r>
              <w:rPr>
                <w:sz w:val="21"/>
                <w:szCs w:val="21"/>
              </w:rPr>
              <w:t>PA02</w:t>
            </w:r>
          </w:p>
        </w:tc>
        <w:tc>
          <w:tcPr>
            <w:tcW w:w="7351" w:type="dxa"/>
          </w:tcPr>
          <w:p w:rsidR="00E25C3D" w:rsidRPr="00E25C3D" w:rsidRDefault="00E25C3D">
            <w:pPr>
              <w:rPr>
                <w:sz w:val="21"/>
                <w:szCs w:val="21"/>
              </w:rPr>
            </w:pPr>
            <w:r w:rsidRPr="00E25C3D">
              <w:rPr>
                <w:sz w:val="21"/>
                <w:szCs w:val="21"/>
              </w:rPr>
              <w:t>Breid je grammatica en listener uit zodat nu ook assignments van variabelen en het gebruik ervan geparseerd kunnen worden. In level1.icss vind je voorbeeldcode die je nu zou moeten kunnen parseren. testParseLevel1() slaagt.</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Pr="00E25C3D" w:rsidRDefault="00E25C3D">
            <w:pPr>
              <w:rPr>
                <w:sz w:val="21"/>
                <w:szCs w:val="21"/>
              </w:rPr>
            </w:pPr>
            <w:r>
              <w:rPr>
                <w:sz w:val="21"/>
                <w:szCs w:val="21"/>
              </w:rPr>
              <w:t>PA03</w:t>
            </w:r>
          </w:p>
        </w:tc>
        <w:tc>
          <w:tcPr>
            <w:tcW w:w="7351" w:type="dxa"/>
          </w:tcPr>
          <w:p w:rsidR="00E25C3D" w:rsidRPr="00E25C3D" w:rsidRDefault="00E25C3D">
            <w:pPr>
              <w:rPr>
                <w:sz w:val="21"/>
                <w:szCs w:val="21"/>
              </w:rPr>
            </w:pPr>
            <w:r w:rsidRPr="00E25C3D">
              <w:rPr>
                <w:sz w:val="21"/>
                <w:szCs w:val="21"/>
              </w:rPr>
              <w:t>Breid je grammatica en listener uit zodat je nu ook optellen en aftrekken en vermenigvuldigen kunt parseren. In level2.icss vind je voorbeeld- code die je nu ook zou moeten kunnen parseren. testParseLevel2() slaagt.</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Pr="00E25C3D" w:rsidRDefault="00E25C3D">
            <w:pPr>
              <w:rPr>
                <w:sz w:val="21"/>
                <w:szCs w:val="21"/>
              </w:rPr>
            </w:pPr>
            <w:r>
              <w:rPr>
                <w:sz w:val="21"/>
                <w:szCs w:val="21"/>
              </w:rPr>
              <w:t>PA04</w:t>
            </w:r>
          </w:p>
        </w:tc>
        <w:tc>
          <w:tcPr>
            <w:tcW w:w="7351" w:type="dxa"/>
          </w:tcPr>
          <w:p w:rsidR="00E25C3D" w:rsidRPr="00E25C3D" w:rsidRDefault="00E25C3D">
            <w:pPr>
              <w:rPr>
                <w:sz w:val="21"/>
                <w:szCs w:val="21"/>
              </w:rPr>
            </w:pPr>
            <w:r w:rsidRPr="00E25C3D">
              <w:rPr>
                <w:sz w:val="21"/>
                <w:szCs w:val="21"/>
              </w:rPr>
              <w:t>Breid je grammatica en listener uit zodat je if-statements aankunt. In level3.icss vind je voorbeeldcode die je nu ook zou moeten kunnen parseren. testParseLevel3() slaagt.</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CH01</w:t>
            </w:r>
          </w:p>
        </w:tc>
        <w:tc>
          <w:tcPr>
            <w:tcW w:w="7351" w:type="dxa"/>
          </w:tcPr>
          <w:p w:rsidR="00E25C3D" w:rsidRPr="00E25C3D" w:rsidRDefault="00E25C3D">
            <w:pPr>
              <w:rPr>
                <w:sz w:val="21"/>
                <w:szCs w:val="21"/>
              </w:rPr>
            </w:pPr>
            <w:r w:rsidRPr="00E25C3D">
              <w:rPr>
                <w:sz w:val="21"/>
                <w:szCs w:val="21"/>
              </w:rPr>
              <w:t>Controleer of er geen variabelen worden gebruikt die niet gedefinieerd zijn.</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CH02</w:t>
            </w:r>
          </w:p>
        </w:tc>
        <w:tc>
          <w:tcPr>
            <w:tcW w:w="7351" w:type="dxa"/>
          </w:tcPr>
          <w:p w:rsidR="00E25C3D" w:rsidRPr="00E25C3D" w:rsidRDefault="00E25C3D">
            <w:pPr>
              <w:rPr>
                <w:sz w:val="21"/>
                <w:szCs w:val="21"/>
              </w:rPr>
            </w:pPr>
            <w:r w:rsidRPr="00E25C3D">
              <w:rPr>
                <w:sz w:val="21"/>
                <w:szCs w:val="21"/>
              </w:rPr>
              <w:t>Controleer of de operanden van de operaties plus en min van gelijk type zijn en dat vermenigvuldigen enkel met scalaire waarden gebeurt. Je mag geen pixels bij percentages optellen bijvoorbeeld.</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CH03</w:t>
            </w:r>
          </w:p>
        </w:tc>
        <w:tc>
          <w:tcPr>
            <w:tcW w:w="7351" w:type="dxa"/>
          </w:tcPr>
          <w:p w:rsidR="00E25C3D" w:rsidRPr="00E25C3D" w:rsidRDefault="00E25C3D">
            <w:pPr>
              <w:rPr>
                <w:sz w:val="21"/>
                <w:szCs w:val="21"/>
              </w:rPr>
            </w:pPr>
            <w:r w:rsidRPr="00E25C3D">
              <w:rPr>
                <w:sz w:val="21"/>
                <w:szCs w:val="21"/>
              </w:rPr>
              <w:t>Controleer of er geen kleuren worden gebruikt in operaties (plus, min en keer).</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CH04</w:t>
            </w:r>
          </w:p>
        </w:tc>
        <w:tc>
          <w:tcPr>
            <w:tcW w:w="7351" w:type="dxa"/>
          </w:tcPr>
          <w:p w:rsidR="00E25C3D" w:rsidRPr="00E25C3D" w:rsidRDefault="00E25C3D">
            <w:pPr>
              <w:rPr>
                <w:sz w:val="21"/>
                <w:szCs w:val="21"/>
              </w:rPr>
            </w:pPr>
            <w:r w:rsidRPr="00E25C3D">
              <w:rPr>
                <w:sz w:val="21"/>
                <w:szCs w:val="21"/>
              </w:rPr>
              <w:t>Controleer of bij CSS-declaraties het type van de value klopt met de property. CSS-declaraties zoals width: #ff0000 of color: 12px zijn natuurlijk onzin.</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CH05</w:t>
            </w:r>
          </w:p>
        </w:tc>
        <w:tc>
          <w:tcPr>
            <w:tcW w:w="7351" w:type="dxa"/>
          </w:tcPr>
          <w:p w:rsidR="00E25C3D" w:rsidRPr="00E25C3D" w:rsidRDefault="00E25C3D">
            <w:pPr>
              <w:rPr>
                <w:sz w:val="21"/>
                <w:szCs w:val="21"/>
              </w:rPr>
            </w:pPr>
            <w:r w:rsidRPr="00E25C3D">
              <w:rPr>
                <w:sz w:val="21"/>
                <w:szCs w:val="21"/>
              </w:rPr>
              <w:t>Controleer of de conditie bij een if-statement van het type boolean is (zowel bij een variabele-referentie als een boolean literal)</w:t>
            </w:r>
          </w:p>
        </w:tc>
        <w:tc>
          <w:tcPr>
            <w:tcW w:w="510" w:type="dxa"/>
          </w:tcPr>
          <w:p w:rsidR="00E25C3D" w:rsidRPr="00E25C3D" w:rsidRDefault="00E25C3D">
            <w:pPr>
              <w:rPr>
                <w:sz w:val="21"/>
                <w:szCs w:val="21"/>
              </w:rPr>
            </w:pPr>
            <w:r w:rsidRPr="00E25C3D">
              <w:rPr>
                <w:sz w:val="21"/>
                <w:szCs w:val="21"/>
              </w:rPr>
              <w:t>Ja</w:t>
            </w:r>
          </w:p>
        </w:tc>
      </w:tr>
      <w:tr w:rsidR="00E25C3D" w:rsidRPr="00E25C3D" w:rsidTr="00FB4C79">
        <w:tc>
          <w:tcPr>
            <w:tcW w:w="1149" w:type="dxa"/>
          </w:tcPr>
          <w:p w:rsidR="00E25C3D" w:rsidRDefault="00E25C3D">
            <w:pPr>
              <w:rPr>
                <w:sz w:val="21"/>
                <w:szCs w:val="21"/>
              </w:rPr>
            </w:pPr>
            <w:r>
              <w:rPr>
                <w:sz w:val="21"/>
                <w:szCs w:val="21"/>
              </w:rPr>
              <w:t>TR01</w:t>
            </w:r>
          </w:p>
        </w:tc>
        <w:tc>
          <w:tcPr>
            <w:tcW w:w="7351" w:type="dxa"/>
          </w:tcPr>
          <w:p w:rsidR="00E25C3D" w:rsidRPr="00E25C3D" w:rsidRDefault="00FB4C79">
            <w:pPr>
              <w:rPr>
                <w:sz w:val="21"/>
                <w:szCs w:val="21"/>
              </w:rPr>
            </w:pPr>
            <w:r w:rsidRPr="00FB4C79">
              <w:rPr>
                <w:sz w:val="21"/>
                <w:szCs w:val="21"/>
              </w:rPr>
              <w:t>Implementeer de EvalExpressions transformatie. Deze transformatie vervangt alle Expression knopen in de AST door een Literal knoop met de berekende waarde.</w:t>
            </w:r>
          </w:p>
        </w:tc>
        <w:tc>
          <w:tcPr>
            <w:tcW w:w="510" w:type="dxa"/>
          </w:tcPr>
          <w:p w:rsidR="00E25C3D" w:rsidRPr="00E25C3D" w:rsidRDefault="00FB4C79">
            <w:pPr>
              <w:rPr>
                <w:sz w:val="21"/>
                <w:szCs w:val="21"/>
              </w:rPr>
            </w:pPr>
            <w:r>
              <w:rPr>
                <w:sz w:val="21"/>
                <w:szCs w:val="21"/>
              </w:rPr>
              <w:t>Ja</w:t>
            </w:r>
          </w:p>
        </w:tc>
      </w:tr>
      <w:tr w:rsidR="00E25C3D" w:rsidRPr="00E25C3D" w:rsidTr="00FB4C79">
        <w:tc>
          <w:tcPr>
            <w:tcW w:w="1149" w:type="dxa"/>
          </w:tcPr>
          <w:p w:rsidR="00E25C3D" w:rsidRDefault="00FB4C79">
            <w:pPr>
              <w:rPr>
                <w:sz w:val="21"/>
                <w:szCs w:val="21"/>
              </w:rPr>
            </w:pPr>
            <w:r>
              <w:rPr>
                <w:sz w:val="21"/>
                <w:szCs w:val="21"/>
              </w:rPr>
              <w:t>TR02</w:t>
            </w:r>
          </w:p>
        </w:tc>
        <w:tc>
          <w:tcPr>
            <w:tcW w:w="7351" w:type="dxa"/>
          </w:tcPr>
          <w:p w:rsidR="00E25C3D" w:rsidRPr="00E25C3D" w:rsidRDefault="00FB4C79">
            <w:pPr>
              <w:rPr>
                <w:sz w:val="21"/>
                <w:szCs w:val="21"/>
              </w:rPr>
            </w:pPr>
            <w:r w:rsidRPr="00FB4C79">
              <w:rPr>
                <w:sz w:val="21"/>
                <w:szCs w:val="21"/>
              </w:rPr>
              <w:t>Implementeer de RemoveIf transformatie. Deze transformatie verwijdert alle IfClauses uit de AST. Wanneer de conditie van de IfClause TRUE is wordt deze vervangen door de body van het if-statement. Als de conditie FALSE is dan verwijder je de IfClausevolledig uit de AST.</w:t>
            </w:r>
          </w:p>
        </w:tc>
        <w:tc>
          <w:tcPr>
            <w:tcW w:w="510" w:type="dxa"/>
          </w:tcPr>
          <w:p w:rsidR="00E25C3D" w:rsidRPr="00E25C3D" w:rsidRDefault="00FB4C79">
            <w:pPr>
              <w:rPr>
                <w:sz w:val="21"/>
                <w:szCs w:val="21"/>
              </w:rPr>
            </w:pPr>
            <w:r>
              <w:rPr>
                <w:sz w:val="21"/>
                <w:szCs w:val="21"/>
              </w:rPr>
              <w:t>Ja</w:t>
            </w:r>
          </w:p>
        </w:tc>
      </w:tr>
      <w:tr w:rsidR="00E25C3D" w:rsidRPr="00E25C3D" w:rsidTr="00FB4C79">
        <w:tc>
          <w:tcPr>
            <w:tcW w:w="1149" w:type="dxa"/>
          </w:tcPr>
          <w:p w:rsidR="00E25C3D" w:rsidRDefault="00FB4C79">
            <w:pPr>
              <w:rPr>
                <w:sz w:val="21"/>
                <w:szCs w:val="21"/>
              </w:rPr>
            </w:pPr>
            <w:r w:rsidRPr="00FB4C79">
              <w:rPr>
                <w:sz w:val="21"/>
                <w:szCs w:val="21"/>
              </w:rPr>
              <w:t>GE01</w:t>
            </w:r>
          </w:p>
        </w:tc>
        <w:tc>
          <w:tcPr>
            <w:tcW w:w="7351" w:type="dxa"/>
          </w:tcPr>
          <w:p w:rsidR="00E25C3D" w:rsidRPr="00E25C3D" w:rsidRDefault="00FB4C79">
            <w:pPr>
              <w:rPr>
                <w:sz w:val="21"/>
                <w:szCs w:val="21"/>
              </w:rPr>
            </w:pPr>
            <w:r w:rsidRPr="00FB4C79">
              <w:rPr>
                <w:sz w:val="21"/>
                <w:szCs w:val="21"/>
              </w:rPr>
              <w:t>Implementeer de generator in nl.han.ica.icss.generator.Generator die de AST naar een CSS2-compliant string omzet.</w:t>
            </w:r>
          </w:p>
        </w:tc>
        <w:tc>
          <w:tcPr>
            <w:tcW w:w="510" w:type="dxa"/>
          </w:tcPr>
          <w:p w:rsidR="00E25C3D" w:rsidRPr="00E25C3D" w:rsidRDefault="00FB4C79">
            <w:pPr>
              <w:rPr>
                <w:sz w:val="21"/>
                <w:szCs w:val="21"/>
              </w:rPr>
            </w:pPr>
            <w:r>
              <w:rPr>
                <w:sz w:val="21"/>
                <w:szCs w:val="21"/>
              </w:rPr>
              <w:t>Ja</w:t>
            </w:r>
          </w:p>
        </w:tc>
      </w:tr>
      <w:tr w:rsidR="00FB4C79" w:rsidRPr="00E25C3D" w:rsidTr="00FB4C79">
        <w:tc>
          <w:tcPr>
            <w:tcW w:w="1149" w:type="dxa"/>
          </w:tcPr>
          <w:p w:rsidR="00FB4C79" w:rsidRPr="00FB4C79" w:rsidRDefault="00FB4C79">
            <w:pPr>
              <w:rPr>
                <w:sz w:val="21"/>
                <w:szCs w:val="21"/>
              </w:rPr>
            </w:pPr>
            <w:r>
              <w:rPr>
                <w:sz w:val="21"/>
                <w:szCs w:val="21"/>
              </w:rPr>
              <w:t>GE02</w:t>
            </w:r>
          </w:p>
        </w:tc>
        <w:tc>
          <w:tcPr>
            <w:tcW w:w="7351" w:type="dxa"/>
          </w:tcPr>
          <w:p w:rsidR="00FB4C79" w:rsidRPr="00FB4C79" w:rsidRDefault="00FB4C79">
            <w:pPr>
              <w:rPr>
                <w:sz w:val="21"/>
                <w:szCs w:val="21"/>
              </w:rPr>
            </w:pPr>
            <w:r w:rsidRPr="00FB4C79">
              <w:rPr>
                <w:sz w:val="21"/>
                <w:szCs w:val="21"/>
              </w:rPr>
              <w:t>Voor zover nodig, verbeter je generator zo dat de CSS-declaraties met twee spaties inspringing per block geprint worden.</w:t>
            </w:r>
          </w:p>
        </w:tc>
        <w:tc>
          <w:tcPr>
            <w:tcW w:w="510" w:type="dxa"/>
          </w:tcPr>
          <w:p w:rsidR="00FB4C79" w:rsidRDefault="00FB4C79">
            <w:pPr>
              <w:rPr>
                <w:sz w:val="21"/>
                <w:szCs w:val="21"/>
              </w:rPr>
            </w:pPr>
            <w:r>
              <w:rPr>
                <w:sz w:val="21"/>
                <w:szCs w:val="21"/>
              </w:rPr>
              <w:t>Ja</w:t>
            </w:r>
          </w:p>
        </w:tc>
      </w:tr>
      <w:tr w:rsidR="00FB4C79" w:rsidRPr="00E25C3D" w:rsidTr="00FB4C79">
        <w:tc>
          <w:tcPr>
            <w:tcW w:w="1149" w:type="dxa"/>
          </w:tcPr>
          <w:p w:rsidR="00FB4C79" w:rsidRDefault="00FB4C79">
            <w:pPr>
              <w:rPr>
                <w:sz w:val="21"/>
                <w:szCs w:val="21"/>
              </w:rPr>
            </w:pPr>
            <w:r>
              <w:rPr>
                <w:sz w:val="21"/>
                <w:szCs w:val="21"/>
              </w:rPr>
              <w:t>Extra uitbreiding</w:t>
            </w:r>
          </w:p>
        </w:tc>
        <w:tc>
          <w:tcPr>
            <w:tcW w:w="7351" w:type="dxa"/>
          </w:tcPr>
          <w:p w:rsidR="00FB4C79" w:rsidRPr="00FB4C79" w:rsidRDefault="00FB4C79">
            <w:pPr>
              <w:rPr>
                <w:sz w:val="21"/>
                <w:szCs w:val="21"/>
              </w:rPr>
            </w:pPr>
            <w:r w:rsidRPr="00FB4C79">
              <w:rPr>
                <w:sz w:val="21"/>
                <w:szCs w:val="21"/>
              </w:rPr>
              <w:t>Het implementeren van een else-clause bij de if-clause</w:t>
            </w:r>
          </w:p>
        </w:tc>
        <w:tc>
          <w:tcPr>
            <w:tcW w:w="510" w:type="dxa"/>
          </w:tcPr>
          <w:p w:rsidR="00FB4C79" w:rsidRDefault="00FB4C79">
            <w:pPr>
              <w:rPr>
                <w:sz w:val="21"/>
                <w:szCs w:val="21"/>
              </w:rPr>
            </w:pPr>
            <w:r>
              <w:rPr>
                <w:sz w:val="21"/>
                <w:szCs w:val="21"/>
              </w:rPr>
              <w:t>Nee</w:t>
            </w:r>
          </w:p>
        </w:tc>
      </w:tr>
    </w:tbl>
    <w:p w:rsidR="00E25C3D" w:rsidRDefault="00E25C3D"/>
    <w:sectPr w:rsidR="00E25C3D" w:rsidSect="006021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06"/>
    <w:rsid w:val="0060219F"/>
    <w:rsid w:val="008C0706"/>
    <w:rsid w:val="00E25C3D"/>
    <w:rsid w:val="00ED0EC6"/>
    <w:rsid w:val="00F928B0"/>
    <w:rsid w:val="00FB4C79"/>
    <w:rsid w:val="00FC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8E85B"/>
  <w15:chartTrackingRefBased/>
  <w15:docId w15:val="{A78FCC54-EBC0-0D45-927E-DD3E4FE6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706"/>
    <w:rPr>
      <w:color w:val="0563C1" w:themeColor="hyperlink"/>
      <w:u w:val="single"/>
    </w:rPr>
  </w:style>
  <w:style w:type="character" w:styleId="UnresolvedMention">
    <w:name w:val="Unresolved Mention"/>
    <w:basedOn w:val="DefaultParagraphFont"/>
    <w:uiPriority w:val="99"/>
    <w:semiHidden/>
    <w:unhideWhenUsed/>
    <w:rsid w:val="008C0706"/>
    <w:rPr>
      <w:color w:val="605E5C"/>
      <w:shd w:val="clear" w:color="auto" w:fill="E1DFDD"/>
    </w:rPr>
  </w:style>
  <w:style w:type="table" w:styleId="TableGrid">
    <w:name w:val="Table Grid"/>
    <w:basedOn w:val="TableNormal"/>
    <w:uiPriority w:val="39"/>
    <w:rsid w:val="00E2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25C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25C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25C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25C3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25C3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25C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4897">
      <w:bodyDiv w:val="1"/>
      <w:marLeft w:val="0"/>
      <w:marRight w:val="0"/>
      <w:marTop w:val="0"/>
      <w:marBottom w:val="0"/>
      <w:divBdr>
        <w:top w:val="none" w:sz="0" w:space="0" w:color="auto"/>
        <w:left w:val="none" w:sz="0" w:space="0" w:color="auto"/>
        <w:bottom w:val="none" w:sz="0" w:space="0" w:color="auto"/>
        <w:right w:val="none" w:sz="0" w:space="0" w:color="auto"/>
      </w:divBdr>
    </w:div>
    <w:div w:id="163935638">
      <w:bodyDiv w:val="1"/>
      <w:marLeft w:val="0"/>
      <w:marRight w:val="0"/>
      <w:marTop w:val="0"/>
      <w:marBottom w:val="0"/>
      <w:divBdr>
        <w:top w:val="none" w:sz="0" w:space="0" w:color="auto"/>
        <w:left w:val="none" w:sz="0" w:space="0" w:color="auto"/>
        <w:bottom w:val="none" w:sz="0" w:space="0" w:color="auto"/>
        <w:right w:val="none" w:sz="0" w:space="0" w:color="auto"/>
      </w:divBdr>
    </w:div>
    <w:div w:id="667751451">
      <w:bodyDiv w:val="1"/>
      <w:marLeft w:val="0"/>
      <w:marRight w:val="0"/>
      <w:marTop w:val="0"/>
      <w:marBottom w:val="0"/>
      <w:divBdr>
        <w:top w:val="none" w:sz="0" w:space="0" w:color="auto"/>
        <w:left w:val="none" w:sz="0" w:space="0" w:color="auto"/>
        <w:bottom w:val="none" w:sz="0" w:space="0" w:color="auto"/>
        <w:right w:val="none" w:sz="0" w:space="0" w:color="auto"/>
      </w:divBdr>
    </w:div>
    <w:div w:id="8092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Korkmaz</dc:creator>
  <cp:keywords/>
  <dc:description/>
  <cp:lastModifiedBy>Rick Korkmaz</cp:lastModifiedBy>
  <cp:revision>2</cp:revision>
  <dcterms:created xsi:type="dcterms:W3CDTF">2019-12-11T17:12:00Z</dcterms:created>
  <dcterms:modified xsi:type="dcterms:W3CDTF">2020-02-17T12:19:00Z</dcterms:modified>
</cp:coreProperties>
</file>