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C5A12" w14:textId="57EB7744" w:rsidR="00FB37D2" w:rsidRPr="00B3193A" w:rsidRDefault="00FB37D2" w:rsidP="00656A05">
      <w:pPr>
        <w:jc w:val="center"/>
        <w:rPr>
          <w:rFonts w:ascii="Arial" w:hAnsi="Arial" w:cs="Arial"/>
          <w:b/>
          <w:sz w:val="20"/>
          <w:szCs w:val="20"/>
        </w:rPr>
      </w:pPr>
      <w:r w:rsidRPr="00B3193A">
        <w:rPr>
          <w:rFonts w:ascii="Arial" w:hAnsi="Arial" w:cs="Arial"/>
          <w:b/>
          <w:sz w:val="20"/>
          <w:szCs w:val="20"/>
        </w:rPr>
        <w:t>Week 2 – Local Adaptation (Conceptual)</w:t>
      </w:r>
    </w:p>
    <w:tbl>
      <w:tblPr>
        <w:tblStyle w:val="TableGrid"/>
        <w:tblW w:w="9858" w:type="dxa"/>
        <w:tblInd w:w="-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5019"/>
      </w:tblGrid>
      <w:tr w:rsidR="00FB37D2" w:rsidRPr="00B3193A" w14:paraId="3E82F339" w14:textId="77777777" w:rsidTr="00656A05">
        <w:trPr>
          <w:trHeight w:val="279"/>
        </w:trPr>
        <w:tc>
          <w:tcPr>
            <w:tcW w:w="4839" w:type="dxa"/>
          </w:tcPr>
          <w:p w14:paraId="120B35C6" w14:textId="0424B689" w:rsidR="00FB37D2" w:rsidRPr="00B3193A" w:rsidRDefault="00FB37D2" w:rsidP="00656A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193A">
              <w:rPr>
                <w:rFonts w:ascii="Arial" w:hAnsi="Arial" w:cs="Arial"/>
                <w:b/>
                <w:sz w:val="20"/>
                <w:szCs w:val="20"/>
              </w:rPr>
              <w:t>17 Groups</w:t>
            </w:r>
          </w:p>
        </w:tc>
        <w:tc>
          <w:tcPr>
            <w:tcW w:w="5019" w:type="dxa"/>
          </w:tcPr>
          <w:p w14:paraId="531A9996" w14:textId="6C77C5E8" w:rsidR="00FB37D2" w:rsidRPr="00B3193A" w:rsidRDefault="00FB37D2" w:rsidP="00656A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193A">
              <w:rPr>
                <w:rFonts w:ascii="Arial" w:hAnsi="Arial" w:cs="Arial"/>
                <w:b/>
                <w:sz w:val="20"/>
                <w:szCs w:val="20"/>
              </w:rPr>
              <w:t>136+ individuals</w:t>
            </w:r>
          </w:p>
        </w:tc>
      </w:tr>
    </w:tbl>
    <w:p w14:paraId="7F890267" w14:textId="77777777" w:rsidR="00F433CB" w:rsidRPr="004609B8" w:rsidRDefault="00F433CB" w:rsidP="00656A05">
      <w:pPr>
        <w:rPr>
          <w:rFonts w:ascii="Arial" w:hAnsi="Arial" w:cs="Arial"/>
          <w:sz w:val="20"/>
          <w:szCs w:val="20"/>
        </w:rPr>
      </w:pPr>
    </w:p>
    <w:p w14:paraId="08A8FAA0" w14:textId="34CF88C2" w:rsidR="00C015C4" w:rsidRPr="004609B8" w:rsidRDefault="00F433CB" w:rsidP="00FB37D2">
      <w:pPr>
        <w:rPr>
          <w:rFonts w:ascii="Arial" w:hAnsi="Arial" w:cs="Arial"/>
          <w:sz w:val="20"/>
          <w:szCs w:val="20"/>
        </w:rPr>
      </w:pPr>
      <w:r w:rsidRPr="004609B8">
        <w:rPr>
          <w:rFonts w:ascii="Arial" w:hAnsi="Arial" w:cs="Arial"/>
          <w:b/>
          <w:sz w:val="20"/>
          <w:szCs w:val="20"/>
        </w:rPr>
        <w:t>Summary:</w:t>
      </w:r>
      <w:r w:rsidRPr="004609B8">
        <w:rPr>
          <w:rFonts w:ascii="Arial" w:hAnsi="Arial" w:cs="Arial"/>
          <w:sz w:val="20"/>
          <w:szCs w:val="20"/>
        </w:rPr>
        <w:t xml:space="preserve"> Groups discussed conceptual issues surrounding local adaptation based </w:t>
      </w:r>
      <w:r w:rsidR="001267EE">
        <w:rPr>
          <w:rFonts w:ascii="Arial" w:hAnsi="Arial" w:cs="Arial"/>
          <w:sz w:val="20"/>
          <w:szCs w:val="20"/>
        </w:rPr>
        <w:t>on</w:t>
      </w:r>
      <w:r w:rsidRPr="004609B8">
        <w:rPr>
          <w:rFonts w:ascii="Arial" w:hAnsi="Arial" w:cs="Arial"/>
          <w:sz w:val="20"/>
          <w:szCs w:val="20"/>
        </w:rPr>
        <w:t xml:space="preserve"> </w:t>
      </w:r>
      <w:r w:rsidR="00C015C4" w:rsidRPr="004609B8">
        <w:rPr>
          <w:rFonts w:ascii="Arial" w:hAnsi="Arial" w:cs="Arial"/>
          <w:sz w:val="20"/>
          <w:szCs w:val="20"/>
        </w:rPr>
        <w:t>papers by Kawecki and Ebert 2004 (</w:t>
      </w:r>
      <w:r w:rsidR="00C015C4" w:rsidRPr="001267EE">
        <w:rPr>
          <w:rFonts w:ascii="Arial" w:hAnsi="Arial" w:cs="Arial"/>
          <w:i/>
          <w:sz w:val="20"/>
          <w:szCs w:val="20"/>
        </w:rPr>
        <w:t>Ecology Letters</w:t>
      </w:r>
      <w:r w:rsidR="00C015C4" w:rsidRPr="004609B8">
        <w:rPr>
          <w:rFonts w:ascii="Arial" w:hAnsi="Arial" w:cs="Arial"/>
          <w:sz w:val="20"/>
          <w:szCs w:val="20"/>
        </w:rPr>
        <w:t xml:space="preserve">) and </w:t>
      </w:r>
      <w:proofErr w:type="spellStart"/>
      <w:r w:rsidR="00C015C4" w:rsidRPr="004609B8">
        <w:rPr>
          <w:rFonts w:ascii="Arial" w:hAnsi="Arial" w:cs="Arial"/>
          <w:sz w:val="20"/>
          <w:szCs w:val="20"/>
        </w:rPr>
        <w:t>Blanquart</w:t>
      </w:r>
      <w:proofErr w:type="spellEnd"/>
      <w:r w:rsidR="00C015C4" w:rsidRPr="004609B8">
        <w:rPr>
          <w:rFonts w:ascii="Arial" w:hAnsi="Arial" w:cs="Arial"/>
          <w:sz w:val="20"/>
          <w:szCs w:val="20"/>
        </w:rPr>
        <w:t xml:space="preserve"> et al. 2013 (</w:t>
      </w:r>
      <w:r w:rsidR="00C015C4" w:rsidRPr="001267EE">
        <w:rPr>
          <w:rFonts w:ascii="Arial" w:hAnsi="Arial" w:cs="Arial"/>
          <w:i/>
          <w:sz w:val="20"/>
          <w:szCs w:val="20"/>
        </w:rPr>
        <w:t>Ecology Letters</w:t>
      </w:r>
      <w:r w:rsidR="00C015C4" w:rsidRPr="004609B8">
        <w:rPr>
          <w:rFonts w:ascii="Arial" w:hAnsi="Arial" w:cs="Arial"/>
          <w:sz w:val="20"/>
          <w:szCs w:val="20"/>
        </w:rPr>
        <w:t xml:space="preserve">). </w:t>
      </w:r>
    </w:p>
    <w:p w14:paraId="7E57321C" w14:textId="77777777" w:rsidR="00C015C4" w:rsidRPr="004609B8" w:rsidRDefault="00C015C4" w:rsidP="00FB37D2">
      <w:pPr>
        <w:rPr>
          <w:rFonts w:ascii="Arial" w:hAnsi="Arial" w:cs="Arial"/>
          <w:sz w:val="20"/>
          <w:szCs w:val="20"/>
        </w:rPr>
      </w:pPr>
    </w:p>
    <w:p w14:paraId="2A58F1F7" w14:textId="2F6EF7B5" w:rsidR="00FB37D2" w:rsidRPr="004609B8" w:rsidRDefault="00C015C4" w:rsidP="00FB37D2">
      <w:pPr>
        <w:rPr>
          <w:rFonts w:ascii="Arial" w:hAnsi="Arial" w:cs="Arial"/>
          <w:b/>
          <w:sz w:val="20"/>
          <w:szCs w:val="20"/>
        </w:rPr>
      </w:pPr>
      <w:r w:rsidRPr="004609B8">
        <w:rPr>
          <w:rFonts w:ascii="Arial" w:hAnsi="Arial" w:cs="Arial"/>
          <w:b/>
          <w:sz w:val="20"/>
          <w:szCs w:val="20"/>
        </w:rPr>
        <w:t>Primary Discussion Themes:</w:t>
      </w:r>
    </w:p>
    <w:p w14:paraId="234F849B" w14:textId="2772FEA5" w:rsidR="00AC5974" w:rsidRPr="00112A6A" w:rsidRDefault="00AC5974" w:rsidP="005E6A42">
      <w:pPr>
        <w:pStyle w:val="ListParagraph"/>
        <w:numPr>
          <w:ilvl w:val="0"/>
          <w:numId w:val="1"/>
        </w:numPr>
        <w:ind w:left="180" w:hanging="180"/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 xml:space="preserve">Local </w:t>
      </w:r>
      <w:r w:rsidR="00C374A4">
        <w:rPr>
          <w:rFonts w:ascii="Arial" w:hAnsi="Arial" w:cs="Arial"/>
          <w:sz w:val="20"/>
          <w:szCs w:val="20"/>
        </w:rPr>
        <w:t xml:space="preserve">adaptation is a property of a metapopulation. </w:t>
      </w:r>
      <w:r w:rsidR="003C497B">
        <w:rPr>
          <w:rFonts w:ascii="Arial" w:hAnsi="Arial" w:cs="Arial"/>
          <w:sz w:val="20"/>
          <w:szCs w:val="20"/>
        </w:rPr>
        <w:t>Patterns of l</w:t>
      </w:r>
      <w:r w:rsidR="00C374A4">
        <w:rPr>
          <w:rFonts w:ascii="Arial" w:hAnsi="Arial" w:cs="Arial"/>
          <w:sz w:val="20"/>
          <w:szCs w:val="20"/>
        </w:rPr>
        <w:t xml:space="preserve">ocal adaptation </w:t>
      </w:r>
      <w:r w:rsidR="003C497B">
        <w:rPr>
          <w:rFonts w:ascii="Arial" w:hAnsi="Arial" w:cs="Arial"/>
          <w:sz w:val="20"/>
          <w:szCs w:val="20"/>
        </w:rPr>
        <w:t>may</w:t>
      </w:r>
      <w:r w:rsidR="00C374A4">
        <w:rPr>
          <w:rFonts w:ascii="Arial" w:hAnsi="Arial" w:cs="Arial"/>
          <w:sz w:val="20"/>
          <w:szCs w:val="20"/>
        </w:rPr>
        <w:t xml:space="preserve"> be </w:t>
      </w:r>
      <w:r w:rsidR="003C497B">
        <w:rPr>
          <w:rFonts w:ascii="Arial" w:hAnsi="Arial" w:cs="Arial"/>
          <w:sz w:val="20"/>
          <w:szCs w:val="20"/>
        </w:rPr>
        <w:t>inferred</w:t>
      </w:r>
      <w:r w:rsidR="00C374A4">
        <w:rPr>
          <w:rFonts w:ascii="Arial" w:hAnsi="Arial" w:cs="Arial"/>
          <w:sz w:val="20"/>
          <w:szCs w:val="20"/>
        </w:rPr>
        <w:t xml:space="preserve"> when common garden or reciprocal transplant experiments </w:t>
      </w:r>
      <w:r w:rsidR="003C497B">
        <w:rPr>
          <w:rFonts w:ascii="Arial" w:hAnsi="Arial" w:cs="Arial"/>
          <w:sz w:val="20"/>
          <w:szCs w:val="20"/>
        </w:rPr>
        <w:t>reveal gene by environment (</w:t>
      </w:r>
      <w:proofErr w:type="spellStart"/>
      <w:r w:rsidR="003C497B">
        <w:rPr>
          <w:rFonts w:ascii="Arial" w:hAnsi="Arial" w:cs="Arial"/>
          <w:sz w:val="20"/>
          <w:szCs w:val="20"/>
        </w:rPr>
        <w:t>GxE</w:t>
      </w:r>
      <w:proofErr w:type="spellEnd"/>
      <w:r w:rsidR="003C497B">
        <w:rPr>
          <w:rFonts w:ascii="Arial" w:hAnsi="Arial" w:cs="Arial"/>
          <w:sz w:val="20"/>
          <w:szCs w:val="20"/>
        </w:rPr>
        <w:t>) interactions in</w:t>
      </w:r>
      <w:r w:rsidR="00C374A4">
        <w:rPr>
          <w:rFonts w:ascii="Arial" w:hAnsi="Arial" w:cs="Arial"/>
          <w:sz w:val="20"/>
          <w:szCs w:val="20"/>
        </w:rPr>
        <w:t xml:space="preserve"> </w:t>
      </w:r>
      <w:r w:rsidR="003C497B">
        <w:rPr>
          <w:rFonts w:ascii="Arial" w:hAnsi="Arial" w:cs="Arial"/>
          <w:sz w:val="20"/>
          <w:szCs w:val="20"/>
        </w:rPr>
        <w:t xml:space="preserve">components of </w:t>
      </w:r>
      <w:r w:rsidR="00C374A4">
        <w:rPr>
          <w:rFonts w:ascii="Arial" w:hAnsi="Arial" w:cs="Arial"/>
          <w:sz w:val="20"/>
          <w:szCs w:val="20"/>
        </w:rPr>
        <w:t>fitness across multiple demes</w:t>
      </w:r>
      <w:r w:rsidR="00112A6A">
        <w:rPr>
          <w:rFonts w:ascii="Arial" w:hAnsi="Arial" w:cs="Arial"/>
          <w:sz w:val="20"/>
          <w:szCs w:val="20"/>
        </w:rPr>
        <w:t xml:space="preserve"> </w:t>
      </w:r>
      <w:r w:rsidR="003C497B">
        <w:rPr>
          <w:rFonts w:ascii="Arial" w:hAnsi="Arial" w:cs="Arial"/>
          <w:sz w:val="20"/>
          <w:szCs w:val="20"/>
        </w:rPr>
        <w:t xml:space="preserve">after controlling for alternative sources of </w:t>
      </w:r>
      <w:r w:rsidR="00112A6A">
        <w:rPr>
          <w:rFonts w:ascii="Arial" w:hAnsi="Arial" w:cs="Arial"/>
          <w:sz w:val="20"/>
          <w:szCs w:val="20"/>
        </w:rPr>
        <w:t xml:space="preserve">apparent </w:t>
      </w:r>
      <w:r w:rsidR="003C497B">
        <w:rPr>
          <w:rFonts w:ascii="Arial" w:hAnsi="Arial" w:cs="Arial"/>
          <w:sz w:val="20"/>
          <w:szCs w:val="20"/>
        </w:rPr>
        <w:t xml:space="preserve">differentiation such as phenotypic plasticity, genetic drift, </w:t>
      </w:r>
      <w:r w:rsidR="00112A6A">
        <w:rPr>
          <w:rFonts w:ascii="Arial" w:hAnsi="Arial" w:cs="Arial"/>
          <w:sz w:val="20"/>
          <w:szCs w:val="20"/>
        </w:rPr>
        <w:t xml:space="preserve">dispersal, </w:t>
      </w:r>
      <w:r w:rsidR="003C497B">
        <w:rPr>
          <w:rFonts w:ascii="Arial" w:hAnsi="Arial" w:cs="Arial"/>
          <w:sz w:val="20"/>
          <w:szCs w:val="20"/>
        </w:rPr>
        <w:t xml:space="preserve">maternal effects, etc. </w:t>
      </w:r>
    </w:p>
    <w:p w14:paraId="2CB60EB4" w14:textId="1BA4FB75" w:rsidR="00505A54" w:rsidRPr="001267EE" w:rsidRDefault="00C015C4" w:rsidP="005E6A42">
      <w:pPr>
        <w:pStyle w:val="ListParagraph"/>
        <w:numPr>
          <w:ilvl w:val="0"/>
          <w:numId w:val="1"/>
        </w:numPr>
        <w:ind w:left="180" w:hanging="180"/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>Local adaptation can be both a pattern and a process</w:t>
      </w:r>
      <w:r w:rsidR="00505A54" w:rsidRPr="001267EE">
        <w:rPr>
          <w:rFonts w:ascii="Arial" w:hAnsi="Arial" w:cs="Arial"/>
          <w:sz w:val="20"/>
          <w:szCs w:val="20"/>
        </w:rPr>
        <w:t xml:space="preserve">. </w:t>
      </w:r>
    </w:p>
    <w:p w14:paraId="01B47ACE" w14:textId="02ED6D0F" w:rsidR="00112A6A" w:rsidRPr="00790D84" w:rsidRDefault="00593273" w:rsidP="00790D8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 xml:space="preserve">Pattern does not always inform of process, and vice versa. </w:t>
      </w:r>
      <w:r w:rsidR="00790D84">
        <w:rPr>
          <w:rFonts w:ascii="Arial" w:hAnsi="Arial" w:cs="Arial"/>
          <w:sz w:val="20"/>
          <w:szCs w:val="20"/>
        </w:rPr>
        <w:t>However, t</w:t>
      </w:r>
      <w:r w:rsidR="000C53DE" w:rsidRPr="00790D84">
        <w:rPr>
          <w:rFonts w:ascii="Arial" w:hAnsi="Arial" w:cs="Arial"/>
          <w:sz w:val="20"/>
          <w:szCs w:val="20"/>
        </w:rPr>
        <w:t xml:space="preserve">o improve ability to predict, </w:t>
      </w:r>
      <w:r w:rsidR="00790D84">
        <w:rPr>
          <w:rFonts w:ascii="Arial" w:hAnsi="Arial" w:cs="Arial"/>
          <w:sz w:val="20"/>
          <w:szCs w:val="20"/>
        </w:rPr>
        <w:t xml:space="preserve">we </w:t>
      </w:r>
      <w:r w:rsidR="000C53DE" w:rsidRPr="00790D84">
        <w:rPr>
          <w:rFonts w:ascii="Arial" w:hAnsi="Arial" w:cs="Arial"/>
          <w:sz w:val="20"/>
          <w:szCs w:val="20"/>
        </w:rPr>
        <w:t xml:space="preserve">must </w:t>
      </w:r>
      <w:r w:rsidR="00E42D6E" w:rsidRPr="00790D84">
        <w:rPr>
          <w:rFonts w:ascii="Arial" w:hAnsi="Arial" w:cs="Arial"/>
          <w:sz w:val="20"/>
          <w:szCs w:val="20"/>
        </w:rPr>
        <w:t>understand how processes lead to adaptive patterns</w:t>
      </w:r>
    </w:p>
    <w:p w14:paraId="394CBE4F" w14:textId="200DF758" w:rsidR="00D84AFE" w:rsidRDefault="00790D84" w:rsidP="00D84AF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</w:t>
      </w:r>
      <w:r w:rsidR="00D84AFE">
        <w:rPr>
          <w:rFonts w:ascii="Arial" w:hAnsi="Arial" w:cs="Arial"/>
          <w:sz w:val="20"/>
          <w:szCs w:val="20"/>
        </w:rPr>
        <w:t xml:space="preserve"> example, post-settlement establishment can produce patterns that appear divergent (but may not be) or could be a process through which local adaptation occurs (purifying selection). </w:t>
      </w:r>
    </w:p>
    <w:p w14:paraId="4FE0727F" w14:textId="1DF855C8" w:rsidR="00D84AFE" w:rsidRPr="00D84AFE" w:rsidRDefault="00790D84" w:rsidP="00790D84">
      <w:pPr>
        <w:pStyle w:val="ListParagraph"/>
        <w:numPr>
          <w:ilvl w:val="0"/>
          <w:numId w:val="1"/>
        </w:numPr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Therefore, s</w:t>
      </w:r>
      <w:r w:rsidR="00D84AFE">
        <w:rPr>
          <w:rFonts w:ascii="Arial" w:hAnsi="Arial" w:cs="Arial"/>
          <w:sz w:val="20"/>
          <w:szCs w:val="20"/>
        </w:rPr>
        <w:t xml:space="preserve">tudies </w:t>
      </w:r>
      <w:r>
        <w:rPr>
          <w:rFonts w:ascii="Arial" w:hAnsi="Arial" w:cs="Arial"/>
          <w:sz w:val="20"/>
          <w:szCs w:val="20"/>
        </w:rPr>
        <w:t>on</w:t>
      </w:r>
      <w:r w:rsidR="00D84AFE">
        <w:rPr>
          <w:rFonts w:ascii="Arial" w:hAnsi="Arial" w:cs="Arial"/>
          <w:sz w:val="20"/>
          <w:szCs w:val="20"/>
        </w:rPr>
        <w:t xml:space="preserve"> local adaptation </w:t>
      </w:r>
      <w:r>
        <w:rPr>
          <w:rFonts w:ascii="Arial" w:hAnsi="Arial" w:cs="Arial"/>
          <w:sz w:val="20"/>
          <w:szCs w:val="20"/>
        </w:rPr>
        <w:t xml:space="preserve">is complex and </w:t>
      </w:r>
      <w:r w:rsidR="00D84AFE">
        <w:rPr>
          <w:rFonts w:ascii="Arial" w:hAnsi="Arial" w:cs="Arial"/>
          <w:sz w:val="20"/>
          <w:szCs w:val="20"/>
        </w:rPr>
        <w:t>should be conducted carefully</w:t>
      </w:r>
      <w:r>
        <w:rPr>
          <w:rFonts w:ascii="Arial" w:hAnsi="Arial" w:cs="Arial"/>
          <w:sz w:val="20"/>
          <w:szCs w:val="20"/>
        </w:rPr>
        <w:t>:</w:t>
      </w:r>
      <w:r w:rsidR="00D84AFE">
        <w:rPr>
          <w:rFonts w:ascii="Arial" w:hAnsi="Arial" w:cs="Arial"/>
          <w:sz w:val="20"/>
          <w:szCs w:val="20"/>
        </w:rPr>
        <w:t xml:space="preserve"> </w:t>
      </w:r>
    </w:p>
    <w:p w14:paraId="0DF3F081" w14:textId="77777777" w:rsidR="00112A6A" w:rsidRDefault="00112A6A" w:rsidP="00112A6A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17B71AF" w14:textId="7C288387" w:rsidR="00505A54" w:rsidRPr="00D84AFE" w:rsidRDefault="00D84AFE" w:rsidP="00112A6A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D84AFE">
        <w:rPr>
          <w:rFonts w:ascii="Arial" w:hAnsi="Arial" w:cs="Arial"/>
          <w:b/>
          <w:sz w:val="20"/>
          <w:szCs w:val="20"/>
        </w:rPr>
        <w:t xml:space="preserve">In particular, </w:t>
      </w:r>
      <w:r w:rsidR="009A5F57">
        <w:rPr>
          <w:rFonts w:ascii="Arial" w:hAnsi="Arial" w:cs="Arial"/>
          <w:b/>
          <w:sz w:val="20"/>
          <w:szCs w:val="20"/>
        </w:rPr>
        <w:t>studies on local adaptation</w:t>
      </w:r>
      <w:r w:rsidR="00505A54" w:rsidRPr="00D84AFE">
        <w:rPr>
          <w:rFonts w:ascii="Arial" w:hAnsi="Arial" w:cs="Arial"/>
          <w:b/>
          <w:sz w:val="20"/>
          <w:szCs w:val="20"/>
        </w:rPr>
        <w:t xml:space="preserve"> should be </w:t>
      </w:r>
      <w:r w:rsidR="009A5F57">
        <w:rPr>
          <w:rFonts w:ascii="Arial" w:hAnsi="Arial" w:cs="Arial"/>
          <w:b/>
          <w:sz w:val="20"/>
          <w:szCs w:val="20"/>
        </w:rPr>
        <w:t>careful</w:t>
      </w:r>
      <w:r w:rsidR="00505A54" w:rsidRPr="00D84AFE">
        <w:rPr>
          <w:rFonts w:ascii="Arial" w:hAnsi="Arial" w:cs="Arial"/>
          <w:b/>
          <w:sz w:val="20"/>
          <w:szCs w:val="20"/>
        </w:rPr>
        <w:t xml:space="preserve"> to: </w:t>
      </w:r>
    </w:p>
    <w:p w14:paraId="119915E5" w14:textId="63A80970" w:rsidR="00593273" w:rsidRPr="001267EE" w:rsidRDefault="00112A6A" w:rsidP="005E6A42">
      <w:pPr>
        <w:pStyle w:val="ListParagraph"/>
        <w:numPr>
          <w:ilvl w:val="0"/>
          <w:numId w:val="1"/>
        </w:numPr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 that definition of local adaptation</w:t>
      </w:r>
      <w:r w:rsidR="00593273" w:rsidRPr="001267EE">
        <w:rPr>
          <w:rFonts w:ascii="Arial" w:hAnsi="Arial" w:cs="Arial"/>
          <w:sz w:val="20"/>
          <w:szCs w:val="20"/>
        </w:rPr>
        <w:t xml:space="preserve"> (e.g. Home vs. Away, Local vs. Foreign, Sympatric vs. Allopatric) affects study design</w:t>
      </w:r>
      <w:r w:rsidR="00FF375E" w:rsidRPr="001267EE">
        <w:rPr>
          <w:rFonts w:ascii="Arial" w:hAnsi="Arial" w:cs="Arial"/>
          <w:sz w:val="20"/>
          <w:szCs w:val="20"/>
        </w:rPr>
        <w:t xml:space="preserve"> and inference</w:t>
      </w:r>
      <w:r>
        <w:rPr>
          <w:rFonts w:ascii="Arial" w:hAnsi="Arial" w:cs="Arial"/>
          <w:sz w:val="20"/>
          <w:szCs w:val="20"/>
        </w:rPr>
        <w:t>. U</w:t>
      </w:r>
      <w:r w:rsidR="00593273" w:rsidRPr="001267EE">
        <w:rPr>
          <w:rFonts w:ascii="Arial" w:hAnsi="Arial" w:cs="Arial"/>
          <w:sz w:val="20"/>
          <w:szCs w:val="20"/>
        </w:rPr>
        <w:t xml:space="preserve">se </w:t>
      </w:r>
      <w:r w:rsidR="004609B8" w:rsidRPr="001267EE">
        <w:rPr>
          <w:rFonts w:ascii="Arial" w:hAnsi="Arial" w:cs="Arial"/>
          <w:sz w:val="20"/>
          <w:szCs w:val="20"/>
        </w:rPr>
        <w:t xml:space="preserve">study </w:t>
      </w:r>
      <w:r w:rsidR="00DD4746" w:rsidRPr="001267EE">
        <w:rPr>
          <w:rFonts w:ascii="Arial" w:hAnsi="Arial" w:cs="Arial"/>
          <w:sz w:val="20"/>
          <w:szCs w:val="20"/>
        </w:rPr>
        <w:t xml:space="preserve">motivation or </w:t>
      </w:r>
      <w:r w:rsidR="00593273" w:rsidRPr="001267EE">
        <w:rPr>
          <w:rFonts w:ascii="Arial" w:hAnsi="Arial" w:cs="Arial"/>
          <w:sz w:val="20"/>
          <w:szCs w:val="20"/>
        </w:rPr>
        <w:t xml:space="preserve">question to inform </w:t>
      </w:r>
      <w:r w:rsidR="00FF375E" w:rsidRPr="001267EE">
        <w:rPr>
          <w:rFonts w:ascii="Arial" w:hAnsi="Arial" w:cs="Arial"/>
          <w:sz w:val="20"/>
          <w:szCs w:val="20"/>
        </w:rPr>
        <w:t>choice.</w:t>
      </w:r>
      <w:r w:rsidR="00593273" w:rsidRPr="001267EE">
        <w:rPr>
          <w:rFonts w:ascii="Arial" w:hAnsi="Arial" w:cs="Arial"/>
          <w:sz w:val="20"/>
          <w:szCs w:val="20"/>
        </w:rPr>
        <w:t xml:space="preserve"> </w:t>
      </w:r>
    </w:p>
    <w:p w14:paraId="7D922BF1" w14:textId="59B10B99" w:rsidR="00FF375E" w:rsidRPr="001267EE" w:rsidRDefault="00FF375E" w:rsidP="001267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>Does species X show local adaptation? Sympatric vs. Allopatric</w:t>
      </w:r>
    </w:p>
    <w:p w14:paraId="60E2F1DB" w14:textId="08DA67AB" w:rsidR="00505A54" w:rsidRPr="001267EE" w:rsidRDefault="00505A54" w:rsidP="001267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 xml:space="preserve">Is population </w:t>
      </w:r>
      <w:r w:rsidR="00FF375E" w:rsidRPr="001267EE">
        <w:rPr>
          <w:rFonts w:ascii="Arial" w:hAnsi="Arial" w:cs="Arial"/>
          <w:sz w:val="20"/>
          <w:szCs w:val="20"/>
        </w:rPr>
        <w:t>X locally adapted</w:t>
      </w:r>
      <w:r w:rsidRPr="001267EE">
        <w:rPr>
          <w:rFonts w:ascii="Arial" w:hAnsi="Arial" w:cs="Arial"/>
          <w:sz w:val="20"/>
          <w:szCs w:val="20"/>
        </w:rPr>
        <w:t xml:space="preserve"> to environment </w:t>
      </w:r>
      <w:r w:rsidR="00FF375E" w:rsidRPr="001267EE">
        <w:rPr>
          <w:rFonts w:ascii="Arial" w:hAnsi="Arial" w:cs="Arial"/>
          <w:sz w:val="20"/>
          <w:szCs w:val="20"/>
        </w:rPr>
        <w:t>Y</w:t>
      </w:r>
      <w:r w:rsidRPr="001267EE">
        <w:rPr>
          <w:rFonts w:ascii="Arial" w:hAnsi="Arial" w:cs="Arial"/>
          <w:sz w:val="20"/>
          <w:szCs w:val="20"/>
        </w:rPr>
        <w:t xml:space="preserve">? Home vs. </w:t>
      </w:r>
      <w:r w:rsidR="00FF375E" w:rsidRPr="001267EE">
        <w:rPr>
          <w:rFonts w:ascii="Arial" w:hAnsi="Arial" w:cs="Arial"/>
          <w:sz w:val="20"/>
          <w:szCs w:val="20"/>
        </w:rPr>
        <w:t>A</w:t>
      </w:r>
      <w:r w:rsidRPr="001267EE">
        <w:rPr>
          <w:rFonts w:ascii="Arial" w:hAnsi="Arial" w:cs="Arial"/>
          <w:sz w:val="20"/>
          <w:szCs w:val="20"/>
        </w:rPr>
        <w:t>way</w:t>
      </w:r>
      <w:r w:rsidR="00DD4746" w:rsidRPr="001267EE">
        <w:rPr>
          <w:rFonts w:ascii="Arial" w:hAnsi="Arial" w:cs="Arial"/>
          <w:sz w:val="20"/>
          <w:szCs w:val="20"/>
        </w:rPr>
        <w:t xml:space="preserve"> (</w:t>
      </w:r>
      <w:r w:rsidR="00112A6A">
        <w:rPr>
          <w:rFonts w:ascii="Arial" w:hAnsi="Arial" w:cs="Arial"/>
          <w:sz w:val="20"/>
          <w:szCs w:val="20"/>
        </w:rPr>
        <w:t>a</w:t>
      </w:r>
      <w:r w:rsidR="00DD4746" w:rsidRPr="001267EE">
        <w:rPr>
          <w:rFonts w:ascii="Arial" w:hAnsi="Arial" w:cs="Arial"/>
          <w:sz w:val="20"/>
          <w:szCs w:val="20"/>
        </w:rPr>
        <w:t>ppropriate for conservation)</w:t>
      </w:r>
    </w:p>
    <w:p w14:paraId="5B63ABCF" w14:textId="6D478C42" w:rsidR="00FF375E" w:rsidRPr="001267EE" w:rsidRDefault="004609B8" w:rsidP="001267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>Will</w:t>
      </w:r>
      <w:r w:rsidR="00FF375E" w:rsidRPr="001267EE">
        <w:rPr>
          <w:rFonts w:ascii="Arial" w:hAnsi="Arial" w:cs="Arial"/>
          <w:sz w:val="20"/>
          <w:szCs w:val="20"/>
        </w:rPr>
        <w:t xml:space="preserve"> population X </w:t>
      </w:r>
      <w:r w:rsidRPr="001267EE">
        <w:rPr>
          <w:rFonts w:ascii="Arial" w:hAnsi="Arial" w:cs="Arial"/>
          <w:sz w:val="20"/>
          <w:szCs w:val="20"/>
        </w:rPr>
        <w:t>perform well in environment Y? Local vs. Foreign</w:t>
      </w:r>
      <w:r w:rsidR="001267EE" w:rsidRPr="001267EE">
        <w:rPr>
          <w:rFonts w:ascii="Arial" w:hAnsi="Arial" w:cs="Arial"/>
          <w:sz w:val="20"/>
          <w:szCs w:val="20"/>
        </w:rPr>
        <w:t xml:space="preserve"> (Where should </w:t>
      </w:r>
      <w:r w:rsidR="005E6A42">
        <w:rPr>
          <w:rFonts w:ascii="Arial" w:hAnsi="Arial" w:cs="Arial"/>
          <w:sz w:val="20"/>
          <w:szCs w:val="20"/>
        </w:rPr>
        <w:t>MPE be?)</w:t>
      </w:r>
      <w:r w:rsidR="001267EE" w:rsidRPr="001267EE">
        <w:rPr>
          <w:rFonts w:ascii="Arial" w:hAnsi="Arial" w:cs="Arial"/>
          <w:sz w:val="20"/>
          <w:szCs w:val="20"/>
        </w:rPr>
        <w:t xml:space="preserve"> </w:t>
      </w:r>
    </w:p>
    <w:p w14:paraId="7B663BF9" w14:textId="2891E929" w:rsidR="00FF375E" w:rsidRDefault="00FF375E" w:rsidP="001267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 xml:space="preserve">Tradeoffs associated with decisions, so </w:t>
      </w:r>
      <w:r w:rsidR="004609B8" w:rsidRPr="001267EE">
        <w:rPr>
          <w:rFonts w:ascii="Arial" w:hAnsi="Arial" w:cs="Arial"/>
          <w:sz w:val="20"/>
          <w:szCs w:val="20"/>
        </w:rPr>
        <w:t>exercise caution</w:t>
      </w:r>
      <w:r w:rsidRPr="001267EE">
        <w:rPr>
          <w:rFonts w:ascii="Arial" w:hAnsi="Arial" w:cs="Arial"/>
          <w:sz w:val="20"/>
          <w:szCs w:val="20"/>
        </w:rPr>
        <w:t xml:space="preserve">. For example, Home vs. Away can confound habitat quality with local adaptation. </w:t>
      </w:r>
      <w:bookmarkStart w:id="0" w:name="_GoBack"/>
      <w:bookmarkEnd w:id="0"/>
    </w:p>
    <w:p w14:paraId="00AAA17D" w14:textId="766B5752" w:rsidR="00112A6A" w:rsidRPr="00112A6A" w:rsidRDefault="00112A6A" w:rsidP="00112A6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 xml:space="preserve">If using sympatric vs. allopatric design, </w:t>
      </w:r>
      <w:r>
        <w:rPr>
          <w:rFonts w:ascii="Arial" w:hAnsi="Arial" w:cs="Arial"/>
          <w:sz w:val="20"/>
          <w:szCs w:val="20"/>
        </w:rPr>
        <w:t>invest in wider</w:t>
      </w:r>
      <w:r w:rsidRPr="001267EE">
        <w:rPr>
          <w:rFonts w:ascii="Arial" w:hAnsi="Arial" w:cs="Arial"/>
          <w:sz w:val="20"/>
          <w:szCs w:val="20"/>
        </w:rPr>
        <w:t xml:space="preserve"> population</w:t>
      </w:r>
      <w:r>
        <w:rPr>
          <w:rFonts w:ascii="Arial" w:hAnsi="Arial" w:cs="Arial"/>
          <w:sz w:val="20"/>
          <w:szCs w:val="20"/>
        </w:rPr>
        <w:t xml:space="preserve"> sampling with fewer individuals</w:t>
      </w:r>
      <w:r w:rsidRPr="001267EE">
        <w:rPr>
          <w:rFonts w:ascii="Arial" w:hAnsi="Arial" w:cs="Arial"/>
          <w:sz w:val="20"/>
          <w:szCs w:val="20"/>
        </w:rPr>
        <w:t xml:space="preserve"> over </w:t>
      </w:r>
      <w:r>
        <w:rPr>
          <w:rFonts w:ascii="Arial" w:hAnsi="Arial" w:cs="Arial"/>
          <w:sz w:val="20"/>
          <w:szCs w:val="20"/>
        </w:rPr>
        <w:t xml:space="preserve">wider </w:t>
      </w:r>
      <w:r w:rsidRPr="001267EE">
        <w:rPr>
          <w:rFonts w:ascii="Arial" w:hAnsi="Arial" w:cs="Arial"/>
          <w:sz w:val="20"/>
          <w:szCs w:val="20"/>
        </w:rPr>
        <w:t>individual</w:t>
      </w:r>
      <w:r>
        <w:rPr>
          <w:rFonts w:ascii="Arial" w:hAnsi="Arial" w:cs="Arial"/>
          <w:sz w:val="20"/>
          <w:szCs w:val="20"/>
        </w:rPr>
        <w:t xml:space="preserve"> sampling across</w:t>
      </w:r>
      <w:r w:rsidRPr="001267EE">
        <w:rPr>
          <w:rFonts w:ascii="Arial" w:hAnsi="Arial" w:cs="Arial"/>
          <w:sz w:val="20"/>
          <w:szCs w:val="20"/>
        </w:rPr>
        <w:t xml:space="preserve"> few</w:t>
      </w:r>
      <w:r>
        <w:rPr>
          <w:rFonts w:ascii="Arial" w:hAnsi="Arial" w:cs="Arial"/>
          <w:sz w:val="20"/>
          <w:szCs w:val="20"/>
        </w:rPr>
        <w:t>er</w:t>
      </w:r>
      <w:r w:rsidRPr="001267EE">
        <w:rPr>
          <w:rFonts w:ascii="Arial" w:hAnsi="Arial" w:cs="Arial"/>
          <w:sz w:val="20"/>
          <w:szCs w:val="20"/>
        </w:rPr>
        <w:t xml:space="preserve"> populations </w:t>
      </w:r>
    </w:p>
    <w:p w14:paraId="11D3C6E4" w14:textId="77777777" w:rsidR="004609B8" w:rsidRPr="001267EE" w:rsidRDefault="004609B8" w:rsidP="005E6A42">
      <w:pPr>
        <w:pStyle w:val="ListParagraph"/>
        <w:numPr>
          <w:ilvl w:val="0"/>
          <w:numId w:val="1"/>
        </w:numPr>
        <w:ind w:left="180" w:hanging="180"/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 xml:space="preserve">Choose and define demes/populations carefully </w:t>
      </w:r>
    </w:p>
    <w:p w14:paraId="0481C87D" w14:textId="6AE6CD2B" w:rsidR="004609B8" w:rsidRDefault="004609B8" w:rsidP="001267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>The term “local” is subject to different interpretations. Be specific in</w:t>
      </w:r>
      <w:r w:rsidR="00D84AFE">
        <w:rPr>
          <w:rFonts w:ascii="Arial" w:hAnsi="Arial" w:cs="Arial"/>
          <w:sz w:val="20"/>
          <w:szCs w:val="20"/>
        </w:rPr>
        <w:t xml:space="preserve"> definitions</w:t>
      </w:r>
    </w:p>
    <w:p w14:paraId="0AD7086C" w14:textId="0D7232A6" w:rsidR="000C53DE" w:rsidRDefault="000C53DE" w:rsidP="001267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Dispersal, fecundity, and gene flow </w:t>
      </w:r>
      <w:r w:rsidR="001F4613">
        <w:rPr>
          <w:rFonts w:ascii="Arial" w:hAnsi="Arial" w:cs="Arial"/>
          <w:sz w:val="20"/>
          <w:szCs w:val="20"/>
        </w:rPr>
        <w:t xml:space="preserve">within and across demes </w:t>
      </w:r>
      <w:r w:rsidR="009A5F57">
        <w:rPr>
          <w:rFonts w:ascii="Arial" w:hAnsi="Arial" w:cs="Arial"/>
          <w:sz w:val="20"/>
          <w:szCs w:val="20"/>
        </w:rPr>
        <w:t>has</w:t>
      </w:r>
      <w:r>
        <w:rPr>
          <w:rFonts w:ascii="Arial" w:hAnsi="Arial" w:cs="Arial"/>
          <w:sz w:val="20"/>
          <w:szCs w:val="20"/>
        </w:rPr>
        <w:t xml:space="preserve"> large impact on adaptive dynamics</w:t>
      </w:r>
    </w:p>
    <w:p w14:paraId="3844A72C" w14:textId="77777777" w:rsidR="009A5F57" w:rsidRPr="009A5F57" w:rsidRDefault="009A5F57" w:rsidP="009A5F57">
      <w:pPr>
        <w:pStyle w:val="ListParagraph"/>
        <w:numPr>
          <w:ilvl w:val="0"/>
          <w:numId w:val="1"/>
        </w:numPr>
        <w:ind w:left="180" w:hanging="180"/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>Correlate findings to fitness, vital rates, or population growth metrics</w:t>
      </w:r>
    </w:p>
    <w:p w14:paraId="3CCE18A1" w14:textId="77777777" w:rsidR="009A5F57" w:rsidRPr="009A5F57" w:rsidRDefault="009A5F57" w:rsidP="009A5F5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A5F57">
        <w:rPr>
          <w:rFonts w:ascii="Arial" w:hAnsi="Arial" w:cs="Arial"/>
          <w:sz w:val="20"/>
          <w:szCs w:val="20"/>
        </w:rPr>
        <w:t>Local adaptation should be reflected in genetic signatures among populations, but to be considered adaptive, genetic change must be correlated with improved fitness.</w:t>
      </w:r>
    </w:p>
    <w:p w14:paraId="4993A391" w14:textId="77777777" w:rsidR="009A5F57" w:rsidRPr="001267EE" w:rsidRDefault="009A5F57" w:rsidP="009A5F5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 xml:space="preserve">Fitness can be difficult to measure directly but is important to confirm LA because other sources can cause differentiation but differences less likely to be adaptive. </w:t>
      </w:r>
    </w:p>
    <w:p w14:paraId="710DC4D2" w14:textId="5551F8A6" w:rsidR="009A5F57" w:rsidRPr="009A5F57" w:rsidRDefault="009A5F57" w:rsidP="009A5F5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 cautious in correlating traits to fitness. Bigger is often better in ectotherms, but not always. </w:t>
      </w:r>
    </w:p>
    <w:p w14:paraId="338700CF" w14:textId="4BA49927" w:rsidR="00505A54" w:rsidRPr="001267EE" w:rsidRDefault="004609B8" w:rsidP="005E6A42">
      <w:pPr>
        <w:pStyle w:val="ListParagraph"/>
        <w:numPr>
          <w:ilvl w:val="0"/>
          <w:numId w:val="1"/>
        </w:numPr>
        <w:ind w:left="180" w:hanging="180"/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>W</w:t>
      </w:r>
      <w:r w:rsidR="00505A54" w:rsidRPr="001267EE">
        <w:rPr>
          <w:rFonts w:ascii="Arial" w:hAnsi="Arial" w:cs="Arial"/>
          <w:sz w:val="20"/>
          <w:szCs w:val="20"/>
        </w:rPr>
        <w:t>eigh benefits and costs of common garden vs. reciprocal transplant</w:t>
      </w:r>
      <w:r w:rsidR="00DD4746" w:rsidRPr="001267EE">
        <w:rPr>
          <w:rFonts w:ascii="Arial" w:hAnsi="Arial" w:cs="Arial"/>
          <w:sz w:val="20"/>
          <w:szCs w:val="20"/>
        </w:rPr>
        <w:t xml:space="preserve"> experimental designs</w:t>
      </w:r>
    </w:p>
    <w:p w14:paraId="4C5A593C" w14:textId="010F7ECD" w:rsidR="00AC5974" w:rsidRDefault="00505A54" w:rsidP="001267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>Reciprocal transplant</w:t>
      </w:r>
      <w:r w:rsidR="00D84AFE">
        <w:rPr>
          <w:rFonts w:ascii="Arial" w:hAnsi="Arial" w:cs="Arial"/>
          <w:sz w:val="20"/>
          <w:szCs w:val="20"/>
        </w:rPr>
        <w:t xml:space="preserve">: </w:t>
      </w:r>
    </w:p>
    <w:p w14:paraId="4A801C5E" w14:textId="6811B9C7" w:rsidR="00D84AFE" w:rsidRDefault="00D84AFE" w:rsidP="009A5F5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 closely mimics natural environment</w:t>
      </w:r>
      <w:r w:rsidR="00B14FB5">
        <w:rPr>
          <w:rFonts w:ascii="Arial" w:hAnsi="Arial" w:cs="Arial"/>
          <w:sz w:val="20"/>
          <w:szCs w:val="20"/>
        </w:rPr>
        <w:t>al conditions</w:t>
      </w:r>
    </w:p>
    <w:p w14:paraId="5DF265B2" w14:textId="0B10FBF6" w:rsidR="00D84AFE" w:rsidRDefault="00D84AFE" w:rsidP="009A5F5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logistically or experimentally infeasible</w:t>
      </w:r>
    </w:p>
    <w:p w14:paraId="7C80752E" w14:textId="259EB8BA" w:rsidR="00B14FB5" w:rsidRDefault="00B14FB5" w:rsidP="009A5F5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ramifications of introducing foreign individuals to different demes</w:t>
      </w:r>
    </w:p>
    <w:p w14:paraId="45DB46DC" w14:textId="77777777" w:rsidR="00B14FB5" w:rsidRDefault="00B14FB5" w:rsidP="00B14F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Common garden designs: </w:t>
      </w:r>
    </w:p>
    <w:p w14:paraId="23A1FEA1" w14:textId="55217F6D" w:rsidR="00B14FB5" w:rsidRPr="00B14FB5" w:rsidRDefault="00B14FB5" w:rsidP="009A5F5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B14FB5">
        <w:rPr>
          <w:rFonts w:ascii="Arial" w:hAnsi="Arial" w:cs="Arial"/>
          <w:sz w:val="20"/>
          <w:szCs w:val="20"/>
        </w:rPr>
        <w:t>A</w:t>
      </w:r>
      <w:r w:rsidR="001038CC" w:rsidRPr="00B14FB5">
        <w:rPr>
          <w:rFonts w:ascii="Arial" w:hAnsi="Arial" w:cs="Arial"/>
          <w:sz w:val="20"/>
          <w:szCs w:val="20"/>
        </w:rPr>
        <w:t>llows for more experimental control and manipulation</w:t>
      </w:r>
      <w:r>
        <w:rPr>
          <w:rFonts w:ascii="Arial" w:hAnsi="Arial" w:cs="Arial"/>
          <w:sz w:val="20"/>
          <w:szCs w:val="20"/>
        </w:rPr>
        <w:t>, often more feasible</w:t>
      </w:r>
    </w:p>
    <w:p w14:paraId="0639E7E3" w14:textId="012259DC" w:rsidR="001038CC" w:rsidRPr="001267EE" w:rsidRDefault="00B14FB5" w:rsidP="009A5F5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1038CC" w:rsidRPr="001267EE">
        <w:rPr>
          <w:rFonts w:ascii="Arial" w:hAnsi="Arial" w:cs="Arial"/>
          <w:sz w:val="20"/>
          <w:szCs w:val="20"/>
        </w:rPr>
        <w:t xml:space="preserve">ot as </w:t>
      </w:r>
      <w:r w:rsidR="00AC5974" w:rsidRPr="001267EE">
        <w:rPr>
          <w:rFonts w:ascii="Arial" w:hAnsi="Arial" w:cs="Arial"/>
          <w:sz w:val="20"/>
          <w:szCs w:val="20"/>
        </w:rPr>
        <w:t>representative of natural environments</w:t>
      </w:r>
      <w:r>
        <w:rPr>
          <w:rFonts w:ascii="Arial" w:hAnsi="Arial" w:cs="Arial"/>
          <w:sz w:val="20"/>
          <w:szCs w:val="20"/>
        </w:rPr>
        <w:t xml:space="preserve"> (</w:t>
      </w:r>
      <w:r w:rsidR="002A765D">
        <w:rPr>
          <w:rFonts w:ascii="Arial" w:hAnsi="Arial" w:cs="Arial"/>
          <w:sz w:val="20"/>
          <w:szCs w:val="20"/>
        </w:rPr>
        <w:t xml:space="preserve">may miss key trait or biotic </w:t>
      </w:r>
      <w:r>
        <w:rPr>
          <w:rFonts w:ascii="Arial" w:hAnsi="Arial" w:cs="Arial"/>
          <w:sz w:val="20"/>
          <w:szCs w:val="20"/>
        </w:rPr>
        <w:t>interaction</w:t>
      </w:r>
      <w:r w:rsidR="002A765D">
        <w:rPr>
          <w:rFonts w:ascii="Arial" w:hAnsi="Arial" w:cs="Arial"/>
          <w:sz w:val="20"/>
          <w:szCs w:val="20"/>
        </w:rPr>
        <w:t>s)</w:t>
      </w:r>
    </w:p>
    <w:p w14:paraId="1A9F3C57" w14:textId="1DDDF78F" w:rsidR="00DD4746" w:rsidRPr="001267EE" w:rsidRDefault="00DD4746" w:rsidP="009A5F5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 xml:space="preserve">If unsure of </w:t>
      </w:r>
      <w:r w:rsidR="00B14FB5">
        <w:rPr>
          <w:rFonts w:ascii="Arial" w:hAnsi="Arial" w:cs="Arial"/>
          <w:sz w:val="20"/>
          <w:szCs w:val="20"/>
        </w:rPr>
        <w:t>selective driver</w:t>
      </w:r>
      <w:r w:rsidRPr="001267EE">
        <w:rPr>
          <w:rFonts w:ascii="Arial" w:hAnsi="Arial" w:cs="Arial"/>
          <w:sz w:val="20"/>
          <w:szCs w:val="20"/>
        </w:rPr>
        <w:t xml:space="preserve">, </w:t>
      </w:r>
      <w:r w:rsidR="00B14FB5">
        <w:rPr>
          <w:rFonts w:ascii="Arial" w:hAnsi="Arial" w:cs="Arial"/>
          <w:sz w:val="20"/>
          <w:szCs w:val="20"/>
        </w:rPr>
        <w:t xml:space="preserve">common garden may </w:t>
      </w:r>
      <w:r w:rsidR="002A765D">
        <w:rPr>
          <w:rFonts w:ascii="Arial" w:hAnsi="Arial" w:cs="Arial"/>
          <w:sz w:val="20"/>
          <w:szCs w:val="20"/>
        </w:rPr>
        <w:t>neglect</w:t>
      </w:r>
      <w:r w:rsidR="00B14FB5">
        <w:rPr>
          <w:rFonts w:ascii="Arial" w:hAnsi="Arial" w:cs="Arial"/>
          <w:sz w:val="20"/>
          <w:szCs w:val="20"/>
        </w:rPr>
        <w:t xml:space="preserve"> important drivers </w:t>
      </w:r>
    </w:p>
    <w:p w14:paraId="1A59F3DD" w14:textId="4B5923B4" w:rsidR="00505A54" w:rsidRPr="001267EE" w:rsidRDefault="004609B8" w:rsidP="005E6A42">
      <w:pPr>
        <w:pStyle w:val="ListParagraph"/>
        <w:numPr>
          <w:ilvl w:val="0"/>
          <w:numId w:val="1"/>
        </w:numPr>
        <w:ind w:left="180" w:hanging="180"/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>U</w:t>
      </w:r>
      <w:r w:rsidR="00505A54" w:rsidRPr="001267EE">
        <w:rPr>
          <w:rFonts w:ascii="Arial" w:hAnsi="Arial" w:cs="Arial"/>
          <w:sz w:val="20"/>
          <w:szCs w:val="20"/>
        </w:rPr>
        <w:t xml:space="preserve">nderstand influence of alternative drivers of differentiation </w:t>
      </w:r>
    </w:p>
    <w:p w14:paraId="399F6D3B" w14:textId="2C680E30" w:rsidR="001038CC" w:rsidRPr="001267EE" w:rsidRDefault="001038CC" w:rsidP="001267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 xml:space="preserve">Strong drift can lead to </w:t>
      </w:r>
      <w:r w:rsidR="005E6A42">
        <w:rPr>
          <w:rFonts w:ascii="Arial" w:hAnsi="Arial" w:cs="Arial"/>
          <w:sz w:val="20"/>
          <w:szCs w:val="20"/>
        </w:rPr>
        <w:t xml:space="preserve">genetic </w:t>
      </w:r>
      <w:r w:rsidRPr="001267EE">
        <w:rPr>
          <w:rFonts w:ascii="Arial" w:hAnsi="Arial" w:cs="Arial"/>
          <w:sz w:val="20"/>
          <w:szCs w:val="20"/>
        </w:rPr>
        <w:t>differentiation</w:t>
      </w:r>
      <w:r w:rsidR="005E6A42">
        <w:rPr>
          <w:rFonts w:ascii="Arial" w:hAnsi="Arial" w:cs="Arial"/>
          <w:sz w:val="20"/>
          <w:szCs w:val="20"/>
        </w:rPr>
        <w:t xml:space="preserve"> but is not correlated with increase in fitness</w:t>
      </w:r>
    </w:p>
    <w:p w14:paraId="4BDD9B77" w14:textId="6C007E7A" w:rsidR="001038CC" w:rsidRDefault="00B14FB5" w:rsidP="001267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 g</w:t>
      </w:r>
      <w:r w:rsidR="001038CC" w:rsidRPr="001267EE">
        <w:rPr>
          <w:rFonts w:ascii="Arial" w:hAnsi="Arial" w:cs="Arial"/>
          <w:sz w:val="20"/>
          <w:szCs w:val="20"/>
        </w:rPr>
        <w:t>ene flow can reduce appearance of local adaptation</w:t>
      </w:r>
    </w:p>
    <w:p w14:paraId="61A8FC68" w14:textId="428515EF" w:rsidR="00E42D6E" w:rsidRDefault="00B14FB5" w:rsidP="001267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possible, t</w:t>
      </w:r>
      <w:r w:rsidR="00E42D6E">
        <w:rPr>
          <w:rFonts w:ascii="Arial" w:hAnsi="Arial" w:cs="Arial"/>
          <w:sz w:val="20"/>
          <w:szCs w:val="20"/>
        </w:rPr>
        <w:t xml:space="preserve">est across generations </w:t>
      </w:r>
      <w:r w:rsidR="00C374A4">
        <w:rPr>
          <w:rFonts w:ascii="Arial" w:hAnsi="Arial" w:cs="Arial"/>
          <w:sz w:val="20"/>
          <w:szCs w:val="20"/>
        </w:rPr>
        <w:t>to control</w:t>
      </w:r>
      <w:r>
        <w:rPr>
          <w:rFonts w:ascii="Arial" w:hAnsi="Arial" w:cs="Arial"/>
          <w:sz w:val="20"/>
          <w:szCs w:val="20"/>
        </w:rPr>
        <w:t xml:space="preserve"> for maternal effects</w:t>
      </w:r>
    </w:p>
    <w:p w14:paraId="7E61DCC9" w14:textId="335A61B6" w:rsidR="00E42D6E" w:rsidRPr="001267EE" w:rsidRDefault="005E6A42" w:rsidP="001267E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 of environment on phenotype should be tested as p</w:t>
      </w:r>
      <w:r w:rsidR="00E42D6E">
        <w:rPr>
          <w:rFonts w:ascii="Arial" w:hAnsi="Arial" w:cs="Arial"/>
          <w:sz w:val="20"/>
          <w:szCs w:val="20"/>
        </w:rPr>
        <w:t xml:space="preserve">henotypic plasticity can generate phenotypes that appear different </w:t>
      </w:r>
      <w:r w:rsidR="00C374A4">
        <w:rPr>
          <w:rFonts w:ascii="Arial" w:hAnsi="Arial" w:cs="Arial"/>
          <w:sz w:val="20"/>
          <w:szCs w:val="20"/>
        </w:rPr>
        <w:t xml:space="preserve">across populations </w:t>
      </w:r>
      <w:r>
        <w:rPr>
          <w:rFonts w:ascii="Arial" w:hAnsi="Arial" w:cs="Arial"/>
          <w:sz w:val="20"/>
          <w:szCs w:val="20"/>
        </w:rPr>
        <w:t>are genetically unchanged</w:t>
      </w:r>
    </w:p>
    <w:p w14:paraId="77948543" w14:textId="1D287577" w:rsidR="001038CC" w:rsidRPr="001267EE" w:rsidRDefault="00593273" w:rsidP="001267E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267EE">
        <w:rPr>
          <w:rFonts w:ascii="Arial" w:hAnsi="Arial" w:cs="Arial"/>
          <w:sz w:val="20"/>
          <w:szCs w:val="20"/>
        </w:rPr>
        <w:t xml:space="preserve">Provide </w:t>
      </w:r>
      <w:r w:rsidR="004609B8" w:rsidRPr="001267EE">
        <w:rPr>
          <w:rFonts w:ascii="Arial" w:hAnsi="Arial" w:cs="Arial"/>
          <w:sz w:val="20"/>
          <w:szCs w:val="20"/>
        </w:rPr>
        <w:t xml:space="preserve">detailed </w:t>
      </w:r>
      <w:r w:rsidRPr="001267EE">
        <w:rPr>
          <w:rFonts w:ascii="Arial" w:hAnsi="Arial" w:cs="Arial"/>
          <w:sz w:val="20"/>
          <w:szCs w:val="20"/>
        </w:rPr>
        <w:t>justification and explanation of choices in papers</w:t>
      </w:r>
    </w:p>
    <w:p w14:paraId="59F021B6" w14:textId="1EFD2DE3" w:rsidR="00DD4746" w:rsidRPr="002A765D" w:rsidRDefault="002A765D" w:rsidP="002A765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185EAF" w:rsidRPr="001267EE">
        <w:rPr>
          <w:rFonts w:ascii="Arial" w:hAnsi="Arial" w:cs="Arial"/>
          <w:sz w:val="20"/>
          <w:szCs w:val="20"/>
        </w:rPr>
        <w:t xml:space="preserve">ynthesis efforts such as reviews or meta-analyses require detailed methods to handle heterogeneity among studies. </w:t>
      </w:r>
    </w:p>
    <w:sectPr w:rsidR="00DD4746" w:rsidRPr="002A765D" w:rsidSect="001F4613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A9D"/>
    <w:multiLevelType w:val="hybridMultilevel"/>
    <w:tmpl w:val="A56CA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F6FF2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D2"/>
    <w:rsid w:val="000034DB"/>
    <w:rsid w:val="00022AE7"/>
    <w:rsid w:val="00027DA8"/>
    <w:rsid w:val="0003021C"/>
    <w:rsid w:val="00034277"/>
    <w:rsid w:val="00034DC9"/>
    <w:rsid w:val="000655E4"/>
    <w:rsid w:val="00065732"/>
    <w:rsid w:val="00067190"/>
    <w:rsid w:val="0007446B"/>
    <w:rsid w:val="00075CC8"/>
    <w:rsid w:val="00085354"/>
    <w:rsid w:val="000C1046"/>
    <w:rsid w:val="000C16A4"/>
    <w:rsid w:val="000C53DE"/>
    <w:rsid w:val="000E4806"/>
    <w:rsid w:val="001038CC"/>
    <w:rsid w:val="00107BBB"/>
    <w:rsid w:val="00112A6A"/>
    <w:rsid w:val="001267EE"/>
    <w:rsid w:val="00135D60"/>
    <w:rsid w:val="00141EDB"/>
    <w:rsid w:val="00181DFB"/>
    <w:rsid w:val="00185EAF"/>
    <w:rsid w:val="001927B7"/>
    <w:rsid w:val="00194B05"/>
    <w:rsid w:val="001C378E"/>
    <w:rsid w:val="001C6316"/>
    <w:rsid w:val="001D3423"/>
    <w:rsid w:val="001D71F8"/>
    <w:rsid w:val="001F4613"/>
    <w:rsid w:val="00217FF3"/>
    <w:rsid w:val="00227A92"/>
    <w:rsid w:val="00236E28"/>
    <w:rsid w:val="002703B4"/>
    <w:rsid w:val="00275300"/>
    <w:rsid w:val="00283691"/>
    <w:rsid w:val="00297373"/>
    <w:rsid w:val="002A6BDD"/>
    <w:rsid w:val="002A765D"/>
    <w:rsid w:val="002C4FB7"/>
    <w:rsid w:val="003216F5"/>
    <w:rsid w:val="00325D04"/>
    <w:rsid w:val="003300BC"/>
    <w:rsid w:val="00343FA8"/>
    <w:rsid w:val="003A19AA"/>
    <w:rsid w:val="003A21BC"/>
    <w:rsid w:val="003A505E"/>
    <w:rsid w:val="003C497B"/>
    <w:rsid w:val="003D508E"/>
    <w:rsid w:val="003D5FC3"/>
    <w:rsid w:val="003F07C6"/>
    <w:rsid w:val="003F4CA5"/>
    <w:rsid w:val="00436A32"/>
    <w:rsid w:val="00440A26"/>
    <w:rsid w:val="0044152C"/>
    <w:rsid w:val="004538E4"/>
    <w:rsid w:val="004609B8"/>
    <w:rsid w:val="0046705E"/>
    <w:rsid w:val="0047170C"/>
    <w:rsid w:val="004B3F3A"/>
    <w:rsid w:val="004B4FB9"/>
    <w:rsid w:val="004C42D7"/>
    <w:rsid w:val="004C7782"/>
    <w:rsid w:val="004F38EE"/>
    <w:rsid w:val="00505A54"/>
    <w:rsid w:val="00526F6B"/>
    <w:rsid w:val="00532652"/>
    <w:rsid w:val="00567AA3"/>
    <w:rsid w:val="00573A13"/>
    <w:rsid w:val="00593273"/>
    <w:rsid w:val="005B25DD"/>
    <w:rsid w:val="005B2635"/>
    <w:rsid w:val="005E6A42"/>
    <w:rsid w:val="005E6B66"/>
    <w:rsid w:val="005E73CB"/>
    <w:rsid w:val="005E7BF3"/>
    <w:rsid w:val="005F14C9"/>
    <w:rsid w:val="00606435"/>
    <w:rsid w:val="00633D65"/>
    <w:rsid w:val="00641FB5"/>
    <w:rsid w:val="00647C6B"/>
    <w:rsid w:val="00654935"/>
    <w:rsid w:val="00656A05"/>
    <w:rsid w:val="00656C2B"/>
    <w:rsid w:val="00660E88"/>
    <w:rsid w:val="00670E36"/>
    <w:rsid w:val="006819DF"/>
    <w:rsid w:val="00691B66"/>
    <w:rsid w:val="00697542"/>
    <w:rsid w:val="006B36CB"/>
    <w:rsid w:val="006C6D68"/>
    <w:rsid w:val="006F2495"/>
    <w:rsid w:val="006F64F6"/>
    <w:rsid w:val="00715A7B"/>
    <w:rsid w:val="00721245"/>
    <w:rsid w:val="0072678C"/>
    <w:rsid w:val="00734866"/>
    <w:rsid w:val="00736471"/>
    <w:rsid w:val="00740C14"/>
    <w:rsid w:val="00752E4B"/>
    <w:rsid w:val="007643ED"/>
    <w:rsid w:val="00776F97"/>
    <w:rsid w:val="00785C80"/>
    <w:rsid w:val="00790D84"/>
    <w:rsid w:val="007B53B9"/>
    <w:rsid w:val="007D5762"/>
    <w:rsid w:val="007F42FE"/>
    <w:rsid w:val="00805B34"/>
    <w:rsid w:val="00806FEB"/>
    <w:rsid w:val="00843248"/>
    <w:rsid w:val="00852245"/>
    <w:rsid w:val="008551C8"/>
    <w:rsid w:val="00866E9E"/>
    <w:rsid w:val="008701B5"/>
    <w:rsid w:val="00885961"/>
    <w:rsid w:val="00887D86"/>
    <w:rsid w:val="008B0DBC"/>
    <w:rsid w:val="008B3083"/>
    <w:rsid w:val="00914CBA"/>
    <w:rsid w:val="00924FB5"/>
    <w:rsid w:val="0092643A"/>
    <w:rsid w:val="00952061"/>
    <w:rsid w:val="00955E08"/>
    <w:rsid w:val="00960403"/>
    <w:rsid w:val="009A5F57"/>
    <w:rsid w:val="009C0490"/>
    <w:rsid w:val="009E673C"/>
    <w:rsid w:val="00A3016F"/>
    <w:rsid w:val="00A51555"/>
    <w:rsid w:val="00A554DA"/>
    <w:rsid w:val="00A80FFF"/>
    <w:rsid w:val="00A850FC"/>
    <w:rsid w:val="00AA2A96"/>
    <w:rsid w:val="00AC1CEE"/>
    <w:rsid w:val="00AC5974"/>
    <w:rsid w:val="00AD6DBB"/>
    <w:rsid w:val="00AE5D3F"/>
    <w:rsid w:val="00B12CCC"/>
    <w:rsid w:val="00B14FB5"/>
    <w:rsid w:val="00B1641C"/>
    <w:rsid w:val="00B16567"/>
    <w:rsid w:val="00B2237F"/>
    <w:rsid w:val="00B3193A"/>
    <w:rsid w:val="00B45D68"/>
    <w:rsid w:val="00B52915"/>
    <w:rsid w:val="00B53DDD"/>
    <w:rsid w:val="00B57A49"/>
    <w:rsid w:val="00B73CB5"/>
    <w:rsid w:val="00B751F4"/>
    <w:rsid w:val="00B82701"/>
    <w:rsid w:val="00B846F6"/>
    <w:rsid w:val="00B97888"/>
    <w:rsid w:val="00BC150D"/>
    <w:rsid w:val="00BE2F29"/>
    <w:rsid w:val="00C015C4"/>
    <w:rsid w:val="00C374A4"/>
    <w:rsid w:val="00C479FB"/>
    <w:rsid w:val="00C74C74"/>
    <w:rsid w:val="00CC0372"/>
    <w:rsid w:val="00CC72F7"/>
    <w:rsid w:val="00CD795B"/>
    <w:rsid w:val="00D427ED"/>
    <w:rsid w:val="00D454D5"/>
    <w:rsid w:val="00D57A49"/>
    <w:rsid w:val="00D703C5"/>
    <w:rsid w:val="00D84AFE"/>
    <w:rsid w:val="00D8543A"/>
    <w:rsid w:val="00D86100"/>
    <w:rsid w:val="00D93021"/>
    <w:rsid w:val="00D957F3"/>
    <w:rsid w:val="00DA1291"/>
    <w:rsid w:val="00DB694D"/>
    <w:rsid w:val="00DD196F"/>
    <w:rsid w:val="00DD4746"/>
    <w:rsid w:val="00E05D02"/>
    <w:rsid w:val="00E11DDB"/>
    <w:rsid w:val="00E261FF"/>
    <w:rsid w:val="00E26FB4"/>
    <w:rsid w:val="00E34B42"/>
    <w:rsid w:val="00E42136"/>
    <w:rsid w:val="00E42D6E"/>
    <w:rsid w:val="00E532E3"/>
    <w:rsid w:val="00E663B7"/>
    <w:rsid w:val="00E77203"/>
    <w:rsid w:val="00E91F19"/>
    <w:rsid w:val="00E9306E"/>
    <w:rsid w:val="00EC5D03"/>
    <w:rsid w:val="00EE7782"/>
    <w:rsid w:val="00F16531"/>
    <w:rsid w:val="00F2393D"/>
    <w:rsid w:val="00F378B7"/>
    <w:rsid w:val="00F433CB"/>
    <w:rsid w:val="00F464B5"/>
    <w:rsid w:val="00F50D5E"/>
    <w:rsid w:val="00F60837"/>
    <w:rsid w:val="00F6642C"/>
    <w:rsid w:val="00F678F9"/>
    <w:rsid w:val="00F77B8C"/>
    <w:rsid w:val="00FA3C84"/>
    <w:rsid w:val="00FA3E52"/>
    <w:rsid w:val="00FB37D2"/>
    <w:rsid w:val="00FC04BC"/>
    <w:rsid w:val="00FC1203"/>
    <w:rsid w:val="00FC3B60"/>
    <w:rsid w:val="00FC6A56"/>
    <w:rsid w:val="00FD06E0"/>
    <w:rsid w:val="00F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89BA"/>
  <w14:defaultImageDpi w14:val="32767"/>
  <w15:chartTrackingRefBased/>
  <w15:docId w15:val="{96C1BDB4-A250-CD45-A226-87712FCE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Albecker, Molly Ann</dc:creator>
  <cp:keywords/>
  <dc:description/>
  <cp:lastModifiedBy>Albecker, Molly Ann</cp:lastModifiedBy>
  <cp:revision>7</cp:revision>
  <dcterms:created xsi:type="dcterms:W3CDTF">2019-05-09T13:44:00Z</dcterms:created>
  <dcterms:modified xsi:type="dcterms:W3CDTF">2019-05-13T13:25:00Z</dcterms:modified>
</cp:coreProperties>
</file>