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55"/>
        <w:gridCol w:w="4050"/>
        <w:gridCol w:w="1980"/>
        <w:gridCol w:w="1260"/>
        <w:gridCol w:w="2386"/>
        <w:gridCol w:w="2019"/>
      </w:tblGrid>
      <w:tr w:rsidR="00F520C4" w:rsidRPr="00F520C4" w14:paraId="69CE725B" w14:textId="77777777" w:rsidTr="00F520C4">
        <w:tc>
          <w:tcPr>
            <w:tcW w:w="1255" w:type="dxa"/>
            <w:shd w:val="clear" w:color="auto" w:fill="7F7F7F" w:themeFill="text1" w:themeFillTint="80"/>
            <w:vAlign w:val="center"/>
          </w:tcPr>
          <w:p w14:paraId="3D4059CE" w14:textId="1C3247C6" w:rsidR="004B145F" w:rsidRPr="00F520C4" w:rsidRDefault="004B145F" w:rsidP="004917E4">
            <w:pPr>
              <w:jc w:val="center"/>
              <w:rPr>
                <w:b/>
                <w:bCs/>
                <w:sz w:val="13"/>
                <w:szCs w:val="13"/>
              </w:rPr>
            </w:pPr>
            <w:bookmarkStart w:id="0" w:name="_GoBack"/>
            <w:bookmarkEnd w:id="0"/>
            <w:r w:rsidRPr="00F520C4">
              <w:rPr>
                <w:b/>
                <w:bCs/>
                <w:sz w:val="13"/>
                <w:szCs w:val="13"/>
              </w:rPr>
              <w:t>Phrase</w:t>
            </w:r>
          </w:p>
        </w:tc>
        <w:tc>
          <w:tcPr>
            <w:tcW w:w="4050" w:type="dxa"/>
            <w:shd w:val="clear" w:color="auto" w:fill="7F7F7F" w:themeFill="text1" w:themeFillTint="80"/>
            <w:vAlign w:val="center"/>
          </w:tcPr>
          <w:p w14:paraId="68C21248" w14:textId="63098FAA" w:rsidR="004B145F" w:rsidRPr="00F520C4" w:rsidRDefault="004B145F" w:rsidP="004917E4">
            <w:pPr>
              <w:jc w:val="center"/>
              <w:rPr>
                <w:b/>
                <w:bCs/>
                <w:sz w:val="13"/>
                <w:szCs w:val="13"/>
              </w:rPr>
            </w:pPr>
            <w:r w:rsidRPr="00F520C4">
              <w:rPr>
                <w:b/>
                <w:bCs/>
                <w:sz w:val="13"/>
                <w:szCs w:val="13"/>
              </w:rPr>
              <w:t>Verbal</w:t>
            </w:r>
          </w:p>
        </w:tc>
        <w:tc>
          <w:tcPr>
            <w:tcW w:w="1980" w:type="dxa"/>
            <w:shd w:val="clear" w:color="auto" w:fill="7F7F7F" w:themeFill="text1" w:themeFillTint="80"/>
            <w:vAlign w:val="center"/>
          </w:tcPr>
          <w:p w14:paraId="78443F9A" w14:textId="7AE8C13E" w:rsidR="004B145F" w:rsidRPr="00F520C4" w:rsidRDefault="004B145F" w:rsidP="004917E4">
            <w:pPr>
              <w:jc w:val="center"/>
              <w:rPr>
                <w:b/>
                <w:bCs/>
                <w:sz w:val="13"/>
                <w:szCs w:val="13"/>
              </w:rPr>
            </w:pPr>
            <w:r w:rsidRPr="00F520C4">
              <w:rPr>
                <w:b/>
                <w:bCs/>
                <w:sz w:val="13"/>
                <w:szCs w:val="13"/>
              </w:rPr>
              <w:t>Intrinsic vs. Emergent?</w:t>
            </w:r>
          </w:p>
        </w:tc>
        <w:tc>
          <w:tcPr>
            <w:tcW w:w="1260" w:type="dxa"/>
            <w:shd w:val="clear" w:color="auto" w:fill="7F7F7F" w:themeFill="text1" w:themeFillTint="80"/>
            <w:vAlign w:val="center"/>
          </w:tcPr>
          <w:p w14:paraId="6D48E2EA" w14:textId="5FA83C81" w:rsidR="004B145F" w:rsidRPr="00F520C4" w:rsidRDefault="004B145F" w:rsidP="004917E4">
            <w:pPr>
              <w:jc w:val="center"/>
              <w:rPr>
                <w:b/>
                <w:bCs/>
                <w:sz w:val="13"/>
                <w:szCs w:val="13"/>
              </w:rPr>
            </w:pPr>
            <w:r w:rsidRPr="00F520C4">
              <w:rPr>
                <w:b/>
                <w:bCs/>
                <w:sz w:val="13"/>
                <w:szCs w:val="13"/>
              </w:rPr>
              <w:t>References</w:t>
            </w:r>
          </w:p>
        </w:tc>
        <w:tc>
          <w:tcPr>
            <w:tcW w:w="2386" w:type="dxa"/>
            <w:shd w:val="clear" w:color="auto" w:fill="7F7F7F" w:themeFill="text1" w:themeFillTint="80"/>
            <w:vAlign w:val="center"/>
          </w:tcPr>
          <w:p w14:paraId="20362179" w14:textId="0D42B319" w:rsidR="004B145F" w:rsidRPr="00F520C4" w:rsidRDefault="004B145F" w:rsidP="004917E4">
            <w:pPr>
              <w:jc w:val="center"/>
              <w:rPr>
                <w:b/>
                <w:bCs/>
                <w:sz w:val="13"/>
                <w:szCs w:val="13"/>
              </w:rPr>
            </w:pPr>
            <w:r w:rsidRPr="00F520C4">
              <w:rPr>
                <w:b/>
                <w:bCs/>
                <w:sz w:val="13"/>
                <w:szCs w:val="13"/>
              </w:rPr>
              <w:t>Experimental design and estimation from data</w:t>
            </w:r>
          </w:p>
        </w:tc>
        <w:tc>
          <w:tcPr>
            <w:tcW w:w="2019" w:type="dxa"/>
            <w:shd w:val="clear" w:color="auto" w:fill="7F7F7F" w:themeFill="text1" w:themeFillTint="80"/>
            <w:vAlign w:val="center"/>
          </w:tcPr>
          <w:p w14:paraId="57AED92D" w14:textId="5297F047" w:rsidR="004B145F" w:rsidRPr="00F520C4" w:rsidRDefault="004B145F" w:rsidP="004917E4">
            <w:pPr>
              <w:jc w:val="center"/>
              <w:rPr>
                <w:b/>
                <w:bCs/>
                <w:sz w:val="13"/>
                <w:szCs w:val="13"/>
              </w:rPr>
            </w:pPr>
            <w:proofErr w:type="spellStart"/>
            <w:r w:rsidRPr="00F520C4">
              <w:rPr>
                <w:b/>
                <w:bCs/>
                <w:sz w:val="13"/>
                <w:szCs w:val="13"/>
              </w:rPr>
              <w:t>GxE</w:t>
            </w:r>
            <w:proofErr w:type="spellEnd"/>
            <w:r w:rsidRPr="00F520C4">
              <w:rPr>
                <w:b/>
                <w:bCs/>
                <w:sz w:val="13"/>
                <w:szCs w:val="13"/>
              </w:rPr>
              <w:t xml:space="preserve"> interpretation from data</w:t>
            </w:r>
          </w:p>
        </w:tc>
      </w:tr>
      <w:tr w:rsidR="00F520C4" w:rsidRPr="00F520C4" w14:paraId="4216DE3E" w14:textId="77777777" w:rsidTr="00F520C4">
        <w:tc>
          <w:tcPr>
            <w:tcW w:w="1255" w:type="dxa"/>
          </w:tcPr>
          <w:p w14:paraId="3238E42B" w14:textId="77777777" w:rsidR="004B145F" w:rsidRPr="00F520C4" w:rsidRDefault="004B145F" w:rsidP="004B145F">
            <w:pPr>
              <w:rPr>
                <w:sz w:val="13"/>
                <w:szCs w:val="13"/>
              </w:rPr>
            </w:pPr>
            <w:r w:rsidRPr="00F520C4">
              <w:rPr>
                <w:sz w:val="13"/>
                <w:szCs w:val="13"/>
              </w:rPr>
              <w:t xml:space="preserve">Spatial </w:t>
            </w:r>
            <w:proofErr w:type="spellStart"/>
            <w:r w:rsidRPr="00F520C4">
              <w:rPr>
                <w:sz w:val="13"/>
                <w:szCs w:val="13"/>
              </w:rPr>
              <w:t>Cov</w:t>
            </w:r>
            <w:r w:rsidRPr="00F520C4">
              <w:rPr>
                <w:sz w:val="13"/>
                <w:szCs w:val="13"/>
                <w:vertAlign w:val="subscript"/>
              </w:rPr>
              <w:t>GE</w:t>
            </w:r>
            <w:proofErr w:type="spellEnd"/>
          </w:p>
          <w:p w14:paraId="3005F330" w14:textId="77777777" w:rsidR="004B145F" w:rsidRPr="00F520C4" w:rsidRDefault="004B145F">
            <w:pPr>
              <w:rPr>
                <w:sz w:val="13"/>
                <w:szCs w:val="13"/>
              </w:rPr>
            </w:pPr>
          </w:p>
        </w:tc>
        <w:tc>
          <w:tcPr>
            <w:tcW w:w="4050" w:type="dxa"/>
          </w:tcPr>
          <w:p w14:paraId="6F4F4204" w14:textId="59684723" w:rsidR="004B145F" w:rsidRPr="00F520C4" w:rsidRDefault="004B145F" w:rsidP="00F520C4">
            <w:pPr>
              <w:pStyle w:val="NormalWeb"/>
              <w:spacing w:before="0" w:beforeAutospacing="0" w:after="0" w:afterAutospacing="0"/>
              <w:rPr>
                <w:sz w:val="13"/>
                <w:szCs w:val="13"/>
              </w:rPr>
            </w:pPr>
            <w:proofErr w:type="spellStart"/>
            <w:r w:rsidRPr="00F520C4">
              <w:rPr>
                <w:sz w:val="13"/>
                <w:szCs w:val="13"/>
              </w:rPr>
              <w:t>Cov</w:t>
            </w:r>
            <w:r w:rsidRPr="00F520C4">
              <w:rPr>
                <w:sz w:val="13"/>
                <w:szCs w:val="13"/>
                <w:vertAlign w:val="subscript"/>
              </w:rPr>
              <w:t>GE</w:t>
            </w:r>
            <w:proofErr w:type="spellEnd"/>
            <w:r w:rsidRPr="00F520C4">
              <w:rPr>
                <w:sz w:val="13"/>
                <w:szCs w:val="13"/>
              </w:rPr>
              <w:t xml:space="preserve"> is</w:t>
            </w:r>
            <w:r w:rsidRPr="00F520C4">
              <w:rPr>
                <w:sz w:val="13"/>
                <w:szCs w:val="13"/>
              </w:rPr>
              <w:t xml:space="preserve"> the covariance between phenotypic deviations due to genotype (genotypic effects) and phenotypic deviations due to environment (environmental effects) across spatial locations. Stated differently, </w:t>
            </w:r>
            <w:proofErr w:type="spellStart"/>
            <w:r w:rsidRPr="00F520C4">
              <w:rPr>
                <w:sz w:val="13"/>
                <w:szCs w:val="13"/>
              </w:rPr>
              <w:t>Cov</w:t>
            </w:r>
            <w:r w:rsidRPr="00F520C4">
              <w:rPr>
                <w:sz w:val="13"/>
                <w:szCs w:val="13"/>
                <w:vertAlign w:val="subscript"/>
              </w:rPr>
              <w:t>GE</w:t>
            </w:r>
            <w:proofErr w:type="spellEnd"/>
            <w:r w:rsidRPr="00F520C4">
              <w:rPr>
                <w:sz w:val="13"/>
                <w:szCs w:val="13"/>
              </w:rPr>
              <w:t xml:space="preserve"> occurs when the environmental and genotypic effects on the phenotype across spatial locations covary positively or negatively. </w:t>
            </w:r>
          </w:p>
        </w:tc>
        <w:tc>
          <w:tcPr>
            <w:tcW w:w="1980" w:type="dxa"/>
          </w:tcPr>
          <w:p w14:paraId="64360840" w14:textId="77777777" w:rsidR="004B145F" w:rsidRPr="00F520C4" w:rsidRDefault="004B145F" w:rsidP="004B145F">
            <w:pPr>
              <w:rPr>
                <w:sz w:val="13"/>
                <w:szCs w:val="13"/>
              </w:rPr>
            </w:pPr>
            <w:r w:rsidRPr="00F520C4">
              <w:rPr>
                <w:sz w:val="13"/>
                <w:szCs w:val="13"/>
              </w:rPr>
              <w:t>Emergent metapopulation-scale phenomenon.</w:t>
            </w:r>
          </w:p>
          <w:p w14:paraId="4EA47B87" w14:textId="77777777" w:rsidR="004B145F" w:rsidRPr="00F520C4" w:rsidRDefault="004B145F">
            <w:pPr>
              <w:rPr>
                <w:sz w:val="13"/>
                <w:szCs w:val="13"/>
              </w:rPr>
            </w:pPr>
          </w:p>
        </w:tc>
        <w:tc>
          <w:tcPr>
            <w:tcW w:w="1260" w:type="dxa"/>
          </w:tcPr>
          <w:p w14:paraId="433C405F" w14:textId="2074CDE5" w:rsidR="004B145F" w:rsidRPr="00F520C4" w:rsidRDefault="004B145F" w:rsidP="004B145F">
            <w:pPr>
              <w:pStyle w:val="NormalWeb"/>
              <w:spacing w:before="0" w:beforeAutospacing="0" w:after="0" w:afterAutospacing="0"/>
              <w:rPr>
                <w:sz w:val="13"/>
                <w:szCs w:val="13"/>
              </w:rPr>
            </w:pPr>
            <w:r w:rsidRPr="00F520C4">
              <w:rPr>
                <w:sz w:val="13"/>
                <w:szCs w:val="13"/>
              </w:rPr>
              <w:t>This paper, </w:t>
            </w:r>
          </w:p>
          <w:p w14:paraId="3C0B92A6" w14:textId="0A3222FD" w:rsidR="004B145F" w:rsidRPr="00F520C4" w:rsidRDefault="004B145F" w:rsidP="004B145F">
            <w:pPr>
              <w:pStyle w:val="NormalWeb"/>
              <w:spacing w:before="0" w:beforeAutospacing="0" w:after="0" w:afterAutospacing="0"/>
              <w:rPr>
                <w:sz w:val="13"/>
                <w:szCs w:val="13"/>
              </w:rPr>
            </w:pPr>
            <w:proofErr w:type="spellStart"/>
            <w:r w:rsidRPr="00F520C4">
              <w:rPr>
                <w:sz w:val="13"/>
                <w:szCs w:val="13"/>
              </w:rPr>
              <w:t>Levins</w:t>
            </w:r>
            <w:proofErr w:type="spellEnd"/>
            <w:r w:rsidRPr="00F520C4">
              <w:rPr>
                <w:sz w:val="13"/>
                <w:szCs w:val="13"/>
              </w:rPr>
              <w:t xml:space="preserve"> 1968, </w:t>
            </w:r>
          </w:p>
          <w:p w14:paraId="40750998" w14:textId="542EE067" w:rsidR="004B145F" w:rsidRPr="00F520C4" w:rsidRDefault="004B145F" w:rsidP="004B145F">
            <w:pPr>
              <w:pStyle w:val="NormalWeb"/>
              <w:spacing w:before="0" w:beforeAutospacing="0" w:after="0" w:afterAutospacing="0"/>
              <w:rPr>
                <w:sz w:val="13"/>
                <w:szCs w:val="13"/>
              </w:rPr>
            </w:pPr>
            <w:r w:rsidRPr="00F520C4">
              <w:rPr>
                <w:sz w:val="13"/>
                <w:szCs w:val="13"/>
              </w:rPr>
              <w:t>Falconer 1989,</w:t>
            </w:r>
          </w:p>
          <w:p w14:paraId="797E5034" w14:textId="4D48B2A7" w:rsidR="004B145F" w:rsidRPr="00F520C4" w:rsidRDefault="004B145F" w:rsidP="004B145F">
            <w:pPr>
              <w:pStyle w:val="NormalWeb"/>
              <w:spacing w:before="0" w:beforeAutospacing="0" w:after="0" w:afterAutospacing="0"/>
              <w:rPr>
                <w:sz w:val="13"/>
                <w:szCs w:val="13"/>
              </w:rPr>
            </w:pPr>
            <w:r w:rsidRPr="00F520C4">
              <w:rPr>
                <w:sz w:val="13"/>
                <w:szCs w:val="13"/>
              </w:rPr>
              <w:t>Conover and Schultz 1995</w:t>
            </w:r>
          </w:p>
          <w:p w14:paraId="1723CF6C" w14:textId="77777777" w:rsidR="004B145F" w:rsidRPr="00F520C4" w:rsidRDefault="004B145F">
            <w:pPr>
              <w:rPr>
                <w:sz w:val="13"/>
                <w:szCs w:val="13"/>
              </w:rPr>
            </w:pPr>
          </w:p>
        </w:tc>
        <w:tc>
          <w:tcPr>
            <w:tcW w:w="2386" w:type="dxa"/>
          </w:tcPr>
          <w:p w14:paraId="6BC32B71" w14:textId="77777777" w:rsidR="004B145F" w:rsidRPr="00F520C4" w:rsidRDefault="004B145F" w:rsidP="004B145F">
            <w:pPr>
              <w:pStyle w:val="NormalWeb"/>
              <w:rPr>
                <w:sz w:val="13"/>
                <w:szCs w:val="13"/>
              </w:rPr>
            </w:pPr>
            <w:r w:rsidRPr="00F520C4">
              <w:rPr>
                <w:sz w:val="13"/>
                <w:szCs w:val="13"/>
              </w:rPr>
              <w:t>This paper</w:t>
            </w:r>
          </w:p>
          <w:p w14:paraId="53D932DB" w14:textId="77777777" w:rsidR="004B145F" w:rsidRPr="00F520C4" w:rsidRDefault="004B145F">
            <w:pPr>
              <w:rPr>
                <w:sz w:val="13"/>
                <w:szCs w:val="13"/>
              </w:rPr>
            </w:pPr>
          </w:p>
        </w:tc>
        <w:tc>
          <w:tcPr>
            <w:tcW w:w="2019" w:type="dxa"/>
          </w:tcPr>
          <w:p w14:paraId="48FB830E" w14:textId="77777777" w:rsidR="004B145F" w:rsidRPr="00F520C4" w:rsidRDefault="004B145F" w:rsidP="004B145F">
            <w:pPr>
              <w:pStyle w:val="NormalWeb"/>
              <w:rPr>
                <w:sz w:val="13"/>
                <w:szCs w:val="13"/>
              </w:rPr>
            </w:pPr>
            <w:r w:rsidRPr="00F520C4">
              <w:rPr>
                <w:sz w:val="13"/>
                <w:szCs w:val="13"/>
              </w:rPr>
              <w:t>Evolution of different mean reaction norms among individuals sampled from different spatial locations</w:t>
            </w:r>
          </w:p>
          <w:p w14:paraId="4E80E67B" w14:textId="77777777" w:rsidR="004B145F" w:rsidRPr="00F520C4" w:rsidRDefault="004B145F">
            <w:pPr>
              <w:rPr>
                <w:sz w:val="13"/>
                <w:szCs w:val="13"/>
              </w:rPr>
            </w:pPr>
          </w:p>
        </w:tc>
      </w:tr>
      <w:tr w:rsidR="00F520C4" w:rsidRPr="00F520C4" w14:paraId="32D5E1BA" w14:textId="77777777" w:rsidTr="00F520C4">
        <w:tc>
          <w:tcPr>
            <w:tcW w:w="1255" w:type="dxa"/>
          </w:tcPr>
          <w:p w14:paraId="0258B709" w14:textId="60E949F8" w:rsidR="004B145F" w:rsidRPr="00F520C4" w:rsidRDefault="004917E4" w:rsidP="00F520C4">
            <w:pPr>
              <w:rPr>
                <w:sz w:val="13"/>
                <w:szCs w:val="13"/>
              </w:rPr>
            </w:pPr>
            <w:r w:rsidRPr="00F520C4">
              <w:rPr>
                <w:sz w:val="13"/>
                <w:szCs w:val="13"/>
              </w:rPr>
              <w:t>Covariance between phenotype and environment</w:t>
            </w:r>
          </w:p>
        </w:tc>
        <w:tc>
          <w:tcPr>
            <w:tcW w:w="4050" w:type="dxa"/>
          </w:tcPr>
          <w:p w14:paraId="207284D3" w14:textId="70C7A8B3" w:rsidR="004B145F" w:rsidRPr="00F520C4" w:rsidRDefault="004917E4" w:rsidP="00F520C4">
            <w:pPr>
              <w:pStyle w:val="NormalWeb"/>
              <w:rPr>
                <w:sz w:val="13"/>
                <w:szCs w:val="13"/>
              </w:rPr>
            </w:pPr>
            <w:r w:rsidRPr="00F520C4">
              <w:rPr>
                <w:sz w:val="13"/>
                <w:szCs w:val="13"/>
              </w:rPr>
              <w:t>The association between phenotypic expression of a single genotype and the environment of growth (i.e., the reaction norm)</w:t>
            </w:r>
          </w:p>
        </w:tc>
        <w:tc>
          <w:tcPr>
            <w:tcW w:w="1980" w:type="dxa"/>
          </w:tcPr>
          <w:p w14:paraId="645E611A" w14:textId="4C299494" w:rsidR="004B145F" w:rsidRPr="00F520C4" w:rsidRDefault="004917E4" w:rsidP="00F520C4">
            <w:pPr>
              <w:rPr>
                <w:sz w:val="13"/>
                <w:szCs w:val="13"/>
              </w:rPr>
            </w:pPr>
            <w:r w:rsidRPr="00F520C4">
              <w:rPr>
                <w:sz w:val="13"/>
                <w:szCs w:val="13"/>
              </w:rPr>
              <w:t>evolved state of environmentally induced production of alternate phenotypes from a given genotype</w:t>
            </w:r>
          </w:p>
        </w:tc>
        <w:tc>
          <w:tcPr>
            <w:tcW w:w="1260" w:type="dxa"/>
          </w:tcPr>
          <w:p w14:paraId="13C01A1C" w14:textId="3D7CCDA3" w:rsidR="004B145F" w:rsidRPr="00F520C4" w:rsidRDefault="004917E4">
            <w:pPr>
              <w:rPr>
                <w:sz w:val="13"/>
                <w:szCs w:val="13"/>
              </w:rPr>
            </w:pPr>
            <w:r w:rsidRPr="00F520C4">
              <w:rPr>
                <w:sz w:val="13"/>
                <w:szCs w:val="13"/>
              </w:rPr>
              <w:t xml:space="preserve">DeWitt and </w:t>
            </w:r>
            <w:proofErr w:type="spellStart"/>
            <w:r w:rsidRPr="00F520C4">
              <w:rPr>
                <w:sz w:val="13"/>
                <w:szCs w:val="13"/>
              </w:rPr>
              <w:t>Scheiner</w:t>
            </w:r>
            <w:proofErr w:type="spellEnd"/>
            <w:r w:rsidRPr="00F520C4">
              <w:rPr>
                <w:sz w:val="13"/>
                <w:szCs w:val="13"/>
              </w:rPr>
              <w:t xml:space="preserve"> 2004</w:t>
            </w:r>
          </w:p>
        </w:tc>
        <w:tc>
          <w:tcPr>
            <w:tcW w:w="2386" w:type="dxa"/>
          </w:tcPr>
          <w:p w14:paraId="4BB65AB8" w14:textId="42593270" w:rsidR="004B145F" w:rsidRPr="00F520C4" w:rsidRDefault="004917E4" w:rsidP="00F520C4">
            <w:pPr>
              <w:pStyle w:val="NormalWeb"/>
              <w:rPr>
                <w:sz w:val="13"/>
                <w:szCs w:val="13"/>
              </w:rPr>
            </w:pPr>
            <w:r w:rsidRPr="00F520C4">
              <w:rPr>
                <w:sz w:val="13"/>
                <w:szCs w:val="13"/>
              </w:rPr>
              <w:t xml:space="preserve">To estimate reaction norms, several </w:t>
            </w:r>
            <w:r w:rsidR="00F520C4" w:rsidRPr="00F520C4">
              <w:rPr>
                <w:sz w:val="13"/>
                <w:szCs w:val="13"/>
              </w:rPr>
              <w:t>progenies</w:t>
            </w:r>
            <w:r w:rsidRPr="00F520C4">
              <w:rPr>
                <w:sz w:val="13"/>
                <w:szCs w:val="13"/>
              </w:rPr>
              <w:t xml:space="preserve"> from each family, clone, or genotype are grown in a discrete number of environmental treatments</w:t>
            </w:r>
          </w:p>
        </w:tc>
        <w:tc>
          <w:tcPr>
            <w:tcW w:w="2019" w:type="dxa"/>
          </w:tcPr>
          <w:p w14:paraId="2DC327AD" w14:textId="5E10380C" w:rsidR="004B145F" w:rsidRPr="00F520C4" w:rsidRDefault="004917E4" w:rsidP="00F520C4">
            <w:pPr>
              <w:rPr>
                <w:sz w:val="13"/>
                <w:szCs w:val="13"/>
              </w:rPr>
            </w:pPr>
            <w:r w:rsidRPr="00F520C4">
              <w:rPr>
                <w:sz w:val="13"/>
                <w:szCs w:val="13"/>
              </w:rPr>
              <w:t>Evolution of different mean reaction norms among progeny from different families, clones, or genotypes</w:t>
            </w:r>
          </w:p>
        </w:tc>
      </w:tr>
      <w:tr w:rsidR="00F520C4" w:rsidRPr="00F520C4" w14:paraId="1F07703A" w14:textId="77777777" w:rsidTr="00F520C4">
        <w:tc>
          <w:tcPr>
            <w:tcW w:w="1255" w:type="dxa"/>
          </w:tcPr>
          <w:p w14:paraId="6F5EDD40" w14:textId="77777777" w:rsidR="004917E4" w:rsidRPr="00F520C4" w:rsidRDefault="004917E4" w:rsidP="004917E4">
            <w:pPr>
              <w:rPr>
                <w:sz w:val="13"/>
                <w:szCs w:val="13"/>
              </w:rPr>
            </w:pPr>
            <w:r w:rsidRPr="00F520C4">
              <w:rPr>
                <w:sz w:val="13"/>
                <w:szCs w:val="13"/>
              </w:rPr>
              <w:t>“Genetic covariance in character states”</w:t>
            </w:r>
          </w:p>
          <w:p w14:paraId="52417A28" w14:textId="77777777" w:rsidR="004B145F" w:rsidRPr="00F520C4" w:rsidRDefault="004B145F">
            <w:pPr>
              <w:rPr>
                <w:sz w:val="13"/>
                <w:szCs w:val="13"/>
              </w:rPr>
            </w:pPr>
          </w:p>
        </w:tc>
        <w:tc>
          <w:tcPr>
            <w:tcW w:w="4050" w:type="dxa"/>
          </w:tcPr>
          <w:p w14:paraId="756E2B36" w14:textId="40053360" w:rsidR="004917E4" w:rsidRPr="00F520C4" w:rsidRDefault="004917E4" w:rsidP="004917E4">
            <w:pPr>
              <w:pStyle w:val="NormalWeb"/>
              <w:spacing w:before="0" w:beforeAutospacing="0" w:after="0" w:afterAutospacing="0"/>
              <w:rPr>
                <w:sz w:val="13"/>
                <w:szCs w:val="13"/>
              </w:rPr>
            </w:pPr>
            <w:r w:rsidRPr="00F520C4">
              <w:rPr>
                <w:sz w:val="13"/>
                <w:szCs w:val="13"/>
              </w:rPr>
              <w:t xml:space="preserve">“In the character state approach, the reaction norm for a particular character is modelled as the set of phenotypic values that would be expressed in each environment by a given genotype and evolutionary models are based on population means and genetic (co)variances of these character states” </w:t>
            </w:r>
            <w:r w:rsidRPr="00F520C4">
              <w:rPr>
                <w:sz w:val="13"/>
                <w:szCs w:val="13"/>
              </w:rPr>
              <w:t xml:space="preserve">Via et al. 1995. </w:t>
            </w:r>
          </w:p>
          <w:p w14:paraId="0AE24232" w14:textId="77777777" w:rsidR="00F520C4" w:rsidRPr="00F520C4" w:rsidRDefault="00F520C4" w:rsidP="00F520C4">
            <w:pPr>
              <w:pStyle w:val="NormalWeb"/>
              <w:spacing w:before="0" w:beforeAutospacing="0" w:after="0" w:afterAutospacing="0"/>
              <w:rPr>
                <w:sz w:val="13"/>
                <w:szCs w:val="13"/>
              </w:rPr>
            </w:pPr>
          </w:p>
          <w:p w14:paraId="34F8255A" w14:textId="1923BBA4" w:rsidR="004B145F" w:rsidRPr="00F520C4" w:rsidRDefault="004917E4" w:rsidP="00F520C4">
            <w:pPr>
              <w:pStyle w:val="NormalWeb"/>
              <w:spacing w:before="0" w:beforeAutospacing="0" w:after="0" w:afterAutospacing="0"/>
              <w:rPr>
                <w:sz w:val="13"/>
                <w:szCs w:val="13"/>
              </w:rPr>
            </w:pPr>
            <w:r w:rsidRPr="00F520C4">
              <w:rPr>
                <w:sz w:val="13"/>
                <w:szCs w:val="13"/>
              </w:rPr>
              <w:t>The means of this bivariate normal distribution represents the mean (</w:t>
            </w:r>
            <w:proofErr w:type="spellStart"/>
            <w:r w:rsidRPr="00F520C4">
              <w:rPr>
                <w:sz w:val="13"/>
                <w:szCs w:val="13"/>
              </w:rPr>
              <w:t>i</w:t>
            </w:r>
            <w:proofErr w:type="spellEnd"/>
            <w:r w:rsidRPr="00F520C4">
              <w:rPr>
                <w:sz w:val="13"/>
                <w:szCs w:val="13"/>
              </w:rPr>
              <w:t>) phenotype at one value of the environment and (ii) mean phenotype at another value of the same environment, and the diagonals in the covariance matrix represent the additive genetic variance for (</w:t>
            </w:r>
            <w:proofErr w:type="spellStart"/>
            <w:r w:rsidRPr="00F520C4">
              <w:rPr>
                <w:sz w:val="13"/>
                <w:szCs w:val="13"/>
              </w:rPr>
              <w:t>i</w:t>
            </w:r>
            <w:proofErr w:type="spellEnd"/>
            <w:r w:rsidRPr="00F520C4">
              <w:rPr>
                <w:sz w:val="13"/>
                <w:szCs w:val="13"/>
              </w:rPr>
              <w:t xml:space="preserve">) and (ii), respectively. The </w:t>
            </w:r>
            <w:r w:rsidRPr="00F520C4">
              <w:rPr>
                <w:sz w:val="13"/>
                <w:szCs w:val="13"/>
              </w:rPr>
              <w:t>off diagonal</w:t>
            </w:r>
            <w:r w:rsidRPr="00F520C4">
              <w:rPr>
                <w:sz w:val="13"/>
                <w:szCs w:val="13"/>
              </w:rPr>
              <w:t xml:space="preserve"> in the covariance matrix is an additive genetic covariance that represents the association between the additive effect of a mutation on the phenotype at one value of the environment and the same phenotype at the other value of the environment. </w:t>
            </w:r>
          </w:p>
        </w:tc>
        <w:tc>
          <w:tcPr>
            <w:tcW w:w="1980" w:type="dxa"/>
          </w:tcPr>
          <w:p w14:paraId="2CCECC79" w14:textId="1486FDCD" w:rsidR="004917E4" w:rsidRPr="00F520C4" w:rsidRDefault="004917E4" w:rsidP="004917E4">
            <w:pPr>
              <w:rPr>
                <w:sz w:val="13"/>
                <w:szCs w:val="13"/>
              </w:rPr>
            </w:pPr>
            <w:r w:rsidRPr="00F520C4">
              <w:rPr>
                <w:sz w:val="13"/>
                <w:szCs w:val="13"/>
              </w:rPr>
              <w:t>Intrinsic property of the genotype-phenotype map and the external environmen</w:t>
            </w:r>
            <w:r w:rsidRPr="00F520C4">
              <w:rPr>
                <w:sz w:val="13"/>
                <w:szCs w:val="13"/>
              </w:rPr>
              <w:t>t</w:t>
            </w:r>
          </w:p>
          <w:p w14:paraId="2EBDB8DA" w14:textId="77777777" w:rsidR="004B145F" w:rsidRPr="00F520C4" w:rsidRDefault="004B145F">
            <w:pPr>
              <w:rPr>
                <w:sz w:val="13"/>
                <w:szCs w:val="13"/>
              </w:rPr>
            </w:pPr>
          </w:p>
        </w:tc>
        <w:tc>
          <w:tcPr>
            <w:tcW w:w="1260" w:type="dxa"/>
          </w:tcPr>
          <w:p w14:paraId="3F693DCA" w14:textId="607D83DD" w:rsidR="004B145F" w:rsidRPr="00F520C4" w:rsidRDefault="004917E4">
            <w:pPr>
              <w:rPr>
                <w:sz w:val="13"/>
                <w:szCs w:val="13"/>
              </w:rPr>
            </w:pPr>
            <w:r w:rsidRPr="00F520C4">
              <w:rPr>
                <w:sz w:val="13"/>
                <w:szCs w:val="13"/>
              </w:rPr>
              <w:t>Reviewed in Via et al. 1995</w:t>
            </w:r>
          </w:p>
        </w:tc>
        <w:tc>
          <w:tcPr>
            <w:tcW w:w="2386" w:type="dxa"/>
          </w:tcPr>
          <w:p w14:paraId="437449DF" w14:textId="4A89797F" w:rsidR="004B145F" w:rsidRPr="00F520C4" w:rsidRDefault="004917E4" w:rsidP="00F520C4">
            <w:pPr>
              <w:rPr>
                <w:sz w:val="13"/>
                <w:szCs w:val="13"/>
              </w:rPr>
            </w:pPr>
            <w:r w:rsidRPr="00F520C4">
              <w:rPr>
                <w:sz w:val="13"/>
                <w:szCs w:val="13"/>
              </w:rPr>
              <w:t xml:space="preserve">“Because measurements of different character states must be made on separate individuals, the usual statistical methods for calculating the genetic correlation are not applicable. In this case alternatives may be employed, such as the correlation of family means or the re-expression of genotype-environment interaction as a genetic covariance between character states expressed in different environments.” </w:t>
            </w:r>
            <w:r w:rsidRPr="00F520C4">
              <w:rPr>
                <w:sz w:val="13"/>
                <w:szCs w:val="13"/>
              </w:rPr>
              <w:t xml:space="preserve">(Via and </w:t>
            </w:r>
            <w:proofErr w:type="spellStart"/>
            <w:r w:rsidRPr="00F520C4">
              <w:rPr>
                <w:sz w:val="13"/>
                <w:szCs w:val="13"/>
              </w:rPr>
              <w:t>Lande</w:t>
            </w:r>
            <w:proofErr w:type="spellEnd"/>
            <w:r w:rsidRPr="00F520C4">
              <w:rPr>
                <w:sz w:val="13"/>
                <w:szCs w:val="13"/>
              </w:rPr>
              <w:t xml:space="preserve"> 1985) </w:t>
            </w:r>
          </w:p>
        </w:tc>
        <w:tc>
          <w:tcPr>
            <w:tcW w:w="2019" w:type="dxa"/>
          </w:tcPr>
          <w:p w14:paraId="79F4D1C4" w14:textId="3C128FF5" w:rsidR="004917E4" w:rsidRPr="00F520C4" w:rsidRDefault="004917E4" w:rsidP="004917E4">
            <w:pPr>
              <w:rPr>
                <w:sz w:val="13"/>
                <w:szCs w:val="13"/>
              </w:rPr>
            </w:pPr>
            <w:r w:rsidRPr="00F520C4">
              <w:rPr>
                <w:sz w:val="13"/>
                <w:szCs w:val="13"/>
              </w:rPr>
              <w:t>Unclear</w:t>
            </w:r>
            <w:r w:rsidRPr="00F520C4">
              <w:rPr>
                <w:sz w:val="13"/>
                <w:szCs w:val="13"/>
              </w:rPr>
              <w:t xml:space="preserve"> (de Jong 1995) </w:t>
            </w:r>
          </w:p>
          <w:p w14:paraId="5F42C188" w14:textId="77777777" w:rsidR="004B145F" w:rsidRPr="00F520C4" w:rsidRDefault="004B145F">
            <w:pPr>
              <w:rPr>
                <w:sz w:val="13"/>
                <w:szCs w:val="13"/>
              </w:rPr>
            </w:pPr>
          </w:p>
        </w:tc>
      </w:tr>
      <w:tr w:rsidR="00F520C4" w:rsidRPr="00F520C4" w14:paraId="3A7EDA56" w14:textId="77777777" w:rsidTr="00F520C4">
        <w:tc>
          <w:tcPr>
            <w:tcW w:w="1255" w:type="dxa"/>
          </w:tcPr>
          <w:p w14:paraId="7C0BD669" w14:textId="77777777" w:rsidR="00B62257" w:rsidRPr="00F520C4" w:rsidRDefault="00B62257" w:rsidP="00B62257">
            <w:pPr>
              <w:rPr>
                <w:sz w:val="13"/>
                <w:szCs w:val="13"/>
              </w:rPr>
            </w:pPr>
            <w:r w:rsidRPr="00F520C4">
              <w:rPr>
                <w:sz w:val="13"/>
                <w:szCs w:val="13"/>
              </w:rPr>
              <w:t>“Genetic covariance in polynomial coefficients”</w:t>
            </w:r>
          </w:p>
          <w:p w14:paraId="7B69112C" w14:textId="77777777" w:rsidR="004B145F" w:rsidRPr="00F520C4" w:rsidRDefault="004B145F">
            <w:pPr>
              <w:rPr>
                <w:sz w:val="13"/>
                <w:szCs w:val="13"/>
              </w:rPr>
            </w:pPr>
          </w:p>
        </w:tc>
        <w:tc>
          <w:tcPr>
            <w:tcW w:w="4050" w:type="dxa"/>
          </w:tcPr>
          <w:p w14:paraId="113E7504" w14:textId="7D820FA8" w:rsidR="00B62257" w:rsidRPr="00F520C4" w:rsidRDefault="00B62257" w:rsidP="00B62257">
            <w:pPr>
              <w:pStyle w:val="NormalWeb"/>
              <w:spacing w:before="0" w:beforeAutospacing="0" w:after="0" w:afterAutospacing="0"/>
              <w:rPr>
                <w:sz w:val="13"/>
                <w:szCs w:val="13"/>
              </w:rPr>
            </w:pPr>
            <w:r w:rsidRPr="00F520C4">
              <w:rPr>
                <w:sz w:val="13"/>
                <w:szCs w:val="13"/>
              </w:rPr>
              <w:t xml:space="preserve">“In the polynomial approach, the reaction norm is described by a poly- </w:t>
            </w:r>
            <w:proofErr w:type="spellStart"/>
            <w:r w:rsidRPr="00F520C4">
              <w:rPr>
                <w:sz w:val="13"/>
                <w:szCs w:val="13"/>
              </w:rPr>
              <w:t>nomial</w:t>
            </w:r>
            <w:proofErr w:type="spellEnd"/>
            <w:r w:rsidRPr="00F520C4">
              <w:rPr>
                <w:sz w:val="13"/>
                <w:szCs w:val="13"/>
              </w:rPr>
              <w:t xml:space="preserve"> function of the phenotypic values expressed by a genotype across a range of environments, and evolutionary models are based on the population means and genetic (co)variances of coefficients of the polynomial.” </w:t>
            </w:r>
            <w:r w:rsidR="00F520C4" w:rsidRPr="00F520C4">
              <w:rPr>
                <w:sz w:val="13"/>
                <w:szCs w:val="13"/>
              </w:rPr>
              <w:t xml:space="preserve">(Via et al. 1995) </w:t>
            </w:r>
          </w:p>
          <w:p w14:paraId="241BE0AA" w14:textId="77777777" w:rsidR="00B62257" w:rsidRPr="00F520C4" w:rsidRDefault="00B62257" w:rsidP="00B62257">
            <w:pPr>
              <w:rPr>
                <w:sz w:val="13"/>
                <w:szCs w:val="13"/>
              </w:rPr>
            </w:pPr>
          </w:p>
          <w:p w14:paraId="08C4B65B" w14:textId="7CEAC10F" w:rsidR="004B145F" w:rsidRPr="00F520C4" w:rsidRDefault="00B62257" w:rsidP="00F520C4">
            <w:pPr>
              <w:pStyle w:val="NormalWeb"/>
              <w:spacing w:before="0" w:beforeAutospacing="0" w:after="0" w:afterAutospacing="0"/>
              <w:rPr>
                <w:sz w:val="13"/>
                <w:szCs w:val="13"/>
              </w:rPr>
            </w:pPr>
            <w:r w:rsidRPr="00F520C4">
              <w:rPr>
                <w:sz w:val="13"/>
                <w:szCs w:val="13"/>
              </w:rPr>
              <w:t xml:space="preserve">The means of this bivariate normal distribution represents the mean parameter values in the polynomial, and the diagonals in the covariance matrix represent the additive genetic variance for each parameter. The </w:t>
            </w:r>
            <w:r w:rsidR="00F520C4" w:rsidRPr="00F520C4">
              <w:rPr>
                <w:sz w:val="13"/>
                <w:szCs w:val="13"/>
              </w:rPr>
              <w:t>off diagonal</w:t>
            </w:r>
            <w:r w:rsidRPr="00F520C4">
              <w:rPr>
                <w:sz w:val="13"/>
                <w:szCs w:val="13"/>
              </w:rPr>
              <w:t xml:space="preserve"> in the covariance matrix is an additive genetic covariance that represents the association between the additive effect of a mutation on one parameter and another parameter in the polynomial function.</w:t>
            </w:r>
          </w:p>
        </w:tc>
        <w:tc>
          <w:tcPr>
            <w:tcW w:w="1980" w:type="dxa"/>
          </w:tcPr>
          <w:p w14:paraId="0C40D534" w14:textId="77777777" w:rsidR="00F520C4" w:rsidRPr="00F520C4" w:rsidRDefault="00F520C4" w:rsidP="00F520C4">
            <w:pPr>
              <w:rPr>
                <w:sz w:val="13"/>
                <w:szCs w:val="13"/>
              </w:rPr>
            </w:pPr>
            <w:r w:rsidRPr="00F520C4">
              <w:rPr>
                <w:sz w:val="13"/>
                <w:szCs w:val="13"/>
              </w:rPr>
              <w:t>Intrinsic property of the genotype-phenotype map and the external environment</w:t>
            </w:r>
          </w:p>
          <w:p w14:paraId="7D946DCA" w14:textId="77777777" w:rsidR="004B145F" w:rsidRPr="00F520C4" w:rsidRDefault="004B145F">
            <w:pPr>
              <w:rPr>
                <w:sz w:val="13"/>
                <w:szCs w:val="13"/>
              </w:rPr>
            </w:pPr>
          </w:p>
        </w:tc>
        <w:tc>
          <w:tcPr>
            <w:tcW w:w="1260" w:type="dxa"/>
          </w:tcPr>
          <w:p w14:paraId="4244C915" w14:textId="66AA8550" w:rsidR="004B145F" w:rsidRPr="00F520C4" w:rsidRDefault="00F520C4">
            <w:pPr>
              <w:rPr>
                <w:sz w:val="13"/>
                <w:szCs w:val="13"/>
              </w:rPr>
            </w:pPr>
            <w:r w:rsidRPr="00F520C4">
              <w:rPr>
                <w:sz w:val="13"/>
                <w:szCs w:val="13"/>
              </w:rPr>
              <w:t>Reviewed in Via et al. 1995</w:t>
            </w:r>
          </w:p>
        </w:tc>
        <w:tc>
          <w:tcPr>
            <w:tcW w:w="2386" w:type="dxa"/>
          </w:tcPr>
          <w:p w14:paraId="0F0A5849" w14:textId="541BD975" w:rsidR="00F520C4" w:rsidRPr="00F520C4" w:rsidRDefault="00F520C4" w:rsidP="00F520C4">
            <w:pPr>
              <w:rPr>
                <w:sz w:val="13"/>
                <w:szCs w:val="13"/>
              </w:rPr>
            </w:pPr>
            <w:r w:rsidRPr="00F520C4">
              <w:rPr>
                <w:sz w:val="13"/>
                <w:szCs w:val="13"/>
              </w:rPr>
              <w:t>Genetic and phenotypic variances and covariances can be estimated using the animal model</w:t>
            </w:r>
            <w:r w:rsidRPr="00F520C4">
              <w:rPr>
                <w:sz w:val="13"/>
                <w:szCs w:val="13"/>
              </w:rPr>
              <w:t xml:space="preserve"> (Lynch and Walsh 1998)</w:t>
            </w:r>
            <w:r w:rsidRPr="00F520C4">
              <w:rPr>
                <w:sz w:val="13"/>
                <w:szCs w:val="13"/>
              </w:rPr>
              <w:t xml:space="preserve"> </w:t>
            </w:r>
          </w:p>
          <w:p w14:paraId="63E2F747" w14:textId="77777777" w:rsidR="004B145F" w:rsidRPr="00F520C4" w:rsidRDefault="004B145F">
            <w:pPr>
              <w:rPr>
                <w:sz w:val="13"/>
                <w:szCs w:val="13"/>
              </w:rPr>
            </w:pPr>
          </w:p>
        </w:tc>
        <w:tc>
          <w:tcPr>
            <w:tcW w:w="2019" w:type="dxa"/>
          </w:tcPr>
          <w:p w14:paraId="43237D6C" w14:textId="77777777" w:rsidR="00F520C4" w:rsidRPr="00F520C4" w:rsidRDefault="00F520C4" w:rsidP="00F520C4">
            <w:pPr>
              <w:rPr>
                <w:sz w:val="13"/>
                <w:szCs w:val="13"/>
              </w:rPr>
            </w:pPr>
            <w:r w:rsidRPr="00F520C4">
              <w:rPr>
                <w:sz w:val="13"/>
                <w:szCs w:val="13"/>
              </w:rPr>
              <w:t>Genetic variance for reaction norm slope &gt; 0</w:t>
            </w:r>
          </w:p>
          <w:p w14:paraId="15355808" w14:textId="77777777" w:rsidR="004B145F" w:rsidRPr="00F520C4" w:rsidRDefault="004B145F">
            <w:pPr>
              <w:rPr>
                <w:sz w:val="13"/>
                <w:szCs w:val="13"/>
              </w:rPr>
            </w:pPr>
          </w:p>
        </w:tc>
      </w:tr>
      <w:tr w:rsidR="00F520C4" w:rsidRPr="00F520C4" w14:paraId="61D0FC89" w14:textId="77777777" w:rsidTr="00F520C4">
        <w:tc>
          <w:tcPr>
            <w:tcW w:w="1255" w:type="dxa"/>
          </w:tcPr>
          <w:p w14:paraId="54AB7214" w14:textId="40F61A87" w:rsidR="00F520C4" w:rsidRPr="00F520C4" w:rsidRDefault="00F520C4" w:rsidP="00F520C4">
            <w:pPr>
              <w:rPr>
                <w:sz w:val="13"/>
                <w:szCs w:val="13"/>
              </w:rPr>
            </w:pPr>
            <w:r w:rsidRPr="00F520C4">
              <w:rPr>
                <w:sz w:val="13"/>
                <w:szCs w:val="13"/>
              </w:rPr>
              <w:t> “</w:t>
            </w:r>
            <w:proofErr w:type="gramStart"/>
            <w:r w:rsidRPr="00F520C4">
              <w:rPr>
                <w:sz w:val="13"/>
                <w:szCs w:val="13"/>
              </w:rPr>
              <w:t>bivariate</w:t>
            </w:r>
            <w:proofErr w:type="gramEnd"/>
            <w:r w:rsidRPr="00F520C4">
              <w:rPr>
                <w:sz w:val="13"/>
                <w:szCs w:val="13"/>
              </w:rPr>
              <w:t xml:space="preserve"> normal distribution of slope (plasticity) and elevation (breeding value) in the reference environment”</w:t>
            </w:r>
          </w:p>
          <w:p w14:paraId="5DF2A163" w14:textId="77777777" w:rsidR="00B62257" w:rsidRPr="00F520C4" w:rsidRDefault="00B62257">
            <w:pPr>
              <w:rPr>
                <w:sz w:val="13"/>
                <w:szCs w:val="13"/>
              </w:rPr>
            </w:pPr>
          </w:p>
        </w:tc>
        <w:tc>
          <w:tcPr>
            <w:tcW w:w="4050" w:type="dxa"/>
          </w:tcPr>
          <w:p w14:paraId="6A7E2282" w14:textId="568BE3ED" w:rsidR="00F520C4" w:rsidRPr="00F520C4" w:rsidRDefault="00F520C4" w:rsidP="00F520C4">
            <w:pPr>
              <w:pStyle w:val="NormalWeb"/>
              <w:spacing w:before="0" w:beforeAutospacing="0" w:after="0" w:afterAutospacing="0"/>
              <w:rPr>
                <w:sz w:val="13"/>
                <w:szCs w:val="13"/>
              </w:rPr>
            </w:pPr>
            <w:r w:rsidRPr="00F520C4">
              <w:rPr>
                <w:sz w:val="13"/>
                <w:szCs w:val="13"/>
              </w:rPr>
              <w:t>The means of this bivariate normal distribution represents the mean (</w:t>
            </w:r>
            <w:proofErr w:type="spellStart"/>
            <w:r w:rsidRPr="00F520C4">
              <w:rPr>
                <w:sz w:val="13"/>
                <w:szCs w:val="13"/>
              </w:rPr>
              <w:t>i</w:t>
            </w:r>
            <w:proofErr w:type="spellEnd"/>
            <w:r w:rsidRPr="00F520C4">
              <w:rPr>
                <w:sz w:val="13"/>
                <w:szCs w:val="13"/>
              </w:rPr>
              <w:t>) reaction norm intercept and (ii) slope in the reference environment. The diagonals on this covariance matrix in this bivariate normal distribution represent the additive genetic variance for the (</w:t>
            </w:r>
            <w:proofErr w:type="spellStart"/>
            <w:r w:rsidRPr="00F520C4">
              <w:rPr>
                <w:sz w:val="13"/>
                <w:szCs w:val="13"/>
              </w:rPr>
              <w:t>i</w:t>
            </w:r>
            <w:proofErr w:type="spellEnd"/>
            <w:r w:rsidRPr="00F520C4">
              <w:rPr>
                <w:sz w:val="13"/>
                <w:szCs w:val="13"/>
              </w:rPr>
              <w:t xml:space="preserve">) reaction norm intercept and (ii) slope. The </w:t>
            </w:r>
            <w:r w:rsidRPr="00F520C4">
              <w:rPr>
                <w:sz w:val="13"/>
                <w:szCs w:val="13"/>
              </w:rPr>
              <w:t>off diagonal</w:t>
            </w:r>
            <w:r w:rsidRPr="00F520C4">
              <w:rPr>
                <w:sz w:val="13"/>
                <w:szCs w:val="13"/>
              </w:rPr>
              <w:t xml:space="preserve"> in this bivariate normal distribution is an additive genetic covariance that represents the association between the additive effect of a mutation on the reaction norm intercept and the reaction norm slope.</w:t>
            </w:r>
          </w:p>
          <w:p w14:paraId="03FEB510" w14:textId="77777777" w:rsidR="00F520C4" w:rsidRPr="00F520C4" w:rsidRDefault="00F520C4" w:rsidP="00F520C4">
            <w:pPr>
              <w:rPr>
                <w:sz w:val="13"/>
                <w:szCs w:val="13"/>
              </w:rPr>
            </w:pPr>
          </w:p>
          <w:p w14:paraId="402648FA" w14:textId="13D5E714" w:rsidR="00B62257" w:rsidRPr="00F520C4" w:rsidRDefault="00F520C4" w:rsidP="00F520C4">
            <w:pPr>
              <w:pStyle w:val="NormalWeb"/>
              <w:spacing w:before="0" w:beforeAutospacing="0" w:after="0" w:afterAutospacing="0"/>
              <w:rPr>
                <w:sz w:val="13"/>
                <w:szCs w:val="13"/>
              </w:rPr>
            </w:pPr>
            <w:r w:rsidRPr="00F520C4">
              <w:rPr>
                <w:sz w:val="13"/>
                <w:szCs w:val="13"/>
              </w:rPr>
              <w:t>Linear norms of reaction for each genotype are sampled at random from a population with this bivariate normal distribution.</w:t>
            </w:r>
          </w:p>
        </w:tc>
        <w:tc>
          <w:tcPr>
            <w:tcW w:w="1980" w:type="dxa"/>
          </w:tcPr>
          <w:p w14:paraId="0A956C45" w14:textId="77777777" w:rsidR="00F520C4" w:rsidRPr="00F520C4" w:rsidRDefault="00F520C4" w:rsidP="00F520C4">
            <w:pPr>
              <w:rPr>
                <w:sz w:val="13"/>
                <w:szCs w:val="13"/>
              </w:rPr>
            </w:pPr>
            <w:r w:rsidRPr="00F520C4">
              <w:rPr>
                <w:sz w:val="13"/>
                <w:szCs w:val="13"/>
              </w:rPr>
              <w:t>Intrinsic property of the genotype-phenotype map and the external environment</w:t>
            </w:r>
          </w:p>
          <w:p w14:paraId="17CA7BE2" w14:textId="77777777" w:rsidR="00B62257" w:rsidRPr="00F520C4" w:rsidRDefault="00B62257">
            <w:pPr>
              <w:rPr>
                <w:sz w:val="13"/>
                <w:szCs w:val="13"/>
              </w:rPr>
            </w:pPr>
          </w:p>
        </w:tc>
        <w:tc>
          <w:tcPr>
            <w:tcW w:w="1260" w:type="dxa"/>
          </w:tcPr>
          <w:p w14:paraId="4DFF5781" w14:textId="559D9E78" w:rsidR="00B62257" w:rsidRPr="00F520C4" w:rsidRDefault="00F520C4">
            <w:pPr>
              <w:rPr>
                <w:sz w:val="13"/>
                <w:szCs w:val="13"/>
              </w:rPr>
            </w:pPr>
            <w:proofErr w:type="spellStart"/>
            <w:r w:rsidRPr="00F520C4">
              <w:rPr>
                <w:sz w:val="13"/>
                <w:szCs w:val="13"/>
              </w:rPr>
              <w:t>Lande</w:t>
            </w:r>
            <w:proofErr w:type="spellEnd"/>
            <w:r w:rsidRPr="00F520C4">
              <w:rPr>
                <w:sz w:val="13"/>
                <w:szCs w:val="13"/>
              </w:rPr>
              <w:t xml:space="preserve"> 2009</w:t>
            </w:r>
          </w:p>
        </w:tc>
        <w:tc>
          <w:tcPr>
            <w:tcW w:w="2386" w:type="dxa"/>
          </w:tcPr>
          <w:p w14:paraId="2C4ED156" w14:textId="751A3F41" w:rsidR="00F520C4" w:rsidRPr="00F520C4" w:rsidRDefault="00F520C4" w:rsidP="00F520C4">
            <w:pPr>
              <w:pStyle w:val="NormalWeb"/>
              <w:spacing w:beforeAutospacing="0" w:after="0" w:afterAutospacing="0"/>
              <w:rPr>
                <w:sz w:val="13"/>
                <w:szCs w:val="13"/>
              </w:rPr>
            </w:pPr>
            <w:r w:rsidRPr="00F520C4">
              <w:rPr>
                <w:sz w:val="13"/>
                <w:szCs w:val="13"/>
              </w:rPr>
              <w:t>Genetic and phenotypic variances and covariances can be estimated using the animal model</w:t>
            </w:r>
            <w:r w:rsidRPr="00F520C4">
              <w:rPr>
                <w:sz w:val="13"/>
                <w:szCs w:val="13"/>
              </w:rPr>
              <w:t xml:space="preserve"> (Lynch and Walsh 1998)</w:t>
            </w:r>
            <w:r w:rsidRPr="00F520C4">
              <w:rPr>
                <w:sz w:val="13"/>
                <w:szCs w:val="13"/>
              </w:rPr>
              <w:t> </w:t>
            </w:r>
          </w:p>
          <w:p w14:paraId="66C198EC" w14:textId="77777777" w:rsidR="00F520C4" w:rsidRPr="00F520C4" w:rsidRDefault="00F520C4" w:rsidP="00F520C4">
            <w:pPr>
              <w:rPr>
                <w:sz w:val="13"/>
                <w:szCs w:val="13"/>
              </w:rPr>
            </w:pPr>
          </w:p>
          <w:p w14:paraId="57CCD7DD" w14:textId="77777777" w:rsidR="00B62257" w:rsidRPr="00F520C4" w:rsidRDefault="00B62257">
            <w:pPr>
              <w:rPr>
                <w:sz w:val="13"/>
                <w:szCs w:val="13"/>
              </w:rPr>
            </w:pPr>
          </w:p>
        </w:tc>
        <w:tc>
          <w:tcPr>
            <w:tcW w:w="2019" w:type="dxa"/>
          </w:tcPr>
          <w:p w14:paraId="0E46D0EE" w14:textId="77777777" w:rsidR="00F520C4" w:rsidRPr="00F520C4" w:rsidRDefault="00F520C4" w:rsidP="00F520C4">
            <w:pPr>
              <w:rPr>
                <w:sz w:val="13"/>
                <w:szCs w:val="13"/>
              </w:rPr>
            </w:pPr>
            <w:r w:rsidRPr="00F520C4">
              <w:rPr>
                <w:sz w:val="13"/>
                <w:szCs w:val="13"/>
              </w:rPr>
              <w:t>Additive genetic variance for reaction norm slope &gt; 0</w:t>
            </w:r>
          </w:p>
          <w:p w14:paraId="6882179E" w14:textId="77777777" w:rsidR="00B62257" w:rsidRPr="00F520C4" w:rsidRDefault="00B62257">
            <w:pPr>
              <w:rPr>
                <w:sz w:val="13"/>
                <w:szCs w:val="13"/>
              </w:rPr>
            </w:pPr>
          </w:p>
        </w:tc>
      </w:tr>
      <w:tr w:rsidR="00F520C4" w:rsidRPr="00F520C4" w14:paraId="44F4F6BD" w14:textId="77777777" w:rsidTr="00F520C4">
        <w:tc>
          <w:tcPr>
            <w:tcW w:w="1255" w:type="dxa"/>
          </w:tcPr>
          <w:p w14:paraId="2E64FE08" w14:textId="5159C69D" w:rsidR="00F520C4" w:rsidRPr="00F520C4" w:rsidRDefault="00F520C4" w:rsidP="00F520C4">
            <w:pPr>
              <w:rPr>
                <w:sz w:val="13"/>
                <w:szCs w:val="13"/>
              </w:rPr>
            </w:pPr>
            <w:r w:rsidRPr="00F520C4">
              <w:rPr>
                <w:sz w:val="13"/>
                <w:szCs w:val="13"/>
              </w:rPr>
              <w:t>“</w:t>
            </w:r>
            <w:proofErr w:type="gramStart"/>
            <w:r w:rsidRPr="00F520C4">
              <w:rPr>
                <w:sz w:val="13"/>
                <w:szCs w:val="13"/>
              </w:rPr>
              <w:t>bivariate</w:t>
            </w:r>
            <w:proofErr w:type="gramEnd"/>
            <w:r w:rsidRPr="00F520C4">
              <w:rPr>
                <w:sz w:val="13"/>
                <w:szCs w:val="13"/>
              </w:rPr>
              <w:t xml:space="preserve"> distribution of a phenotype split into its genetic and environmental components”</w:t>
            </w:r>
          </w:p>
          <w:p w14:paraId="23E1A76C" w14:textId="77777777" w:rsidR="00B62257" w:rsidRPr="00F520C4" w:rsidRDefault="00B62257">
            <w:pPr>
              <w:rPr>
                <w:sz w:val="13"/>
                <w:szCs w:val="13"/>
              </w:rPr>
            </w:pPr>
          </w:p>
        </w:tc>
        <w:tc>
          <w:tcPr>
            <w:tcW w:w="4050" w:type="dxa"/>
          </w:tcPr>
          <w:p w14:paraId="68B989E9" w14:textId="77777777" w:rsidR="00F520C4" w:rsidRPr="00F520C4" w:rsidRDefault="00F520C4" w:rsidP="00F520C4">
            <w:pPr>
              <w:pStyle w:val="NormalWeb"/>
              <w:spacing w:before="0" w:beforeAutospacing="0" w:after="0" w:afterAutospacing="0"/>
              <w:rPr>
                <w:sz w:val="13"/>
                <w:szCs w:val="13"/>
              </w:rPr>
            </w:pPr>
            <w:r w:rsidRPr="00F520C4">
              <w:rPr>
                <w:sz w:val="13"/>
                <w:szCs w:val="13"/>
              </w:rPr>
              <w:t>In this IBM-based approach, the phenotype is modeled as a combination of additive genetic and environmental components with a bivariate distribution. </w:t>
            </w:r>
          </w:p>
          <w:p w14:paraId="30ECA9DB" w14:textId="77777777" w:rsidR="00F520C4" w:rsidRPr="00F520C4" w:rsidRDefault="00F520C4" w:rsidP="00F520C4">
            <w:pPr>
              <w:rPr>
                <w:sz w:val="13"/>
                <w:szCs w:val="13"/>
              </w:rPr>
            </w:pPr>
          </w:p>
          <w:p w14:paraId="22E097D4" w14:textId="09CA4AD4" w:rsidR="00B62257" w:rsidRPr="00F520C4" w:rsidRDefault="00F520C4" w:rsidP="00F520C4">
            <w:pPr>
              <w:pStyle w:val="NormalWeb"/>
              <w:spacing w:before="0" w:beforeAutospacing="0" w:after="0" w:afterAutospacing="0"/>
              <w:rPr>
                <w:sz w:val="13"/>
                <w:szCs w:val="13"/>
              </w:rPr>
            </w:pPr>
            <w:r w:rsidRPr="00F520C4">
              <w:rPr>
                <w:sz w:val="13"/>
                <w:szCs w:val="13"/>
              </w:rPr>
              <w:t>The means of this bivariate normal distribution represents the mean (</w:t>
            </w:r>
            <w:proofErr w:type="spellStart"/>
            <w:r w:rsidRPr="00F520C4">
              <w:rPr>
                <w:sz w:val="13"/>
                <w:szCs w:val="13"/>
              </w:rPr>
              <w:t>i</w:t>
            </w:r>
            <w:proofErr w:type="spellEnd"/>
            <w:r w:rsidRPr="00F520C4">
              <w:rPr>
                <w:sz w:val="13"/>
                <w:szCs w:val="13"/>
              </w:rPr>
              <w:t>) reaction norm intercept and (ii) slope in the reference environment. The diagonals on this covariance matrix in this bivariate normal distribution represent the additive genetic variance for the (</w:t>
            </w:r>
            <w:proofErr w:type="spellStart"/>
            <w:r w:rsidRPr="00F520C4">
              <w:rPr>
                <w:sz w:val="13"/>
                <w:szCs w:val="13"/>
              </w:rPr>
              <w:t>i</w:t>
            </w:r>
            <w:proofErr w:type="spellEnd"/>
            <w:r w:rsidRPr="00F520C4">
              <w:rPr>
                <w:sz w:val="13"/>
                <w:szCs w:val="13"/>
              </w:rPr>
              <w:t xml:space="preserve">) reaction norm intercept and (ii) slope. The </w:t>
            </w:r>
            <w:r w:rsidRPr="00F520C4">
              <w:rPr>
                <w:sz w:val="13"/>
                <w:szCs w:val="13"/>
              </w:rPr>
              <w:t>off diagonal</w:t>
            </w:r>
            <w:r w:rsidRPr="00F520C4">
              <w:rPr>
                <w:sz w:val="13"/>
                <w:szCs w:val="13"/>
              </w:rPr>
              <w:t xml:space="preserve"> in this bivariate normal distribution is an additive genetic covariance that represents the association between the additive effect of a mutation on the reaction norm intercept and the reaction norm slope.</w:t>
            </w:r>
          </w:p>
        </w:tc>
        <w:tc>
          <w:tcPr>
            <w:tcW w:w="1980" w:type="dxa"/>
          </w:tcPr>
          <w:p w14:paraId="095E53F4" w14:textId="77777777" w:rsidR="00F520C4" w:rsidRPr="00F520C4" w:rsidRDefault="00F520C4" w:rsidP="00F520C4">
            <w:pPr>
              <w:pStyle w:val="NormalWeb"/>
              <w:rPr>
                <w:sz w:val="13"/>
                <w:szCs w:val="13"/>
              </w:rPr>
            </w:pPr>
            <w:r w:rsidRPr="00F520C4">
              <w:rPr>
                <w:sz w:val="13"/>
                <w:szCs w:val="13"/>
              </w:rPr>
              <w:t>Intrinsic property of the genotype-phenotype map and the external environment</w:t>
            </w:r>
          </w:p>
          <w:p w14:paraId="1D2D5F55" w14:textId="77777777" w:rsidR="00B62257" w:rsidRPr="00F520C4" w:rsidRDefault="00B62257">
            <w:pPr>
              <w:rPr>
                <w:sz w:val="13"/>
                <w:szCs w:val="13"/>
              </w:rPr>
            </w:pPr>
          </w:p>
        </w:tc>
        <w:tc>
          <w:tcPr>
            <w:tcW w:w="1260" w:type="dxa"/>
          </w:tcPr>
          <w:p w14:paraId="2E3D38FA" w14:textId="77777777" w:rsidR="00B62257" w:rsidRPr="00F520C4" w:rsidRDefault="00F520C4">
            <w:pPr>
              <w:rPr>
                <w:sz w:val="13"/>
                <w:szCs w:val="13"/>
              </w:rPr>
            </w:pPr>
            <w:r w:rsidRPr="00F520C4">
              <w:rPr>
                <w:sz w:val="13"/>
                <w:szCs w:val="13"/>
              </w:rPr>
              <w:t>Coulson et al. 2017</w:t>
            </w:r>
          </w:p>
          <w:p w14:paraId="3C09B4D4" w14:textId="77777777" w:rsidR="00F520C4" w:rsidRPr="00F520C4" w:rsidRDefault="00F520C4">
            <w:pPr>
              <w:rPr>
                <w:sz w:val="13"/>
                <w:szCs w:val="13"/>
              </w:rPr>
            </w:pPr>
          </w:p>
          <w:p w14:paraId="70AF0602" w14:textId="2287E773" w:rsidR="00F520C4" w:rsidRPr="00F520C4" w:rsidRDefault="00F520C4">
            <w:pPr>
              <w:rPr>
                <w:sz w:val="13"/>
                <w:szCs w:val="13"/>
              </w:rPr>
            </w:pPr>
            <w:r w:rsidRPr="00F520C4">
              <w:rPr>
                <w:sz w:val="13"/>
                <w:szCs w:val="13"/>
              </w:rPr>
              <w:t>Coulson et al. 2021</w:t>
            </w:r>
          </w:p>
        </w:tc>
        <w:tc>
          <w:tcPr>
            <w:tcW w:w="2386" w:type="dxa"/>
          </w:tcPr>
          <w:p w14:paraId="626001F3" w14:textId="77777777" w:rsidR="00F520C4" w:rsidRPr="00F520C4" w:rsidRDefault="00F520C4" w:rsidP="00F520C4">
            <w:pPr>
              <w:rPr>
                <w:sz w:val="13"/>
                <w:szCs w:val="13"/>
              </w:rPr>
            </w:pPr>
            <w:r w:rsidRPr="00F520C4">
              <w:rPr>
                <w:sz w:val="13"/>
                <w:szCs w:val="13"/>
              </w:rPr>
              <w:t>If relatedness information is available and the infinitesimal model is assumed, genetic and phenotypic variances and co- variances can be estimated using the animal model (Lynch and Walsh 1998).</w:t>
            </w:r>
          </w:p>
          <w:p w14:paraId="05867B88" w14:textId="77777777" w:rsidR="00B62257" w:rsidRPr="00F520C4" w:rsidRDefault="00B62257">
            <w:pPr>
              <w:rPr>
                <w:sz w:val="13"/>
                <w:szCs w:val="13"/>
              </w:rPr>
            </w:pPr>
          </w:p>
        </w:tc>
        <w:tc>
          <w:tcPr>
            <w:tcW w:w="2019" w:type="dxa"/>
          </w:tcPr>
          <w:p w14:paraId="26450549" w14:textId="77777777" w:rsidR="00F520C4" w:rsidRPr="00F520C4" w:rsidRDefault="00F520C4" w:rsidP="00F520C4">
            <w:pPr>
              <w:rPr>
                <w:sz w:val="13"/>
                <w:szCs w:val="13"/>
              </w:rPr>
            </w:pPr>
            <w:r w:rsidRPr="00F520C4">
              <w:rPr>
                <w:sz w:val="13"/>
                <w:szCs w:val="13"/>
              </w:rPr>
              <w:t>Additive genetic variance for reaction norm slope &gt; 0</w:t>
            </w:r>
          </w:p>
          <w:p w14:paraId="133DCD2D" w14:textId="77777777" w:rsidR="00B62257" w:rsidRPr="00F520C4" w:rsidRDefault="00B62257">
            <w:pPr>
              <w:rPr>
                <w:sz w:val="13"/>
                <w:szCs w:val="13"/>
              </w:rPr>
            </w:pPr>
          </w:p>
        </w:tc>
      </w:tr>
    </w:tbl>
    <w:p w14:paraId="31CBC23D" w14:textId="77777777" w:rsidR="00D74CA2" w:rsidRPr="00F520C4" w:rsidRDefault="00744FA4" w:rsidP="00F520C4">
      <w:pPr>
        <w:rPr>
          <w:sz w:val="13"/>
          <w:szCs w:val="13"/>
        </w:rPr>
      </w:pPr>
    </w:p>
    <w:sectPr w:rsidR="00D74CA2" w:rsidRPr="00F520C4" w:rsidSect="004B14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5F"/>
    <w:rsid w:val="000034DB"/>
    <w:rsid w:val="00007F64"/>
    <w:rsid w:val="00022AE7"/>
    <w:rsid w:val="00027DA8"/>
    <w:rsid w:val="0003021C"/>
    <w:rsid w:val="00034277"/>
    <w:rsid w:val="00034DC9"/>
    <w:rsid w:val="000655E4"/>
    <w:rsid w:val="00065732"/>
    <w:rsid w:val="00067190"/>
    <w:rsid w:val="00067D91"/>
    <w:rsid w:val="0007152D"/>
    <w:rsid w:val="0007446B"/>
    <w:rsid w:val="00075CC8"/>
    <w:rsid w:val="00085354"/>
    <w:rsid w:val="000B64B6"/>
    <w:rsid w:val="000C1046"/>
    <w:rsid w:val="000C16A4"/>
    <w:rsid w:val="000C5DBB"/>
    <w:rsid w:val="000E30A8"/>
    <w:rsid w:val="000E4806"/>
    <w:rsid w:val="000E5EDC"/>
    <w:rsid w:val="000E6BAB"/>
    <w:rsid w:val="00100A25"/>
    <w:rsid w:val="00107BBB"/>
    <w:rsid w:val="001277F8"/>
    <w:rsid w:val="00141EDB"/>
    <w:rsid w:val="001473A2"/>
    <w:rsid w:val="00155943"/>
    <w:rsid w:val="00175BBB"/>
    <w:rsid w:val="00181DFB"/>
    <w:rsid w:val="001927B7"/>
    <w:rsid w:val="00194B05"/>
    <w:rsid w:val="001C378E"/>
    <w:rsid w:val="001C6316"/>
    <w:rsid w:val="001D3423"/>
    <w:rsid w:val="001D3D01"/>
    <w:rsid w:val="001D71F8"/>
    <w:rsid w:val="001E2F09"/>
    <w:rsid w:val="001F74CE"/>
    <w:rsid w:val="00210420"/>
    <w:rsid w:val="00217FF3"/>
    <w:rsid w:val="00224554"/>
    <w:rsid w:val="00227A92"/>
    <w:rsid w:val="00235DD8"/>
    <w:rsid w:val="00236E28"/>
    <w:rsid w:val="002703B4"/>
    <w:rsid w:val="00275300"/>
    <w:rsid w:val="00283691"/>
    <w:rsid w:val="00297373"/>
    <w:rsid w:val="002A6BDD"/>
    <w:rsid w:val="002C4FB7"/>
    <w:rsid w:val="002D23D8"/>
    <w:rsid w:val="003216F5"/>
    <w:rsid w:val="00325D04"/>
    <w:rsid w:val="003300BC"/>
    <w:rsid w:val="0033573B"/>
    <w:rsid w:val="00343FA8"/>
    <w:rsid w:val="00353F9C"/>
    <w:rsid w:val="003A19AA"/>
    <w:rsid w:val="003A21BC"/>
    <w:rsid w:val="003A505E"/>
    <w:rsid w:val="003D508E"/>
    <w:rsid w:val="003D5FC3"/>
    <w:rsid w:val="003F07C6"/>
    <w:rsid w:val="003F4CA5"/>
    <w:rsid w:val="00403BCE"/>
    <w:rsid w:val="00436A32"/>
    <w:rsid w:val="00440A26"/>
    <w:rsid w:val="0044152C"/>
    <w:rsid w:val="004417FA"/>
    <w:rsid w:val="004538E4"/>
    <w:rsid w:val="00464D7D"/>
    <w:rsid w:val="0046640E"/>
    <w:rsid w:val="0046705E"/>
    <w:rsid w:val="0047170C"/>
    <w:rsid w:val="00483C96"/>
    <w:rsid w:val="004856C4"/>
    <w:rsid w:val="004917E4"/>
    <w:rsid w:val="004B145F"/>
    <w:rsid w:val="004B3F3A"/>
    <w:rsid w:val="004B4FB9"/>
    <w:rsid w:val="004C42D7"/>
    <w:rsid w:val="004C7782"/>
    <w:rsid w:val="004E0649"/>
    <w:rsid w:val="004E0E96"/>
    <w:rsid w:val="004F38EE"/>
    <w:rsid w:val="004F3B35"/>
    <w:rsid w:val="00526F6B"/>
    <w:rsid w:val="00532652"/>
    <w:rsid w:val="005329DC"/>
    <w:rsid w:val="00551666"/>
    <w:rsid w:val="005610ED"/>
    <w:rsid w:val="00567AA3"/>
    <w:rsid w:val="00573A13"/>
    <w:rsid w:val="005931BD"/>
    <w:rsid w:val="005B25DD"/>
    <w:rsid w:val="005B2635"/>
    <w:rsid w:val="005E6B66"/>
    <w:rsid w:val="005E73CB"/>
    <w:rsid w:val="005E7BF3"/>
    <w:rsid w:val="005F14C9"/>
    <w:rsid w:val="00606013"/>
    <w:rsid w:val="00606435"/>
    <w:rsid w:val="00633252"/>
    <w:rsid w:val="00633D65"/>
    <w:rsid w:val="00641FB5"/>
    <w:rsid w:val="00647C6B"/>
    <w:rsid w:val="00654935"/>
    <w:rsid w:val="00656C2B"/>
    <w:rsid w:val="00660E88"/>
    <w:rsid w:val="00667546"/>
    <w:rsid w:val="00670E36"/>
    <w:rsid w:val="006819DF"/>
    <w:rsid w:val="00691B66"/>
    <w:rsid w:val="006948DB"/>
    <w:rsid w:val="00697542"/>
    <w:rsid w:val="006B36CB"/>
    <w:rsid w:val="006B6CAE"/>
    <w:rsid w:val="006C6D68"/>
    <w:rsid w:val="006D25B0"/>
    <w:rsid w:val="006F2495"/>
    <w:rsid w:val="006F64F6"/>
    <w:rsid w:val="0070181A"/>
    <w:rsid w:val="00715A7B"/>
    <w:rsid w:val="00721245"/>
    <w:rsid w:val="0072678C"/>
    <w:rsid w:val="007338DF"/>
    <w:rsid w:val="00734866"/>
    <w:rsid w:val="00736471"/>
    <w:rsid w:val="00740C14"/>
    <w:rsid w:val="00744FA4"/>
    <w:rsid w:val="00752E4B"/>
    <w:rsid w:val="00756EE7"/>
    <w:rsid w:val="007643ED"/>
    <w:rsid w:val="00776F97"/>
    <w:rsid w:val="00785747"/>
    <w:rsid w:val="00785C80"/>
    <w:rsid w:val="007A6DD2"/>
    <w:rsid w:val="007B53B9"/>
    <w:rsid w:val="007C0107"/>
    <w:rsid w:val="007D5762"/>
    <w:rsid w:val="007E3221"/>
    <w:rsid w:val="007F42FE"/>
    <w:rsid w:val="007F558C"/>
    <w:rsid w:val="0080415F"/>
    <w:rsid w:val="00805B34"/>
    <w:rsid w:val="00806FEB"/>
    <w:rsid w:val="00843248"/>
    <w:rsid w:val="00852245"/>
    <w:rsid w:val="00853AD8"/>
    <w:rsid w:val="008551C8"/>
    <w:rsid w:val="00866397"/>
    <w:rsid w:val="00866E9E"/>
    <w:rsid w:val="008701B5"/>
    <w:rsid w:val="008805D4"/>
    <w:rsid w:val="0088265C"/>
    <w:rsid w:val="00885961"/>
    <w:rsid w:val="00887D86"/>
    <w:rsid w:val="008B0DBC"/>
    <w:rsid w:val="008B3083"/>
    <w:rsid w:val="00906A41"/>
    <w:rsid w:val="00914CBA"/>
    <w:rsid w:val="00915C60"/>
    <w:rsid w:val="0091777E"/>
    <w:rsid w:val="00924FB5"/>
    <w:rsid w:val="00933D76"/>
    <w:rsid w:val="0093454F"/>
    <w:rsid w:val="00951697"/>
    <w:rsid w:val="00952061"/>
    <w:rsid w:val="00955E08"/>
    <w:rsid w:val="00960403"/>
    <w:rsid w:val="009928D2"/>
    <w:rsid w:val="00996BEE"/>
    <w:rsid w:val="009C0490"/>
    <w:rsid w:val="009E673C"/>
    <w:rsid w:val="00A06C6F"/>
    <w:rsid w:val="00A11795"/>
    <w:rsid w:val="00A3016F"/>
    <w:rsid w:val="00A3322C"/>
    <w:rsid w:val="00A371EF"/>
    <w:rsid w:val="00A51555"/>
    <w:rsid w:val="00A554DA"/>
    <w:rsid w:val="00A601BF"/>
    <w:rsid w:val="00A67A8B"/>
    <w:rsid w:val="00A80FFF"/>
    <w:rsid w:val="00A850FC"/>
    <w:rsid w:val="00AC1CEE"/>
    <w:rsid w:val="00AD6DBB"/>
    <w:rsid w:val="00AE5D3F"/>
    <w:rsid w:val="00AF5EF5"/>
    <w:rsid w:val="00AF65B2"/>
    <w:rsid w:val="00B05E22"/>
    <w:rsid w:val="00B12CCC"/>
    <w:rsid w:val="00B1641C"/>
    <w:rsid w:val="00B16567"/>
    <w:rsid w:val="00B2237F"/>
    <w:rsid w:val="00B257A9"/>
    <w:rsid w:val="00B2650E"/>
    <w:rsid w:val="00B45D68"/>
    <w:rsid w:val="00B52915"/>
    <w:rsid w:val="00B53DDD"/>
    <w:rsid w:val="00B57A49"/>
    <w:rsid w:val="00B62257"/>
    <w:rsid w:val="00B6619D"/>
    <w:rsid w:val="00B67828"/>
    <w:rsid w:val="00B73CB5"/>
    <w:rsid w:val="00B751F4"/>
    <w:rsid w:val="00B82701"/>
    <w:rsid w:val="00B846F6"/>
    <w:rsid w:val="00B87519"/>
    <w:rsid w:val="00B877AE"/>
    <w:rsid w:val="00B97888"/>
    <w:rsid w:val="00BC150D"/>
    <w:rsid w:val="00BE2F29"/>
    <w:rsid w:val="00C20DBD"/>
    <w:rsid w:val="00C30222"/>
    <w:rsid w:val="00C46FD1"/>
    <w:rsid w:val="00C479FB"/>
    <w:rsid w:val="00C52031"/>
    <w:rsid w:val="00C74C74"/>
    <w:rsid w:val="00CA45BB"/>
    <w:rsid w:val="00CC0372"/>
    <w:rsid w:val="00CC72F7"/>
    <w:rsid w:val="00CD795B"/>
    <w:rsid w:val="00CE6ABF"/>
    <w:rsid w:val="00D022F0"/>
    <w:rsid w:val="00D0516A"/>
    <w:rsid w:val="00D05257"/>
    <w:rsid w:val="00D22CD6"/>
    <w:rsid w:val="00D427ED"/>
    <w:rsid w:val="00D454D5"/>
    <w:rsid w:val="00D506DE"/>
    <w:rsid w:val="00D57A49"/>
    <w:rsid w:val="00D66781"/>
    <w:rsid w:val="00D703C5"/>
    <w:rsid w:val="00D70752"/>
    <w:rsid w:val="00D83E2C"/>
    <w:rsid w:val="00D8543A"/>
    <w:rsid w:val="00D86100"/>
    <w:rsid w:val="00D93021"/>
    <w:rsid w:val="00D957F3"/>
    <w:rsid w:val="00DA1291"/>
    <w:rsid w:val="00DB694D"/>
    <w:rsid w:val="00DB69B9"/>
    <w:rsid w:val="00DC543F"/>
    <w:rsid w:val="00DD196F"/>
    <w:rsid w:val="00DF423B"/>
    <w:rsid w:val="00E05D02"/>
    <w:rsid w:val="00E11DDB"/>
    <w:rsid w:val="00E261FF"/>
    <w:rsid w:val="00E2674B"/>
    <w:rsid w:val="00E26FB4"/>
    <w:rsid w:val="00E3202A"/>
    <w:rsid w:val="00E34B42"/>
    <w:rsid w:val="00E42136"/>
    <w:rsid w:val="00E532E3"/>
    <w:rsid w:val="00E64161"/>
    <w:rsid w:val="00E663B7"/>
    <w:rsid w:val="00E711F1"/>
    <w:rsid w:val="00E77203"/>
    <w:rsid w:val="00E83E14"/>
    <w:rsid w:val="00E91F19"/>
    <w:rsid w:val="00E9306E"/>
    <w:rsid w:val="00EB5BDA"/>
    <w:rsid w:val="00EC5D03"/>
    <w:rsid w:val="00EC648E"/>
    <w:rsid w:val="00EC7047"/>
    <w:rsid w:val="00EC7CD2"/>
    <w:rsid w:val="00EE266C"/>
    <w:rsid w:val="00EE7782"/>
    <w:rsid w:val="00F12693"/>
    <w:rsid w:val="00F16531"/>
    <w:rsid w:val="00F2393D"/>
    <w:rsid w:val="00F25877"/>
    <w:rsid w:val="00F37207"/>
    <w:rsid w:val="00F378B7"/>
    <w:rsid w:val="00F464B5"/>
    <w:rsid w:val="00F50D5E"/>
    <w:rsid w:val="00F520C4"/>
    <w:rsid w:val="00F60837"/>
    <w:rsid w:val="00F6642C"/>
    <w:rsid w:val="00F678F9"/>
    <w:rsid w:val="00F72622"/>
    <w:rsid w:val="00F77B8C"/>
    <w:rsid w:val="00F97089"/>
    <w:rsid w:val="00FA3C84"/>
    <w:rsid w:val="00FA3E52"/>
    <w:rsid w:val="00FC04BC"/>
    <w:rsid w:val="00FC1203"/>
    <w:rsid w:val="00FC2D39"/>
    <w:rsid w:val="00FC3B60"/>
    <w:rsid w:val="00FC6A56"/>
    <w:rsid w:val="00FD06E0"/>
    <w:rsid w:val="00FD3639"/>
    <w:rsid w:val="00FE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C604D"/>
  <w14:defaultImageDpi w14:val="32767"/>
  <w15:chartTrackingRefBased/>
  <w15:docId w15:val="{796AE018-5E4B-FC49-92B3-1BA079A7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20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693"/>
    <w:rPr>
      <w:rFonts w:eastAsiaTheme="minorHAnsi"/>
      <w:sz w:val="18"/>
      <w:szCs w:val="18"/>
    </w:rPr>
  </w:style>
  <w:style w:type="character" w:customStyle="1" w:styleId="BalloonTextChar">
    <w:name w:val="Balloon Text Char"/>
    <w:basedOn w:val="DefaultParagraphFont"/>
    <w:link w:val="BalloonText"/>
    <w:uiPriority w:val="99"/>
    <w:semiHidden/>
    <w:rsid w:val="00F12693"/>
    <w:rPr>
      <w:rFonts w:ascii="Times New Roman" w:hAnsi="Times New Roman" w:cs="Times New Roman"/>
      <w:sz w:val="18"/>
      <w:szCs w:val="18"/>
    </w:rPr>
  </w:style>
  <w:style w:type="table" w:styleId="TableGrid">
    <w:name w:val="Table Grid"/>
    <w:basedOn w:val="TableNormal"/>
    <w:uiPriority w:val="39"/>
    <w:rsid w:val="004B1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145F"/>
    <w:pPr>
      <w:spacing w:before="100" w:beforeAutospacing="1" w:after="100" w:afterAutospacing="1"/>
    </w:pPr>
  </w:style>
  <w:style w:type="character" w:styleId="Hyperlink">
    <w:name w:val="Hyperlink"/>
    <w:basedOn w:val="DefaultParagraphFont"/>
    <w:uiPriority w:val="99"/>
    <w:semiHidden/>
    <w:unhideWhenUsed/>
    <w:rsid w:val="004B145F"/>
    <w:rPr>
      <w:color w:val="0000FF"/>
      <w:u w:val="single"/>
    </w:rPr>
  </w:style>
  <w:style w:type="character" w:styleId="FollowedHyperlink">
    <w:name w:val="FollowedHyperlink"/>
    <w:basedOn w:val="DefaultParagraphFont"/>
    <w:uiPriority w:val="99"/>
    <w:semiHidden/>
    <w:unhideWhenUsed/>
    <w:rsid w:val="004B1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178">
      <w:bodyDiv w:val="1"/>
      <w:marLeft w:val="0"/>
      <w:marRight w:val="0"/>
      <w:marTop w:val="0"/>
      <w:marBottom w:val="0"/>
      <w:divBdr>
        <w:top w:val="none" w:sz="0" w:space="0" w:color="auto"/>
        <w:left w:val="none" w:sz="0" w:space="0" w:color="auto"/>
        <w:bottom w:val="none" w:sz="0" w:space="0" w:color="auto"/>
        <w:right w:val="none" w:sz="0" w:space="0" w:color="auto"/>
      </w:divBdr>
    </w:div>
    <w:div w:id="45686921">
      <w:bodyDiv w:val="1"/>
      <w:marLeft w:val="0"/>
      <w:marRight w:val="0"/>
      <w:marTop w:val="0"/>
      <w:marBottom w:val="0"/>
      <w:divBdr>
        <w:top w:val="none" w:sz="0" w:space="0" w:color="auto"/>
        <w:left w:val="none" w:sz="0" w:space="0" w:color="auto"/>
        <w:bottom w:val="none" w:sz="0" w:space="0" w:color="auto"/>
        <w:right w:val="none" w:sz="0" w:space="0" w:color="auto"/>
      </w:divBdr>
    </w:div>
    <w:div w:id="91240700">
      <w:bodyDiv w:val="1"/>
      <w:marLeft w:val="0"/>
      <w:marRight w:val="0"/>
      <w:marTop w:val="0"/>
      <w:marBottom w:val="0"/>
      <w:divBdr>
        <w:top w:val="none" w:sz="0" w:space="0" w:color="auto"/>
        <w:left w:val="none" w:sz="0" w:space="0" w:color="auto"/>
        <w:bottom w:val="none" w:sz="0" w:space="0" w:color="auto"/>
        <w:right w:val="none" w:sz="0" w:space="0" w:color="auto"/>
      </w:divBdr>
      <w:divsChild>
        <w:div w:id="797600385">
          <w:marLeft w:val="-900"/>
          <w:marRight w:val="0"/>
          <w:marTop w:val="0"/>
          <w:marBottom w:val="0"/>
          <w:divBdr>
            <w:top w:val="none" w:sz="0" w:space="0" w:color="auto"/>
            <w:left w:val="none" w:sz="0" w:space="0" w:color="auto"/>
            <w:bottom w:val="none" w:sz="0" w:space="0" w:color="auto"/>
            <w:right w:val="none" w:sz="0" w:space="0" w:color="auto"/>
          </w:divBdr>
        </w:div>
      </w:divsChild>
    </w:div>
    <w:div w:id="121074753">
      <w:bodyDiv w:val="1"/>
      <w:marLeft w:val="0"/>
      <w:marRight w:val="0"/>
      <w:marTop w:val="0"/>
      <w:marBottom w:val="0"/>
      <w:divBdr>
        <w:top w:val="none" w:sz="0" w:space="0" w:color="auto"/>
        <w:left w:val="none" w:sz="0" w:space="0" w:color="auto"/>
        <w:bottom w:val="none" w:sz="0" w:space="0" w:color="auto"/>
        <w:right w:val="none" w:sz="0" w:space="0" w:color="auto"/>
      </w:divBdr>
    </w:div>
    <w:div w:id="163592036">
      <w:bodyDiv w:val="1"/>
      <w:marLeft w:val="0"/>
      <w:marRight w:val="0"/>
      <w:marTop w:val="0"/>
      <w:marBottom w:val="0"/>
      <w:divBdr>
        <w:top w:val="none" w:sz="0" w:space="0" w:color="auto"/>
        <w:left w:val="none" w:sz="0" w:space="0" w:color="auto"/>
        <w:bottom w:val="none" w:sz="0" w:space="0" w:color="auto"/>
        <w:right w:val="none" w:sz="0" w:space="0" w:color="auto"/>
      </w:divBdr>
      <w:divsChild>
        <w:div w:id="1070077967">
          <w:marLeft w:val="-930"/>
          <w:marRight w:val="0"/>
          <w:marTop w:val="0"/>
          <w:marBottom w:val="0"/>
          <w:divBdr>
            <w:top w:val="none" w:sz="0" w:space="0" w:color="auto"/>
            <w:left w:val="none" w:sz="0" w:space="0" w:color="auto"/>
            <w:bottom w:val="none" w:sz="0" w:space="0" w:color="auto"/>
            <w:right w:val="none" w:sz="0" w:space="0" w:color="auto"/>
          </w:divBdr>
        </w:div>
      </w:divsChild>
    </w:div>
    <w:div w:id="247424891">
      <w:bodyDiv w:val="1"/>
      <w:marLeft w:val="0"/>
      <w:marRight w:val="0"/>
      <w:marTop w:val="0"/>
      <w:marBottom w:val="0"/>
      <w:divBdr>
        <w:top w:val="none" w:sz="0" w:space="0" w:color="auto"/>
        <w:left w:val="none" w:sz="0" w:space="0" w:color="auto"/>
        <w:bottom w:val="none" w:sz="0" w:space="0" w:color="auto"/>
        <w:right w:val="none" w:sz="0" w:space="0" w:color="auto"/>
      </w:divBdr>
    </w:div>
    <w:div w:id="325207930">
      <w:bodyDiv w:val="1"/>
      <w:marLeft w:val="0"/>
      <w:marRight w:val="0"/>
      <w:marTop w:val="0"/>
      <w:marBottom w:val="0"/>
      <w:divBdr>
        <w:top w:val="none" w:sz="0" w:space="0" w:color="auto"/>
        <w:left w:val="none" w:sz="0" w:space="0" w:color="auto"/>
        <w:bottom w:val="none" w:sz="0" w:space="0" w:color="auto"/>
        <w:right w:val="none" w:sz="0" w:space="0" w:color="auto"/>
      </w:divBdr>
    </w:div>
    <w:div w:id="447621605">
      <w:bodyDiv w:val="1"/>
      <w:marLeft w:val="0"/>
      <w:marRight w:val="0"/>
      <w:marTop w:val="0"/>
      <w:marBottom w:val="0"/>
      <w:divBdr>
        <w:top w:val="none" w:sz="0" w:space="0" w:color="auto"/>
        <w:left w:val="none" w:sz="0" w:space="0" w:color="auto"/>
        <w:bottom w:val="none" w:sz="0" w:space="0" w:color="auto"/>
        <w:right w:val="none" w:sz="0" w:space="0" w:color="auto"/>
      </w:divBdr>
    </w:div>
    <w:div w:id="477579782">
      <w:bodyDiv w:val="1"/>
      <w:marLeft w:val="0"/>
      <w:marRight w:val="0"/>
      <w:marTop w:val="0"/>
      <w:marBottom w:val="0"/>
      <w:divBdr>
        <w:top w:val="none" w:sz="0" w:space="0" w:color="auto"/>
        <w:left w:val="none" w:sz="0" w:space="0" w:color="auto"/>
        <w:bottom w:val="none" w:sz="0" w:space="0" w:color="auto"/>
        <w:right w:val="none" w:sz="0" w:space="0" w:color="auto"/>
      </w:divBdr>
    </w:div>
    <w:div w:id="551238293">
      <w:bodyDiv w:val="1"/>
      <w:marLeft w:val="0"/>
      <w:marRight w:val="0"/>
      <w:marTop w:val="0"/>
      <w:marBottom w:val="0"/>
      <w:divBdr>
        <w:top w:val="none" w:sz="0" w:space="0" w:color="auto"/>
        <w:left w:val="none" w:sz="0" w:space="0" w:color="auto"/>
        <w:bottom w:val="none" w:sz="0" w:space="0" w:color="auto"/>
        <w:right w:val="none" w:sz="0" w:space="0" w:color="auto"/>
      </w:divBdr>
    </w:div>
    <w:div w:id="614673271">
      <w:bodyDiv w:val="1"/>
      <w:marLeft w:val="0"/>
      <w:marRight w:val="0"/>
      <w:marTop w:val="0"/>
      <w:marBottom w:val="0"/>
      <w:divBdr>
        <w:top w:val="none" w:sz="0" w:space="0" w:color="auto"/>
        <w:left w:val="none" w:sz="0" w:space="0" w:color="auto"/>
        <w:bottom w:val="none" w:sz="0" w:space="0" w:color="auto"/>
        <w:right w:val="none" w:sz="0" w:space="0" w:color="auto"/>
      </w:divBdr>
    </w:div>
    <w:div w:id="796920477">
      <w:bodyDiv w:val="1"/>
      <w:marLeft w:val="0"/>
      <w:marRight w:val="0"/>
      <w:marTop w:val="0"/>
      <w:marBottom w:val="0"/>
      <w:divBdr>
        <w:top w:val="none" w:sz="0" w:space="0" w:color="auto"/>
        <w:left w:val="none" w:sz="0" w:space="0" w:color="auto"/>
        <w:bottom w:val="none" w:sz="0" w:space="0" w:color="auto"/>
        <w:right w:val="none" w:sz="0" w:space="0" w:color="auto"/>
      </w:divBdr>
    </w:div>
    <w:div w:id="835682048">
      <w:bodyDiv w:val="1"/>
      <w:marLeft w:val="0"/>
      <w:marRight w:val="0"/>
      <w:marTop w:val="0"/>
      <w:marBottom w:val="0"/>
      <w:divBdr>
        <w:top w:val="none" w:sz="0" w:space="0" w:color="auto"/>
        <w:left w:val="none" w:sz="0" w:space="0" w:color="auto"/>
        <w:bottom w:val="none" w:sz="0" w:space="0" w:color="auto"/>
        <w:right w:val="none" w:sz="0" w:space="0" w:color="auto"/>
      </w:divBdr>
    </w:div>
    <w:div w:id="882715064">
      <w:bodyDiv w:val="1"/>
      <w:marLeft w:val="0"/>
      <w:marRight w:val="0"/>
      <w:marTop w:val="0"/>
      <w:marBottom w:val="0"/>
      <w:divBdr>
        <w:top w:val="none" w:sz="0" w:space="0" w:color="auto"/>
        <w:left w:val="none" w:sz="0" w:space="0" w:color="auto"/>
        <w:bottom w:val="none" w:sz="0" w:space="0" w:color="auto"/>
        <w:right w:val="none" w:sz="0" w:space="0" w:color="auto"/>
      </w:divBdr>
    </w:div>
    <w:div w:id="1011879283">
      <w:bodyDiv w:val="1"/>
      <w:marLeft w:val="0"/>
      <w:marRight w:val="0"/>
      <w:marTop w:val="0"/>
      <w:marBottom w:val="0"/>
      <w:divBdr>
        <w:top w:val="none" w:sz="0" w:space="0" w:color="auto"/>
        <w:left w:val="none" w:sz="0" w:space="0" w:color="auto"/>
        <w:bottom w:val="none" w:sz="0" w:space="0" w:color="auto"/>
        <w:right w:val="none" w:sz="0" w:space="0" w:color="auto"/>
      </w:divBdr>
      <w:divsChild>
        <w:div w:id="765274880">
          <w:marLeft w:val="-900"/>
          <w:marRight w:val="0"/>
          <w:marTop w:val="0"/>
          <w:marBottom w:val="0"/>
          <w:divBdr>
            <w:top w:val="none" w:sz="0" w:space="0" w:color="auto"/>
            <w:left w:val="none" w:sz="0" w:space="0" w:color="auto"/>
            <w:bottom w:val="none" w:sz="0" w:space="0" w:color="auto"/>
            <w:right w:val="none" w:sz="0" w:space="0" w:color="auto"/>
          </w:divBdr>
        </w:div>
      </w:divsChild>
    </w:div>
    <w:div w:id="1084843259">
      <w:bodyDiv w:val="1"/>
      <w:marLeft w:val="0"/>
      <w:marRight w:val="0"/>
      <w:marTop w:val="0"/>
      <w:marBottom w:val="0"/>
      <w:divBdr>
        <w:top w:val="none" w:sz="0" w:space="0" w:color="auto"/>
        <w:left w:val="none" w:sz="0" w:space="0" w:color="auto"/>
        <w:bottom w:val="none" w:sz="0" w:space="0" w:color="auto"/>
        <w:right w:val="none" w:sz="0" w:space="0" w:color="auto"/>
      </w:divBdr>
    </w:div>
    <w:div w:id="1142502558">
      <w:bodyDiv w:val="1"/>
      <w:marLeft w:val="0"/>
      <w:marRight w:val="0"/>
      <w:marTop w:val="0"/>
      <w:marBottom w:val="0"/>
      <w:divBdr>
        <w:top w:val="none" w:sz="0" w:space="0" w:color="auto"/>
        <w:left w:val="none" w:sz="0" w:space="0" w:color="auto"/>
        <w:bottom w:val="none" w:sz="0" w:space="0" w:color="auto"/>
        <w:right w:val="none" w:sz="0" w:space="0" w:color="auto"/>
      </w:divBdr>
    </w:div>
    <w:div w:id="1143502193">
      <w:bodyDiv w:val="1"/>
      <w:marLeft w:val="0"/>
      <w:marRight w:val="0"/>
      <w:marTop w:val="0"/>
      <w:marBottom w:val="0"/>
      <w:divBdr>
        <w:top w:val="none" w:sz="0" w:space="0" w:color="auto"/>
        <w:left w:val="none" w:sz="0" w:space="0" w:color="auto"/>
        <w:bottom w:val="none" w:sz="0" w:space="0" w:color="auto"/>
        <w:right w:val="none" w:sz="0" w:space="0" w:color="auto"/>
      </w:divBdr>
    </w:div>
    <w:div w:id="1145463195">
      <w:bodyDiv w:val="1"/>
      <w:marLeft w:val="0"/>
      <w:marRight w:val="0"/>
      <w:marTop w:val="0"/>
      <w:marBottom w:val="0"/>
      <w:divBdr>
        <w:top w:val="none" w:sz="0" w:space="0" w:color="auto"/>
        <w:left w:val="none" w:sz="0" w:space="0" w:color="auto"/>
        <w:bottom w:val="none" w:sz="0" w:space="0" w:color="auto"/>
        <w:right w:val="none" w:sz="0" w:space="0" w:color="auto"/>
      </w:divBdr>
    </w:div>
    <w:div w:id="1197817545">
      <w:bodyDiv w:val="1"/>
      <w:marLeft w:val="0"/>
      <w:marRight w:val="0"/>
      <w:marTop w:val="0"/>
      <w:marBottom w:val="0"/>
      <w:divBdr>
        <w:top w:val="none" w:sz="0" w:space="0" w:color="auto"/>
        <w:left w:val="none" w:sz="0" w:space="0" w:color="auto"/>
        <w:bottom w:val="none" w:sz="0" w:space="0" w:color="auto"/>
        <w:right w:val="none" w:sz="0" w:space="0" w:color="auto"/>
      </w:divBdr>
      <w:divsChild>
        <w:div w:id="409078893">
          <w:marLeft w:val="-900"/>
          <w:marRight w:val="0"/>
          <w:marTop w:val="0"/>
          <w:marBottom w:val="0"/>
          <w:divBdr>
            <w:top w:val="none" w:sz="0" w:space="0" w:color="auto"/>
            <w:left w:val="none" w:sz="0" w:space="0" w:color="auto"/>
            <w:bottom w:val="none" w:sz="0" w:space="0" w:color="auto"/>
            <w:right w:val="none" w:sz="0" w:space="0" w:color="auto"/>
          </w:divBdr>
        </w:div>
      </w:divsChild>
    </w:div>
    <w:div w:id="1208182985">
      <w:bodyDiv w:val="1"/>
      <w:marLeft w:val="0"/>
      <w:marRight w:val="0"/>
      <w:marTop w:val="0"/>
      <w:marBottom w:val="0"/>
      <w:divBdr>
        <w:top w:val="none" w:sz="0" w:space="0" w:color="auto"/>
        <w:left w:val="none" w:sz="0" w:space="0" w:color="auto"/>
        <w:bottom w:val="none" w:sz="0" w:space="0" w:color="auto"/>
        <w:right w:val="none" w:sz="0" w:space="0" w:color="auto"/>
      </w:divBdr>
    </w:div>
    <w:div w:id="1345009376">
      <w:bodyDiv w:val="1"/>
      <w:marLeft w:val="0"/>
      <w:marRight w:val="0"/>
      <w:marTop w:val="0"/>
      <w:marBottom w:val="0"/>
      <w:divBdr>
        <w:top w:val="none" w:sz="0" w:space="0" w:color="auto"/>
        <w:left w:val="none" w:sz="0" w:space="0" w:color="auto"/>
        <w:bottom w:val="none" w:sz="0" w:space="0" w:color="auto"/>
        <w:right w:val="none" w:sz="0" w:space="0" w:color="auto"/>
      </w:divBdr>
    </w:div>
    <w:div w:id="1419912126">
      <w:bodyDiv w:val="1"/>
      <w:marLeft w:val="0"/>
      <w:marRight w:val="0"/>
      <w:marTop w:val="0"/>
      <w:marBottom w:val="0"/>
      <w:divBdr>
        <w:top w:val="none" w:sz="0" w:space="0" w:color="auto"/>
        <w:left w:val="none" w:sz="0" w:space="0" w:color="auto"/>
        <w:bottom w:val="none" w:sz="0" w:space="0" w:color="auto"/>
        <w:right w:val="none" w:sz="0" w:space="0" w:color="auto"/>
      </w:divBdr>
    </w:div>
    <w:div w:id="1459840711">
      <w:bodyDiv w:val="1"/>
      <w:marLeft w:val="0"/>
      <w:marRight w:val="0"/>
      <w:marTop w:val="0"/>
      <w:marBottom w:val="0"/>
      <w:divBdr>
        <w:top w:val="none" w:sz="0" w:space="0" w:color="auto"/>
        <w:left w:val="none" w:sz="0" w:space="0" w:color="auto"/>
        <w:bottom w:val="none" w:sz="0" w:space="0" w:color="auto"/>
        <w:right w:val="none" w:sz="0" w:space="0" w:color="auto"/>
      </w:divBdr>
    </w:div>
    <w:div w:id="1524398920">
      <w:bodyDiv w:val="1"/>
      <w:marLeft w:val="0"/>
      <w:marRight w:val="0"/>
      <w:marTop w:val="0"/>
      <w:marBottom w:val="0"/>
      <w:divBdr>
        <w:top w:val="none" w:sz="0" w:space="0" w:color="auto"/>
        <w:left w:val="none" w:sz="0" w:space="0" w:color="auto"/>
        <w:bottom w:val="none" w:sz="0" w:space="0" w:color="auto"/>
        <w:right w:val="none" w:sz="0" w:space="0" w:color="auto"/>
      </w:divBdr>
    </w:div>
    <w:div w:id="1558202142">
      <w:bodyDiv w:val="1"/>
      <w:marLeft w:val="0"/>
      <w:marRight w:val="0"/>
      <w:marTop w:val="0"/>
      <w:marBottom w:val="0"/>
      <w:divBdr>
        <w:top w:val="none" w:sz="0" w:space="0" w:color="auto"/>
        <w:left w:val="none" w:sz="0" w:space="0" w:color="auto"/>
        <w:bottom w:val="none" w:sz="0" w:space="0" w:color="auto"/>
        <w:right w:val="none" w:sz="0" w:space="0" w:color="auto"/>
      </w:divBdr>
    </w:div>
    <w:div w:id="1620067216">
      <w:bodyDiv w:val="1"/>
      <w:marLeft w:val="0"/>
      <w:marRight w:val="0"/>
      <w:marTop w:val="0"/>
      <w:marBottom w:val="0"/>
      <w:divBdr>
        <w:top w:val="none" w:sz="0" w:space="0" w:color="auto"/>
        <w:left w:val="none" w:sz="0" w:space="0" w:color="auto"/>
        <w:bottom w:val="none" w:sz="0" w:space="0" w:color="auto"/>
        <w:right w:val="none" w:sz="0" w:space="0" w:color="auto"/>
      </w:divBdr>
      <w:divsChild>
        <w:div w:id="1735154363">
          <w:marLeft w:val="-900"/>
          <w:marRight w:val="0"/>
          <w:marTop w:val="0"/>
          <w:marBottom w:val="0"/>
          <w:divBdr>
            <w:top w:val="none" w:sz="0" w:space="0" w:color="auto"/>
            <w:left w:val="none" w:sz="0" w:space="0" w:color="auto"/>
            <w:bottom w:val="none" w:sz="0" w:space="0" w:color="auto"/>
            <w:right w:val="none" w:sz="0" w:space="0" w:color="auto"/>
          </w:divBdr>
        </w:div>
      </w:divsChild>
    </w:div>
    <w:div w:id="1841581653">
      <w:bodyDiv w:val="1"/>
      <w:marLeft w:val="0"/>
      <w:marRight w:val="0"/>
      <w:marTop w:val="0"/>
      <w:marBottom w:val="0"/>
      <w:divBdr>
        <w:top w:val="none" w:sz="0" w:space="0" w:color="auto"/>
        <w:left w:val="none" w:sz="0" w:space="0" w:color="auto"/>
        <w:bottom w:val="none" w:sz="0" w:space="0" w:color="auto"/>
        <w:right w:val="none" w:sz="0" w:space="0" w:color="auto"/>
      </w:divBdr>
    </w:div>
    <w:div w:id="1889105071">
      <w:bodyDiv w:val="1"/>
      <w:marLeft w:val="0"/>
      <w:marRight w:val="0"/>
      <w:marTop w:val="0"/>
      <w:marBottom w:val="0"/>
      <w:divBdr>
        <w:top w:val="none" w:sz="0" w:space="0" w:color="auto"/>
        <w:left w:val="none" w:sz="0" w:space="0" w:color="auto"/>
        <w:bottom w:val="none" w:sz="0" w:space="0" w:color="auto"/>
        <w:right w:val="none" w:sz="0" w:space="0" w:color="auto"/>
      </w:divBdr>
    </w:div>
    <w:div w:id="1894391648">
      <w:bodyDiv w:val="1"/>
      <w:marLeft w:val="0"/>
      <w:marRight w:val="0"/>
      <w:marTop w:val="0"/>
      <w:marBottom w:val="0"/>
      <w:divBdr>
        <w:top w:val="none" w:sz="0" w:space="0" w:color="auto"/>
        <w:left w:val="none" w:sz="0" w:space="0" w:color="auto"/>
        <w:bottom w:val="none" w:sz="0" w:space="0" w:color="auto"/>
        <w:right w:val="none" w:sz="0" w:space="0" w:color="auto"/>
      </w:divBdr>
      <w:divsChild>
        <w:div w:id="1846508442">
          <w:marLeft w:val="-900"/>
          <w:marRight w:val="0"/>
          <w:marTop w:val="0"/>
          <w:marBottom w:val="0"/>
          <w:divBdr>
            <w:top w:val="none" w:sz="0" w:space="0" w:color="auto"/>
            <w:left w:val="none" w:sz="0" w:space="0" w:color="auto"/>
            <w:bottom w:val="none" w:sz="0" w:space="0" w:color="auto"/>
            <w:right w:val="none" w:sz="0" w:space="0" w:color="auto"/>
          </w:divBdr>
        </w:div>
      </w:divsChild>
    </w:div>
    <w:div w:id="1926064507">
      <w:bodyDiv w:val="1"/>
      <w:marLeft w:val="0"/>
      <w:marRight w:val="0"/>
      <w:marTop w:val="0"/>
      <w:marBottom w:val="0"/>
      <w:divBdr>
        <w:top w:val="none" w:sz="0" w:space="0" w:color="auto"/>
        <w:left w:val="none" w:sz="0" w:space="0" w:color="auto"/>
        <w:bottom w:val="none" w:sz="0" w:space="0" w:color="auto"/>
        <w:right w:val="none" w:sz="0" w:space="0" w:color="auto"/>
      </w:divBdr>
    </w:div>
    <w:div w:id="194749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Albecker</dc:creator>
  <cp:keywords/>
  <dc:description/>
  <cp:lastModifiedBy>Molly Albecker</cp:lastModifiedBy>
  <cp:revision>1</cp:revision>
  <dcterms:created xsi:type="dcterms:W3CDTF">2021-12-13T17:18:00Z</dcterms:created>
  <dcterms:modified xsi:type="dcterms:W3CDTF">2021-12-13T17:58:00Z</dcterms:modified>
</cp:coreProperties>
</file>