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58B17BDC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3E043F">
        <w:rPr>
          <w:rFonts w:ascii="Cambria" w:hAnsi="Cambria"/>
          <w:b/>
          <w:bCs/>
        </w:rPr>
        <w:t>Literature Consultation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4ECE1C54" w:rsidR="003926EA" w:rsidRPr="00F406D0" w:rsidRDefault="003E043F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Literature Consultation</w:t>
      </w:r>
    </w:p>
    <w:p w14:paraId="39AA3E1E" w14:textId="77777777" w:rsidR="00F20AEB" w:rsidRDefault="00F20AEB">
      <w:pPr>
        <w:rPr>
          <w:rFonts w:ascii="Cambria" w:hAnsi="Cambria"/>
        </w:rPr>
      </w:pPr>
    </w:p>
    <w:p w14:paraId="1DBFE0D7" w14:textId="77777777" w:rsidR="00A771B9" w:rsidRPr="00C25AF6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1A01E7" w:rsidRDefault="003926EA" w:rsidP="00A65462">
      <w:pPr>
        <w:rPr>
          <w:rFonts w:ascii="Cambria" w:hAnsi="Cambria"/>
        </w:rPr>
      </w:pPr>
    </w:p>
    <w:p w14:paraId="32765E38" w14:textId="64A5D79D" w:rsidR="00A35010" w:rsidRDefault="2E3FD4E4" w:rsidP="00A65462">
      <w:pPr>
        <w:rPr>
          <w:rFonts w:ascii="Cambria" w:eastAsia="Calibri" w:hAnsi="Cambria" w:cs="Calibri"/>
        </w:rPr>
      </w:pPr>
      <w:r w:rsidRPr="001A01E7">
        <w:rPr>
          <w:rFonts w:ascii="Cambria" w:eastAsia="Calibri" w:hAnsi="Cambria" w:cs="Calibri"/>
        </w:rPr>
        <w:t>A methodical review of applicable publications (e.g., books, research articles, relevant blog posts, usability evaluations, conference abstracts, and private sector reports) on a selected topic. The resulting report evaluates and summarizes available published data (including gaps) as a basis for future investigation.</w:t>
      </w:r>
    </w:p>
    <w:p w14:paraId="494D9A85" w14:textId="77777777" w:rsidR="00A65462" w:rsidRDefault="00A65462" w:rsidP="00A65462">
      <w:pPr>
        <w:rPr>
          <w:rFonts w:ascii="Cambria" w:eastAsia="Calibri" w:hAnsi="Cambria" w:cs="Calibri"/>
        </w:rPr>
      </w:pPr>
    </w:p>
    <w:p w14:paraId="2F43ACE0" w14:textId="38A87153" w:rsidR="00A65462" w:rsidRPr="00A65462" w:rsidRDefault="76285B7E" w:rsidP="18E4FFF8">
      <w:pPr>
        <w:rPr>
          <w:rFonts w:ascii="Cambria" w:eastAsia="Calibri" w:hAnsi="Cambria" w:cs="Calibri"/>
        </w:rPr>
      </w:pPr>
      <w:r w:rsidRPr="76285B7E">
        <w:rPr>
          <w:rFonts w:ascii="Cambria" w:eastAsia="Calibri" w:hAnsi="Cambria" w:cs="Calibri"/>
        </w:rPr>
        <w:t xml:space="preserve">A literature consultation contrasts with a formal literature review (or systemic review), which is an established academic process that can take months. A formal literature review will typically involve complex inclusion/exclusion criteria and require multiple reviewers to assure the review is comprehensive. </w:t>
      </w:r>
    </w:p>
    <w:p w14:paraId="102B6D95" w14:textId="1F480CE5" w:rsidR="00A65462" w:rsidRPr="00A65462" w:rsidRDefault="00A65462" w:rsidP="18E4FFF8">
      <w:pPr>
        <w:rPr>
          <w:rFonts w:ascii="Cambria" w:eastAsia="Times New Roman" w:hAnsi="Cambria" w:cs="Calibri"/>
        </w:rPr>
      </w:pPr>
    </w:p>
    <w:p w14:paraId="12BE5D08" w14:textId="5AAF8F37" w:rsidR="00A65462" w:rsidRPr="00A65462" w:rsidRDefault="76285B7E" w:rsidP="00A65462">
      <w:pPr>
        <w:rPr>
          <w:rFonts w:ascii="Cambria" w:eastAsia="Calibri" w:hAnsi="Cambria" w:cs="Calibri"/>
        </w:rPr>
      </w:pPr>
      <w:r w:rsidRPr="76285B7E">
        <w:rPr>
          <w:rFonts w:ascii="Cambria" w:eastAsia="Times New Roman" w:hAnsi="Cambria" w:cs="Calibri"/>
        </w:rPr>
        <w:t xml:space="preserve">A literature consultation is compressed into a shorter </w:t>
      </w:r>
      <w:proofErr w:type="gramStart"/>
      <w:r w:rsidRPr="76285B7E">
        <w:rPr>
          <w:rFonts w:ascii="Cambria" w:eastAsia="Times New Roman" w:hAnsi="Cambria" w:cs="Calibri"/>
        </w:rPr>
        <w:t>time period</w:t>
      </w:r>
      <w:proofErr w:type="gramEnd"/>
      <w:r w:rsidRPr="76285B7E">
        <w:rPr>
          <w:rFonts w:ascii="Cambria" w:eastAsia="Times New Roman" w:hAnsi="Cambria" w:cs="Calibri"/>
        </w:rPr>
        <w:t xml:space="preserve"> (from two weeks to a month), with less rigorous search and documentation requirements.</w:t>
      </w:r>
      <w:r w:rsidRPr="76285B7E">
        <w:rPr>
          <w:rFonts w:ascii="Cambria" w:eastAsia="Calibri" w:hAnsi="Cambria" w:cs="Calibri"/>
        </w:rPr>
        <w:t xml:space="preserve"> </w:t>
      </w:r>
      <w:r w:rsidRPr="76285B7E">
        <w:rPr>
          <w:rFonts w:ascii="Cambria" w:eastAsia="Times New Roman" w:hAnsi="Cambria" w:cs="Calibri"/>
        </w:rPr>
        <w:t>A literature consultation is not</w:t>
      </w:r>
      <w:r w:rsidRPr="76285B7E">
        <w:rPr>
          <w:rFonts w:ascii="Cambria" w:eastAsia="Times New Roman" w:hAnsi="Cambria" w:cs="Calibri"/>
          <w:b/>
          <w:bCs/>
        </w:rPr>
        <w:t xml:space="preserve"> </w:t>
      </w:r>
      <w:r w:rsidRPr="76285B7E">
        <w:rPr>
          <w:rFonts w:ascii="Cambria" w:eastAsia="Times New Roman" w:hAnsi="Cambria" w:cs="Calibri"/>
        </w:rPr>
        <w:t xml:space="preserve">an informal search, annotated bibliography, or collection of summaries of reviewed materials. It is an organized and structured approach to exploring available knowledge — including gray literature (information produced outside of traditional commercial or academic publishing) — on a topic of interest. </w:t>
      </w:r>
    </w:p>
    <w:p w14:paraId="2865A67E" w14:textId="655F6E32" w:rsidR="00A65462" w:rsidRDefault="00A65462" w:rsidP="00A65462">
      <w:pPr>
        <w:rPr>
          <w:rFonts w:ascii="Cambria" w:eastAsia="Times New Roman" w:hAnsi="Cambria" w:cs="Calibri"/>
        </w:rPr>
      </w:pPr>
    </w:p>
    <w:p w14:paraId="19136250" w14:textId="17AF61FE" w:rsidR="00A771B9" w:rsidRDefault="00A771B9" w:rsidP="00A65462">
      <w:pPr>
        <w:rPr>
          <w:rFonts w:ascii="Cambria" w:eastAsia="Times New Roman" w:hAnsi="Cambria" w:cs="Calibri"/>
        </w:rPr>
      </w:pPr>
    </w:p>
    <w:p w14:paraId="7B8B6D00" w14:textId="77777777" w:rsidR="00A771B9" w:rsidRPr="00C25AF6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E18FC3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1E5501EF" w14:textId="77777777" w:rsidR="00A771B9" w:rsidRDefault="00A771B9" w:rsidP="00A771B9">
      <w:pPr>
        <w:rPr>
          <w:rFonts w:ascii="Cambria" w:hAnsi="Cambria"/>
        </w:rPr>
      </w:pPr>
    </w:p>
    <w:p w14:paraId="3E37FC59" w14:textId="77777777" w:rsidR="00A771B9" w:rsidRPr="00BA5E5F" w:rsidRDefault="00A771B9" w:rsidP="00A771B9">
      <w:pPr>
        <w:numPr>
          <w:ilvl w:val="0"/>
          <w:numId w:val="13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76285B7E">
        <w:rPr>
          <w:rFonts w:ascii="Cambria" w:eastAsiaTheme="minorEastAsia" w:hAnsi="Cambria"/>
          <w:lang w:eastAsia="ja-JP"/>
        </w:rPr>
        <w:t>To understand the operational environment — e.g., factors that might impact workflow in a targeted context of use.</w:t>
      </w:r>
    </w:p>
    <w:p w14:paraId="04D8C9F6" w14:textId="77777777" w:rsidR="00A771B9" w:rsidRDefault="00A771B9" w:rsidP="00A771B9">
      <w:pPr>
        <w:rPr>
          <w:rFonts w:ascii="Cambria" w:hAnsi="Cambria"/>
        </w:rPr>
      </w:pPr>
    </w:p>
    <w:p w14:paraId="0BC89DDD" w14:textId="77777777" w:rsidR="00A771B9" w:rsidRDefault="00A771B9" w:rsidP="00A771B9">
      <w:pPr>
        <w:rPr>
          <w:rFonts w:ascii="Cambria" w:hAnsi="Cambria"/>
        </w:rPr>
      </w:pPr>
    </w:p>
    <w:p w14:paraId="2A5CE34E" w14:textId="77777777" w:rsidR="00A771B9" w:rsidRPr="00D45ECB" w:rsidRDefault="00A771B9" w:rsidP="00A771B9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4888EDC5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8166E84" w14:textId="77777777" w:rsidR="00A771B9" w:rsidRPr="00E86F81" w:rsidRDefault="00A771B9" w:rsidP="00A771B9">
      <w:pPr>
        <w:rPr>
          <w:rFonts w:ascii="Cambria" w:eastAsiaTheme="minorEastAsia" w:hAnsi="Cambria"/>
          <w:color w:val="010C29"/>
        </w:rPr>
      </w:pPr>
    </w:p>
    <w:p w14:paraId="1F9A9087" w14:textId="77777777" w:rsidR="00A771B9" w:rsidRPr="00E86F81" w:rsidRDefault="00A771B9" w:rsidP="00A771B9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76285B7E">
        <w:rPr>
          <w:rFonts w:ascii="Cambria" w:eastAsia="Calibri" w:hAnsi="Cambria" w:cs="Calibri"/>
          <w:color w:val="010C29"/>
        </w:rPr>
        <w:t>A literature consultation is time intensive, if strictly observed.</w:t>
      </w:r>
    </w:p>
    <w:p w14:paraId="07A744F7" w14:textId="77777777" w:rsidR="00A771B9" w:rsidRPr="00E86F81" w:rsidRDefault="00A771B9" w:rsidP="00A771B9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76285B7E">
        <w:rPr>
          <w:rFonts w:ascii="Cambria" w:eastAsia="Calibri" w:hAnsi="Cambria" w:cs="Calibri"/>
          <w:color w:val="010C29"/>
        </w:rPr>
        <w:t>The lag between conclusion of work and its publication can introduce delays in current state of knowledge in a field.</w:t>
      </w:r>
    </w:p>
    <w:p w14:paraId="370D7ADE" w14:textId="77777777" w:rsidR="00A771B9" w:rsidRPr="00E86F81" w:rsidRDefault="00A771B9" w:rsidP="00A771B9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00E86F81">
        <w:rPr>
          <w:rFonts w:ascii="Cambria" w:eastAsia="Calibri" w:hAnsi="Cambria" w:cs="Calibri"/>
          <w:color w:val="010C29"/>
        </w:rPr>
        <w:lastRenderedPageBreak/>
        <w:t xml:space="preserve">It can be difficult to </w:t>
      </w:r>
      <w:r>
        <w:rPr>
          <w:rFonts w:ascii="Cambria" w:eastAsia="Calibri" w:hAnsi="Cambria" w:cs="Calibri"/>
          <w:color w:val="010C29"/>
        </w:rPr>
        <w:t xml:space="preserve">determine </w:t>
      </w:r>
      <w:r w:rsidRPr="00E86F81">
        <w:rPr>
          <w:rFonts w:ascii="Cambria" w:eastAsia="Calibri" w:hAnsi="Cambria" w:cs="Calibri"/>
          <w:color w:val="010C29"/>
        </w:rPr>
        <w:t>reliability</w:t>
      </w:r>
      <w:r>
        <w:rPr>
          <w:rFonts w:ascii="Cambria" w:eastAsia="Calibri" w:hAnsi="Cambria" w:cs="Calibri"/>
          <w:color w:val="010C29"/>
        </w:rPr>
        <w:t xml:space="preserve"> given varied </w:t>
      </w:r>
      <w:r w:rsidRPr="00E86F81">
        <w:rPr>
          <w:rFonts w:ascii="Cambria" w:eastAsia="Calibri" w:hAnsi="Cambria" w:cs="Calibri"/>
          <w:color w:val="010C29"/>
        </w:rPr>
        <w:t>publication standards</w:t>
      </w:r>
      <w:r>
        <w:rPr>
          <w:rFonts w:ascii="Cambria" w:eastAsia="Calibri" w:hAnsi="Cambria" w:cs="Calibri"/>
          <w:color w:val="010C29"/>
        </w:rPr>
        <w:t>. For example</w:t>
      </w:r>
      <w:r w:rsidRPr="00E86F81">
        <w:rPr>
          <w:rFonts w:ascii="Cambria" w:eastAsia="Calibri" w:hAnsi="Cambria" w:cs="Calibri"/>
          <w:color w:val="010C29"/>
        </w:rPr>
        <w:t xml:space="preserve">, </w:t>
      </w:r>
      <w:r>
        <w:rPr>
          <w:rFonts w:ascii="Cambria" w:eastAsia="Calibri" w:hAnsi="Cambria" w:cs="Calibri"/>
          <w:color w:val="010C29"/>
        </w:rPr>
        <w:t>peer-reviewed research articles will have strict standards that are not applied with all sources.</w:t>
      </w:r>
    </w:p>
    <w:p w14:paraId="1B2F66E6" w14:textId="77777777" w:rsidR="00A771B9" w:rsidRPr="00A621ED" w:rsidRDefault="00A771B9" w:rsidP="00A771B9">
      <w:pPr>
        <w:pStyle w:val="ListParagraph"/>
        <w:numPr>
          <w:ilvl w:val="0"/>
          <w:numId w:val="3"/>
        </w:numPr>
        <w:ind w:left="360"/>
        <w:contextualSpacing w:val="0"/>
        <w:rPr>
          <w:rFonts w:ascii="Cambria" w:eastAsiaTheme="minorEastAsia" w:hAnsi="Cambria"/>
          <w:color w:val="010C29"/>
        </w:rPr>
      </w:pPr>
      <w:r w:rsidRPr="00E86F81">
        <w:rPr>
          <w:rFonts w:ascii="Cambria" w:eastAsia="Calibri" w:hAnsi="Cambria" w:cs="Calibri"/>
          <w:color w:val="010C29"/>
        </w:rPr>
        <w:t>The best results require access to libraries and/or databases for many of the journal articles</w:t>
      </w:r>
      <w:r>
        <w:rPr>
          <w:rFonts w:ascii="Cambria" w:eastAsia="Calibri" w:hAnsi="Cambria" w:cs="Calibri"/>
          <w:color w:val="010C29"/>
        </w:rPr>
        <w:t>, which is not always readily obtained.</w:t>
      </w:r>
    </w:p>
    <w:p w14:paraId="048B4DA4" w14:textId="77777777" w:rsidR="00A771B9" w:rsidRPr="00A621ED" w:rsidRDefault="00A771B9" w:rsidP="00A771B9">
      <w:pPr>
        <w:rPr>
          <w:rFonts w:ascii="Cambria" w:eastAsiaTheme="minorEastAsia" w:hAnsi="Cambria"/>
          <w:color w:val="010C29"/>
        </w:rPr>
      </w:pPr>
    </w:p>
    <w:p w14:paraId="65219D9F" w14:textId="1256E327" w:rsidR="003906D6" w:rsidRPr="001A01E7" w:rsidRDefault="003906D6" w:rsidP="00A65462">
      <w:pPr>
        <w:rPr>
          <w:rFonts w:ascii="Cambria" w:eastAsia="Calibri" w:hAnsi="Cambria" w:cs="Calibri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A621ED" w:rsidRDefault="003906D6" w:rsidP="003906D6">
      <w:pPr>
        <w:rPr>
          <w:rFonts w:ascii="Cambria" w:hAnsi="Cambria"/>
        </w:rPr>
      </w:pPr>
    </w:p>
    <w:p w14:paraId="08E975F0" w14:textId="3AEB0381" w:rsidR="00E11766" w:rsidRPr="00A621ED" w:rsidRDefault="00E11766" w:rsidP="00AB2502">
      <w:pPr>
        <w:pStyle w:val="ListParagraph"/>
        <w:numPr>
          <w:ilvl w:val="0"/>
          <w:numId w:val="14"/>
        </w:numPr>
        <w:ind w:left="360"/>
        <w:rPr>
          <w:rFonts w:ascii="Cambria" w:eastAsia="Calibri" w:hAnsi="Cambria" w:cs="Calibri"/>
          <w:color w:val="010C29"/>
        </w:rPr>
      </w:pPr>
      <w:r w:rsidRPr="00A621ED">
        <w:rPr>
          <w:rFonts w:ascii="Cambria" w:eastAsia="Calibri" w:hAnsi="Cambria" w:cs="Calibri"/>
          <w:color w:val="010C29"/>
        </w:rPr>
        <w:t xml:space="preserve">A report that includes </w:t>
      </w:r>
      <w:r w:rsidR="2E3FD4E4" w:rsidRPr="00A621ED">
        <w:rPr>
          <w:rFonts w:ascii="Cambria" w:eastAsia="Calibri" w:hAnsi="Cambria" w:cs="Calibri"/>
          <w:color w:val="010C29"/>
        </w:rPr>
        <w:t>the objectives and focus question</w:t>
      </w:r>
      <w:r w:rsidRPr="00A621ED">
        <w:rPr>
          <w:rFonts w:ascii="Cambria" w:eastAsia="Calibri" w:hAnsi="Cambria" w:cs="Calibri"/>
          <w:color w:val="010C29"/>
        </w:rPr>
        <w:t xml:space="preserve">s, methodological details (e.g., search terms, searched databases, and articles reviewed, etc.), and </w:t>
      </w:r>
      <w:r w:rsidR="00AB2502" w:rsidRPr="00A621ED">
        <w:rPr>
          <w:rFonts w:ascii="Cambria" w:eastAsia="Calibri" w:hAnsi="Cambria" w:cs="Calibri"/>
          <w:color w:val="010C29"/>
        </w:rPr>
        <w:t>a written discussion that synthesizes the data for an integrated viewpoint on the topic.</w:t>
      </w:r>
    </w:p>
    <w:p w14:paraId="7B6B0059" w14:textId="11D1F0BA" w:rsidR="00E11766" w:rsidRPr="00A621ED" w:rsidRDefault="00E11766" w:rsidP="2E3FD4E4">
      <w:pPr>
        <w:rPr>
          <w:rFonts w:ascii="Cambria" w:eastAsia="Calibri" w:hAnsi="Cambria" w:cs="Calibri"/>
          <w:color w:val="010C29"/>
        </w:rPr>
      </w:pPr>
    </w:p>
    <w:p w14:paraId="63E8CB3B" w14:textId="076ED6AF" w:rsidR="2E3FD4E4" w:rsidRPr="00A621ED" w:rsidRDefault="2E3FD4E4" w:rsidP="2E3FD4E4">
      <w:pPr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1EE0ACEE" w14:textId="4B819AC5" w:rsidR="2E3FD4E4" w:rsidRDefault="00A621ED" w:rsidP="2E3FD4E4">
      <w:pPr>
        <w:pStyle w:val="ListParagraph"/>
        <w:numPr>
          <w:ilvl w:val="0"/>
          <w:numId w:val="9"/>
        </w:numPr>
        <w:spacing w:after="120" w:line="259" w:lineRule="auto"/>
        <w:rPr>
          <w:rFonts w:eastAsiaTheme="minorEastAsia"/>
        </w:rPr>
      </w:pPr>
      <w:r>
        <w:rPr>
          <w:rFonts w:ascii="Cambria" w:hAnsi="Cambria"/>
        </w:rPr>
        <w:t>Method can be leveraged with minimal training and practice.</w:t>
      </w:r>
    </w:p>
    <w:p w14:paraId="5799262F" w14:textId="0F40C94E" w:rsidR="00C25AF6" w:rsidRDefault="00C25AF6" w:rsidP="00001846">
      <w:pPr>
        <w:rPr>
          <w:rFonts w:ascii="Cambria" w:hAnsi="Cambria"/>
        </w:rPr>
      </w:pPr>
    </w:p>
    <w:p w14:paraId="29766735" w14:textId="77777777" w:rsidR="00A771B9" w:rsidRDefault="00A771B9" w:rsidP="00A771B9">
      <w:pPr>
        <w:rPr>
          <w:rFonts w:ascii="Cambria" w:hAnsi="Cambria"/>
        </w:rPr>
      </w:pPr>
    </w:p>
    <w:p w14:paraId="3E622589" w14:textId="77777777" w:rsidR="00A771B9" w:rsidRPr="00D45ECB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5646C4F8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73FF53E1" w14:textId="77777777" w:rsidR="00A771B9" w:rsidRDefault="00A771B9" w:rsidP="00A771B9">
      <w:pPr>
        <w:rPr>
          <w:rFonts w:ascii="Cambria" w:hAnsi="Cambria"/>
          <w:highlight w:val="yellow"/>
        </w:rPr>
      </w:pPr>
    </w:p>
    <w:p w14:paraId="2541CD42" w14:textId="657F818B" w:rsidR="00A771B9" w:rsidRDefault="00A771B9" w:rsidP="00A771B9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 xml:space="preserve">Review step-by-step instructions on how to conduct a </w:t>
      </w:r>
      <w:r>
        <w:rPr>
          <w:rFonts w:ascii="Cambria" w:eastAsiaTheme="minorEastAsia" w:hAnsi="Cambria"/>
          <w:lang w:eastAsia="ja-JP"/>
        </w:rPr>
        <w:t>literature consultation</w:t>
      </w:r>
      <w:r>
        <w:rPr>
          <w:rFonts w:ascii="Cambria" w:eastAsiaTheme="minorEastAsia" w:hAnsi="Cambria"/>
          <w:lang w:eastAsia="ja-JP"/>
        </w:rPr>
        <w:t xml:space="preserve"> and access tools and instruments to support your evaluation.</w:t>
      </w:r>
    </w:p>
    <w:p w14:paraId="686C33D1" w14:textId="77777777" w:rsidR="00A771B9" w:rsidRDefault="00A771B9" w:rsidP="00A771B9">
      <w:pPr>
        <w:pStyle w:val="ListParagraph"/>
        <w:numPr>
          <w:ilvl w:val="0"/>
          <w:numId w:val="9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1A0CC6C6" w14:textId="77777777" w:rsidR="00A771B9" w:rsidRDefault="00A771B9" w:rsidP="00A771B9">
      <w:pPr>
        <w:rPr>
          <w:rFonts w:ascii="Cambria" w:hAnsi="Cambria"/>
        </w:rPr>
      </w:pPr>
    </w:p>
    <w:p w14:paraId="77325858" w14:textId="77777777" w:rsidR="00A771B9" w:rsidRDefault="00A771B9" w:rsidP="00A771B9">
      <w:pPr>
        <w:rPr>
          <w:rFonts w:ascii="Cambria" w:hAnsi="Cambria"/>
        </w:rPr>
      </w:pPr>
    </w:p>
    <w:p w14:paraId="61740D92" w14:textId="77777777" w:rsidR="00A771B9" w:rsidRDefault="00A771B9" w:rsidP="00A771B9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3C397F91" w14:textId="732B9F97" w:rsidR="00A771B9" w:rsidRDefault="00A771B9" w:rsidP="00A771B9">
      <w:pPr>
        <w:rPr>
          <w:rFonts w:ascii="Cambria" w:hAnsi="Cambria"/>
        </w:rPr>
      </w:pPr>
    </w:p>
    <w:p w14:paraId="04DFBC3D" w14:textId="77777777" w:rsidR="00A771B9" w:rsidRPr="00C25AF6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16452C7B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76C826A0" w14:textId="77777777" w:rsidR="00A771B9" w:rsidRPr="00A95DD2" w:rsidRDefault="00A771B9" w:rsidP="00A771B9">
      <w:pPr>
        <w:rPr>
          <w:rFonts w:ascii="Cambria" w:hAnsi="Cambria"/>
          <w:lang w:eastAsia="ja-JP"/>
        </w:rPr>
      </w:pPr>
    </w:p>
    <w:p w14:paraId="777EADF3" w14:textId="6E43DDC6" w:rsidR="00A771B9" w:rsidRDefault="00A771B9" w:rsidP="00A771B9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51E43DC9" w14:textId="77777777" w:rsidR="00A771B9" w:rsidRDefault="00A771B9" w:rsidP="00A771B9">
      <w:pPr>
        <w:rPr>
          <w:rFonts w:ascii="Cambria" w:hAnsi="Cambria"/>
          <w:lang w:eastAsia="ja-JP"/>
        </w:rPr>
      </w:pPr>
    </w:p>
    <w:p w14:paraId="3C232142" w14:textId="77777777" w:rsidR="00A771B9" w:rsidRPr="00A95DD2" w:rsidRDefault="00A771B9" w:rsidP="00A771B9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2ABFC7A1" w14:textId="77777777" w:rsidR="00A771B9" w:rsidRPr="00C25AF6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1A5A3F7C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13424347" w14:textId="77777777" w:rsidR="00A771B9" w:rsidRPr="00746A83" w:rsidRDefault="00A771B9" w:rsidP="00A771B9">
      <w:pPr>
        <w:rPr>
          <w:rFonts w:ascii="Cambria" w:hAnsi="Cambria"/>
        </w:rPr>
      </w:pPr>
    </w:p>
    <w:p w14:paraId="701BBC5A" w14:textId="5E16CEF3" w:rsidR="00A771B9" w:rsidRDefault="00A771B9" w:rsidP="00A771B9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2C0E3205" w14:textId="77777777" w:rsidR="00A771B9" w:rsidRDefault="00A771B9" w:rsidP="00A771B9">
      <w:pPr>
        <w:rPr>
          <w:rFonts w:ascii="Cambria" w:hAnsi="Cambria"/>
          <w:lang w:eastAsia="ja-JP"/>
        </w:rPr>
      </w:pPr>
    </w:p>
    <w:p w14:paraId="7315C66C" w14:textId="77777777" w:rsidR="00A771B9" w:rsidRPr="00746A83" w:rsidRDefault="00A771B9" w:rsidP="00A771B9">
      <w:pPr>
        <w:rPr>
          <w:rFonts w:ascii="Cambria" w:hAnsi="Cambria"/>
        </w:rPr>
      </w:pPr>
    </w:p>
    <w:p w14:paraId="256A15A5" w14:textId="77777777" w:rsidR="00A771B9" w:rsidRPr="00C25AF6" w:rsidRDefault="00A771B9" w:rsidP="00A771B9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71CD30E2" w14:textId="77777777" w:rsidR="00A771B9" w:rsidRPr="00432932" w:rsidRDefault="00A771B9" w:rsidP="00A771B9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67D9350D" w14:textId="77777777" w:rsidR="00A771B9" w:rsidRDefault="00A771B9" w:rsidP="00A771B9">
      <w:pPr>
        <w:rPr>
          <w:rFonts w:ascii="Cambria" w:hAnsi="Cambria"/>
        </w:rPr>
      </w:pPr>
    </w:p>
    <w:p w14:paraId="15C8F8B5" w14:textId="298611E7" w:rsidR="00A771B9" w:rsidRPr="009D435D" w:rsidRDefault="00A771B9" w:rsidP="00A771B9">
      <w:pPr>
        <w:numPr>
          <w:ilvl w:val="0"/>
          <w:numId w:val="13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59F9F292" w14:textId="77777777" w:rsidR="00A771B9" w:rsidRDefault="00A771B9" w:rsidP="00A771B9">
      <w:pPr>
        <w:rPr>
          <w:rFonts w:ascii="Cambria" w:hAnsi="Cambria"/>
        </w:rPr>
      </w:pPr>
    </w:p>
    <w:p w14:paraId="64DBBB6E" w14:textId="77777777" w:rsidR="00A771B9" w:rsidRDefault="00A771B9" w:rsidP="00A771B9">
      <w:pPr>
        <w:rPr>
          <w:rFonts w:ascii="Cambria" w:hAnsi="Cambria"/>
        </w:rPr>
      </w:pPr>
    </w:p>
    <w:p w14:paraId="5CB2567B" w14:textId="77777777" w:rsidR="00A771B9" w:rsidRDefault="00A771B9" w:rsidP="00A771B9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40AC9FA0" w14:textId="77777777" w:rsidR="00A771B9" w:rsidRPr="00EC5A9A" w:rsidRDefault="00A771B9" w:rsidP="00A771B9">
      <w:pPr>
        <w:rPr>
          <w:rFonts w:ascii="Cambria" w:hAnsi="Cambria"/>
          <w:b/>
          <w:bCs/>
          <w:lang w:eastAsia="ja-JP"/>
        </w:rPr>
      </w:pPr>
    </w:p>
    <w:bookmarkEnd w:id="0"/>
    <w:p w14:paraId="598824C9" w14:textId="77777777" w:rsidR="00A771B9" w:rsidRDefault="00A771B9" w:rsidP="00001846">
      <w:pPr>
        <w:rPr>
          <w:rFonts w:ascii="Cambria" w:hAnsi="Cambria"/>
        </w:rPr>
      </w:pPr>
    </w:p>
    <w:p w14:paraId="7ABF7F74" w14:textId="77777777" w:rsidR="00A54F5B" w:rsidRPr="00D45ECB" w:rsidRDefault="00A54F5B" w:rsidP="00A54F5B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1F897D41" w14:textId="77777777" w:rsidR="00A54F5B" w:rsidRPr="00432932" w:rsidRDefault="00A54F5B" w:rsidP="00A54F5B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7896E0AE" w14:textId="77777777" w:rsidR="00A54F5B" w:rsidRDefault="00A54F5B" w:rsidP="00A54F5B">
      <w:pPr>
        <w:rPr>
          <w:rFonts w:ascii="Cambria" w:hAnsi="Cambria"/>
        </w:rPr>
      </w:pPr>
    </w:p>
    <w:p w14:paraId="4F366AA5" w14:textId="77777777" w:rsidR="00A54F5B" w:rsidRPr="00C25AF6" w:rsidRDefault="00A54F5B" w:rsidP="00A54F5B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75A62A75" w14:textId="77777777" w:rsidR="00A54F5B" w:rsidRDefault="00A54F5B" w:rsidP="00A54F5B">
      <w:pPr>
        <w:rPr>
          <w:rFonts w:ascii="Cambria" w:hAnsi="Cambria"/>
        </w:rPr>
      </w:pPr>
    </w:p>
    <w:p w14:paraId="02B7C7A3" w14:textId="77777777" w:rsidR="00A54F5B" w:rsidRDefault="00A54F5B" w:rsidP="00A54F5B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2460EC61" w14:textId="0058852D" w:rsidR="00A621ED" w:rsidRPr="00A621ED" w:rsidRDefault="00A621ED" w:rsidP="00A621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N/A</w:t>
      </w:r>
    </w:p>
    <w:p w14:paraId="5EF9BF73" w14:textId="502F7D8B" w:rsidR="00A621ED" w:rsidRDefault="00A621ED" w:rsidP="00A621ED">
      <w:pPr>
        <w:rPr>
          <w:rFonts w:eastAsiaTheme="minorEastAsia"/>
        </w:rPr>
      </w:pPr>
    </w:p>
    <w:p w14:paraId="48F03049" w14:textId="77777777" w:rsidR="00A621ED" w:rsidRDefault="00A621ED" w:rsidP="00A621ED">
      <w:pPr>
        <w:rPr>
          <w:rFonts w:eastAsiaTheme="minorEastAs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0AB31BCA" w:rsidR="00C64AB6" w:rsidRPr="00C25AF6" w:rsidRDefault="00A621ED" w:rsidP="00C64AB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46DD6672" w14:textId="77777777" w:rsidR="00A771B9" w:rsidRDefault="00A771B9"/>
    <w:p w14:paraId="1B22DACD" w14:textId="77777777" w:rsidR="00A771B9" w:rsidRDefault="00A771B9"/>
    <w:sectPr w:rsidR="00A771B9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8A2"/>
    <w:multiLevelType w:val="hybridMultilevel"/>
    <w:tmpl w:val="48B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5F34"/>
    <w:multiLevelType w:val="hybridMultilevel"/>
    <w:tmpl w:val="0D3AD7B0"/>
    <w:lvl w:ilvl="0" w:tplc="FA2E8016">
      <w:start w:val="1"/>
      <w:numFmt w:val="decimal"/>
      <w:lvlText w:val="%1."/>
      <w:lvlJc w:val="left"/>
      <w:pPr>
        <w:ind w:left="720" w:hanging="360"/>
      </w:pPr>
    </w:lvl>
    <w:lvl w:ilvl="1" w:tplc="2AE85F76">
      <w:start w:val="1"/>
      <w:numFmt w:val="lowerLetter"/>
      <w:lvlText w:val="%2."/>
      <w:lvlJc w:val="left"/>
      <w:pPr>
        <w:ind w:left="1440" w:hanging="360"/>
      </w:pPr>
    </w:lvl>
    <w:lvl w:ilvl="2" w:tplc="C5E0C45C">
      <w:start w:val="1"/>
      <w:numFmt w:val="lowerRoman"/>
      <w:lvlText w:val="%3."/>
      <w:lvlJc w:val="right"/>
      <w:pPr>
        <w:ind w:left="2160" w:hanging="180"/>
      </w:pPr>
    </w:lvl>
    <w:lvl w:ilvl="3" w:tplc="A476D354">
      <w:start w:val="1"/>
      <w:numFmt w:val="decimal"/>
      <w:lvlText w:val="%4."/>
      <w:lvlJc w:val="left"/>
      <w:pPr>
        <w:ind w:left="2880" w:hanging="360"/>
      </w:pPr>
    </w:lvl>
    <w:lvl w:ilvl="4" w:tplc="C7603010">
      <w:start w:val="1"/>
      <w:numFmt w:val="lowerLetter"/>
      <w:lvlText w:val="%5."/>
      <w:lvlJc w:val="left"/>
      <w:pPr>
        <w:ind w:left="3600" w:hanging="360"/>
      </w:pPr>
    </w:lvl>
    <w:lvl w:ilvl="5" w:tplc="45DEC2A8">
      <w:start w:val="1"/>
      <w:numFmt w:val="lowerRoman"/>
      <w:lvlText w:val="%6."/>
      <w:lvlJc w:val="right"/>
      <w:pPr>
        <w:ind w:left="4320" w:hanging="180"/>
      </w:pPr>
    </w:lvl>
    <w:lvl w:ilvl="6" w:tplc="25963998">
      <w:start w:val="1"/>
      <w:numFmt w:val="decimal"/>
      <w:lvlText w:val="%7."/>
      <w:lvlJc w:val="left"/>
      <w:pPr>
        <w:ind w:left="5040" w:hanging="360"/>
      </w:pPr>
    </w:lvl>
    <w:lvl w:ilvl="7" w:tplc="FA9CBD76">
      <w:start w:val="1"/>
      <w:numFmt w:val="lowerLetter"/>
      <w:lvlText w:val="%8."/>
      <w:lvlJc w:val="left"/>
      <w:pPr>
        <w:ind w:left="5760" w:hanging="360"/>
      </w:pPr>
    </w:lvl>
    <w:lvl w:ilvl="8" w:tplc="06A656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54F3"/>
    <w:multiLevelType w:val="hybridMultilevel"/>
    <w:tmpl w:val="878A3094"/>
    <w:lvl w:ilvl="0" w:tplc="F2B24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2A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0C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C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AE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F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F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E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E8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0137C"/>
    <w:multiLevelType w:val="hybridMultilevel"/>
    <w:tmpl w:val="474A597E"/>
    <w:lvl w:ilvl="0" w:tplc="AF667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4D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A6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6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C2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1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8C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17DC8"/>
    <w:multiLevelType w:val="hybridMultilevel"/>
    <w:tmpl w:val="7B0E298E"/>
    <w:lvl w:ilvl="0" w:tplc="B6CE9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22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0B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A5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64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C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2C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4D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A0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A10BA7"/>
    <w:multiLevelType w:val="hybridMultilevel"/>
    <w:tmpl w:val="93860F42"/>
    <w:lvl w:ilvl="0" w:tplc="D80A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80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E2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A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A6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68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25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01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27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5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6B1D"/>
    <w:rsid w:val="000808D0"/>
    <w:rsid w:val="00085269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1A01E7"/>
    <w:rsid w:val="00263F2F"/>
    <w:rsid w:val="002A0EFB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3E043F"/>
    <w:rsid w:val="00432932"/>
    <w:rsid w:val="00437BE9"/>
    <w:rsid w:val="004454E3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640C"/>
    <w:rsid w:val="0058151E"/>
    <w:rsid w:val="005D23BE"/>
    <w:rsid w:val="00610404"/>
    <w:rsid w:val="006310F5"/>
    <w:rsid w:val="0066001C"/>
    <w:rsid w:val="00677647"/>
    <w:rsid w:val="00694128"/>
    <w:rsid w:val="006955C9"/>
    <w:rsid w:val="006D38D4"/>
    <w:rsid w:val="006D6483"/>
    <w:rsid w:val="006E7547"/>
    <w:rsid w:val="00704CF7"/>
    <w:rsid w:val="00732AB6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4909"/>
    <w:rsid w:val="00905B70"/>
    <w:rsid w:val="00927B76"/>
    <w:rsid w:val="00980567"/>
    <w:rsid w:val="0099059D"/>
    <w:rsid w:val="009A7D61"/>
    <w:rsid w:val="009B39B1"/>
    <w:rsid w:val="009E7625"/>
    <w:rsid w:val="00A0594C"/>
    <w:rsid w:val="00A35010"/>
    <w:rsid w:val="00A42B3A"/>
    <w:rsid w:val="00A54F5B"/>
    <w:rsid w:val="00A6156A"/>
    <w:rsid w:val="00A621ED"/>
    <w:rsid w:val="00A65462"/>
    <w:rsid w:val="00A66304"/>
    <w:rsid w:val="00A771B9"/>
    <w:rsid w:val="00A945E6"/>
    <w:rsid w:val="00A97365"/>
    <w:rsid w:val="00AB2502"/>
    <w:rsid w:val="00B22674"/>
    <w:rsid w:val="00B23B47"/>
    <w:rsid w:val="00B5634E"/>
    <w:rsid w:val="00B65436"/>
    <w:rsid w:val="00B71915"/>
    <w:rsid w:val="00BA5E5F"/>
    <w:rsid w:val="00BB2AFB"/>
    <w:rsid w:val="00C06ABF"/>
    <w:rsid w:val="00C25AF6"/>
    <w:rsid w:val="00C50B56"/>
    <w:rsid w:val="00C56723"/>
    <w:rsid w:val="00C64AB6"/>
    <w:rsid w:val="00CA191E"/>
    <w:rsid w:val="00CC1162"/>
    <w:rsid w:val="00CD0692"/>
    <w:rsid w:val="00CE7126"/>
    <w:rsid w:val="00D05C37"/>
    <w:rsid w:val="00D45ECB"/>
    <w:rsid w:val="00D5123B"/>
    <w:rsid w:val="00D856BA"/>
    <w:rsid w:val="00DE10F4"/>
    <w:rsid w:val="00E06D43"/>
    <w:rsid w:val="00E11766"/>
    <w:rsid w:val="00E50093"/>
    <w:rsid w:val="00E51D08"/>
    <w:rsid w:val="00E7039E"/>
    <w:rsid w:val="00E836AA"/>
    <w:rsid w:val="00E86F81"/>
    <w:rsid w:val="00ED0A66"/>
    <w:rsid w:val="00ED21FC"/>
    <w:rsid w:val="00EE21DF"/>
    <w:rsid w:val="00EF1417"/>
    <w:rsid w:val="00F01F1D"/>
    <w:rsid w:val="00F10846"/>
    <w:rsid w:val="00F15276"/>
    <w:rsid w:val="00F20AEB"/>
    <w:rsid w:val="00F37753"/>
    <w:rsid w:val="00F406D0"/>
    <w:rsid w:val="00F417BB"/>
    <w:rsid w:val="00F442FE"/>
    <w:rsid w:val="00F55EFA"/>
    <w:rsid w:val="00F6179F"/>
    <w:rsid w:val="00F873F4"/>
    <w:rsid w:val="00F966D6"/>
    <w:rsid w:val="00FC435E"/>
    <w:rsid w:val="00FD7E6B"/>
    <w:rsid w:val="00FF7F4B"/>
    <w:rsid w:val="18E4FFF8"/>
    <w:rsid w:val="2E3FD4E4"/>
    <w:rsid w:val="4838A596"/>
    <w:rsid w:val="762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4</cp:revision>
  <dcterms:created xsi:type="dcterms:W3CDTF">2020-07-30T20:48:00Z</dcterms:created>
  <dcterms:modified xsi:type="dcterms:W3CDTF">2020-09-13T14:00:00Z</dcterms:modified>
</cp:coreProperties>
</file>