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417BB" w:rsidR="00F417BB" w:rsidP="00F417BB" w:rsidRDefault="00F417BB" w14:paraId="0D9C88BB" w14:textId="4F2B3B94">
      <w:pPr>
        <w:rPr>
          <w:rFonts w:ascii="Cambria" w:hAnsi="Cambria"/>
        </w:rPr>
      </w:pPr>
      <w:r w:rsidRPr="683DD944" w:rsidR="683DD944">
        <w:rPr>
          <w:rFonts w:ascii="Cambria" w:hAnsi="Cambria"/>
          <w:b w:val="1"/>
          <w:bCs w:val="1"/>
        </w:rPr>
        <w:t>Page ID</w:t>
      </w:r>
      <w:r w:rsidRPr="683DD944" w:rsidR="683DD944">
        <w:rPr>
          <w:rFonts w:ascii="Cambria" w:hAnsi="Cambria"/>
        </w:rPr>
        <w:t>:</w:t>
      </w:r>
      <w:r w:rsidRPr="683DD944" w:rsidR="683DD944">
        <w:rPr>
          <w:rFonts w:ascii="Cambria" w:hAnsi="Cambria"/>
          <w:b w:val="1"/>
          <w:bCs w:val="1"/>
        </w:rPr>
        <w:t xml:space="preserve"> </w:t>
      </w:r>
      <w:r w:rsidRPr="683DD944" w:rsidR="683DD944">
        <w:rPr>
          <w:rFonts w:ascii="Cambria" w:hAnsi="Cambria"/>
          <w:b w:val="1"/>
          <w:bCs w:val="1"/>
        </w:rPr>
        <w:t>#.#</w:t>
      </w:r>
      <w:r w:rsidRPr="683DD944" w:rsidR="683DD944">
        <w:rPr>
          <w:rFonts w:ascii="Cambria" w:hAnsi="Cambria"/>
          <w:b w:val="1"/>
          <w:bCs w:val="1"/>
        </w:rPr>
        <w:t xml:space="preserve"> </w:t>
      </w:r>
      <w:r w:rsidRPr="683DD944" w:rsidR="683DD944">
        <w:rPr>
          <w:rFonts w:ascii="Cambria" w:hAnsi="Cambria"/>
          <w:b w:val="1"/>
          <w:bCs w:val="1"/>
        </w:rPr>
        <w:t>Usability Walkthrough</w:t>
      </w:r>
    </w:p>
    <w:p w:rsidR="006955C9" w:rsidP="00980567" w:rsidRDefault="006D38D4" w14:paraId="4A489CE0" w14:textId="08E6FE98">
      <w:pPr>
        <w:pStyle w:val="Heading1"/>
      </w:pPr>
      <w:r>
        <w:t>Primary</w:t>
      </w:r>
      <w:r w:rsidR="00FD7E6B">
        <w:t xml:space="preserve"> Content</w:t>
      </w:r>
    </w:p>
    <w:p w:rsidR="00001846" w:rsidP="00001846" w:rsidRDefault="00001846" w14:paraId="47CF686C" w14:textId="697BAFD5">
      <w:pPr>
        <w:rPr>
          <w:rFonts w:ascii="Cambria" w:hAnsi="Cambria"/>
        </w:rPr>
      </w:pPr>
    </w:p>
    <w:p w:rsidRPr="00432932" w:rsidR="00001846" w:rsidP="00130741" w:rsidRDefault="00001846" w14:paraId="49157118" w14:textId="1FFD20AD">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rsidRPr="00130741" w:rsidR="00D45ECB" w:rsidP="00130741" w:rsidRDefault="00001846" w14:paraId="72760651" w14:textId="3F44A796">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Pr="00130741" w:rsidR="00853EE6">
        <w:rPr>
          <w:rFonts w:ascii="Cambria" w:hAnsi="Cambria"/>
          <w:color w:val="1F3864" w:themeColor="accent1" w:themeShade="80"/>
          <w:sz w:val="20"/>
          <w:szCs w:val="20"/>
        </w:rPr>
        <w:t xml:space="preserve"> (REQUIRED)</w:t>
      </w:r>
      <w:r w:rsidRPr="00130741" w:rsidR="00F406D0">
        <w:rPr>
          <w:rFonts w:ascii="Cambria" w:hAnsi="Cambria"/>
          <w:color w:val="1F3864" w:themeColor="accent1" w:themeShade="80"/>
          <w:sz w:val="20"/>
          <w:szCs w:val="20"/>
        </w:rPr>
        <w:t>.</w:t>
      </w:r>
      <w:r w:rsidRPr="00130741" w:rsidR="00732AB6">
        <w:rPr>
          <w:rFonts w:ascii="Cambria" w:hAnsi="Cambria"/>
          <w:color w:val="1F3864" w:themeColor="accent1" w:themeShade="80"/>
          <w:sz w:val="20"/>
          <w:szCs w:val="20"/>
        </w:rPr>
        <w:t xml:space="preserve"> </w:t>
      </w:r>
    </w:p>
    <w:p w:rsidR="003926EA" w:rsidP="00927B76" w:rsidRDefault="003926EA" w14:paraId="0396D971" w14:textId="4D2075C4">
      <w:pPr>
        <w:rPr>
          <w:rFonts w:ascii="Cambria" w:hAnsi="Cambria"/>
          <w:color w:val="000000" w:themeColor="text1"/>
        </w:rPr>
      </w:pPr>
    </w:p>
    <w:p w:rsidRPr="00F406D0" w:rsidR="003926EA" w:rsidP="00927B76" w:rsidRDefault="00A94FAC" w14:paraId="7152BAC0" w14:textId="47DDA072">
      <w:pPr>
        <w:rPr>
          <w:rFonts w:ascii="Cambria" w:hAnsi="Cambria"/>
          <w:b/>
          <w:bCs/>
          <w:color w:val="000000" w:themeColor="text1"/>
          <w:sz w:val="32"/>
          <w:szCs w:val="32"/>
        </w:rPr>
      </w:pPr>
      <w:r>
        <w:rPr>
          <w:rFonts w:ascii="Cambria" w:hAnsi="Cambria"/>
          <w:b/>
          <w:bCs/>
          <w:color w:val="000000" w:themeColor="text1"/>
          <w:sz w:val="32"/>
          <w:szCs w:val="32"/>
        </w:rPr>
        <w:t>Usability Walkthrough</w:t>
      </w:r>
    </w:p>
    <w:p w:rsidR="003926EA" w:rsidRDefault="003926EA" w14:paraId="3C1DF308" w14:textId="471F7564">
      <w:pPr>
        <w:rPr>
          <w:rFonts w:ascii="Cambria" w:hAnsi="Cambria"/>
        </w:rPr>
      </w:pPr>
    </w:p>
    <w:p w:rsidR="00F43B9C" w:rsidRDefault="00F43B9C" w14:paraId="1CE76362" w14:textId="77777777">
      <w:pPr>
        <w:rPr>
          <w:rFonts w:ascii="Cambria" w:hAnsi="Cambria"/>
        </w:rPr>
      </w:pPr>
    </w:p>
    <w:p w:rsidRPr="00C25AF6" w:rsidR="00001846" w:rsidP="00432932" w:rsidRDefault="00001846" w14:paraId="00A1B460" w14:textId="32FB7640">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p>
    <w:p w:rsidRPr="00432932" w:rsidR="00D45ECB" w:rsidP="00432932" w:rsidRDefault="00001846" w14:paraId="084D6469" w14:textId="2D36A2FE">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Pr="00432932" w:rsidR="00853EE6">
        <w:rPr>
          <w:rFonts w:ascii="Cambria" w:hAnsi="Cambria"/>
          <w:color w:val="1F3864" w:themeColor="accent1" w:themeShade="80"/>
          <w:sz w:val="20"/>
          <w:szCs w:val="20"/>
        </w:rPr>
        <w:t xml:space="preserve"> (REQUIRED)</w:t>
      </w:r>
      <w:r w:rsidRPr="00432932" w:rsidR="00D45ECB">
        <w:rPr>
          <w:rFonts w:ascii="Cambria" w:hAnsi="Cambria"/>
          <w:color w:val="1F3864" w:themeColor="accent1" w:themeShade="80"/>
          <w:sz w:val="20"/>
          <w:szCs w:val="20"/>
        </w:rPr>
        <w:t>.</w:t>
      </w:r>
    </w:p>
    <w:p w:rsidRPr="0034571C" w:rsidR="003926EA" w:rsidRDefault="003926EA" w14:paraId="40EDD08C" w14:textId="171EC398">
      <w:pPr>
        <w:rPr>
          <w:rFonts w:ascii="Cambria" w:hAnsi="Cambria"/>
        </w:rPr>
      </w:pPr>
    </w:p>
    <w:p w:rsidRPr="00C22309" w:rsidR="00A94FAC" w:rsidP="27722403" w:rsidRDefault="3C1E9139" w14:paraId="4E607DB8" w14:textId="49DBEA60">
      <w:pPr>
        <w:spacing w:line="259" w:lineRule="auto"/>
        <w:rPr>
          <w:rFonts w:ascii="Cambria" w:hAnsi="Cambria" w:eastAsiaTheme="majorEastAsia" w:cstheme="majorBidi"/>
        </w:rPr>
      </w:pPr>
      <w:r w:rsidRPr="3C1E9139">
        <w:rPr>
          <w:rFonts w:ascii="Cambria" w:hAnsi="Cambria" w:eastAsiaTheme="majorEastAsia" w:cstheme="majorBidi"/>
        </w:rPr>
        <w:t xml:space="preserve">An end user is given key tasks and works through them using a prototype (or mock-up). A usability walkthrough is often used to get feedback on early interface designs. </w:t>
      </w:r>
    </w:p>
    <w:p w:rsidR="00A94FAC" w:rsidP="00A94FAC" w:rsidRDefault="00A94FAC" w14:paraId="612208F9" w14:textId="66C3ECC2">
      <w:pPr>
        <w:spacing w:line="259" w:lineRule="auto"/>
        <w:rPr>
          <w:rFonts w:ascii="Cambria" w:hAnsi="Cambria" w:eastAsiaTheme="majorEastAsia" w:cstheme="majorBidi"/>
        </w:rPr>
      </w:pPr>
    </w:p>
    <w:p w:rsidRPr="002476EC" w:rsidR="00F349A8" w:rsidP="00F349A8" w:rsidRDefault="3C1E9139" w14:paraId="179EF5A8" w14:textId="6D74AA42">
      <w:pPr>
        <w:spacing w:line="259" w:lineRule="auto"/>
        <w:rPr>
          <w:rFonts w:ascii="Cambria" w:hAnsi="Cambria" w:cs="Calibri"/>
        </w:rPr>
      </w:pPr>
      <w:r w:rsidRPr="3C1E9139">
        <w:rPr>
          <w:rFonts w:ascii="Cambria" w:hAnsi="Cambria" w:eastAsiaTheme="majorEastAsia" w:cstheme="majorBidi"/>
        </w:rPr>
        <w:t xml:space="preserve">In some cases, the approach is expanded to include </w:t>
      </w:r>
      <w:r w:rsidRPr="3C1E9139">
        <w:rPr>
          <w:rFonts w:ascii="Cambria" w:hAnsi="Cambria" w:cs="Calibri"/>
        </w:rPr>
        <w:t>development team members. Users and team members walk through the tasks together to uncover usability issues and discuss solutions. This version of the method is often called a pluralistic usability walkthrough.</w:t>
      </w:r>
    </w:p>
    <w:p w:rsidR="0034571C" w:rsidP="0034571C" w:rsidRDefault="0034571C" w14:paraId="27FB7FE2" w14:textId="4D7AD307">
      <w:pPr>
        <w:rPr>
          <w:rFonts w:ascii="Cambria" w:hAnsi="Cambria"/>
        </w:rPr>
      </w:pPr>
    </w:p>
    <w:p w:rsidRPr="0034571C" w:rsidR="0034571C" w:rsidP="0034571C" w:rsidRDefault="0034571C" w14:paraId="7BFE9A6B" w14:textId="77777777">
      <w:pPr>
        <w:rPr>
          <w:rFonts w:ascii="Cambria" w:hAnsi="Cambria"/>
        </w:rPr>
      </w:pPr>
    </w:p>
    <w:p w:rsidRPr="00C25AF6" w:rsidR="003906D6" w:rsidP="00432932" w:rsidRDefault="003906D6" w14:paraId="4D00CD18" w14:textId="77777777">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p>
    <w:p w:rsidRPr="00432932" w:rsidR="003906D6" w:rsidP="00432932" w:rsidRDefault="003906D6" w14:paraId="32C8DD19" w14:textId="3AEBC86E">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rsidR="00FF7F4B" w:rsidP="003906D6" w:rsidRDefault="00FF7F4B" w14:paraId="3E9A82F8" w14:textId="190C3F35">
      <w:pPr>
        <w:rPr>
          <w:rFonts w:ascii="Cambria" w:hAnsi="Cambria"/>
        </w:rPr>
      </w:pPr>
    </w:p>
    <w:p w:rsidRPr="0080756D" w:rsidR="00944CDD" w:rsidP="00944CDD" w:rsidRDefault="00944CDD" w14:paraId="02EA82E7" w14:textId="77777777">
      <w:pPr>
        <w:numPr>
          <w:ilvl w:val="0"/>
          <w:numId w:val="8"/>
        </w:numPr>
        <w:spacing w:after="120"/>
        <w:ind w:left="360"/>
        <w:rPr>
          <w:rFonts w:ascii="Cambria" w:hAnsi="Cambria" w:eastAsiaTheme="minorEastAsia"/>
          <w:i/>
          <w:iCs/>
          <w:lang w:eastAsia="ja-JP"/>
        </w:rPr>
      </w:pPr>
      <w:r w:rsidRPr="59E1D898">
        <w:rPr>
          <w:rFonts w:ascii="Cambria" w:hAnsi="Cambria" w:eastAsiaTheme="minorEastAsia"/>
          <w:lang w:eastAsia="ja-JP"/>
        </w:rPr>
        <w:t xml:space="preserve">Test early paper prototypes — the low-fidelity can spur more creative thinking. </w:t>
      </w:r>
    </w:p>
    <w:p w:rsidRPr="0080756D" w:rsidR="00944CDD" w:rsidP="683DD944" w:rsidRDefault="6E024B59" w14:paraId="79AC847F" w14:textId="557B8D3F">
      <w:pPr>
        <w:numPr>
          <w:ilvl w:val="0"/>
          <w:numId w:val="8"/>
        </w:numPr>
        <w:ind w:left="360"/>
        <w:rPr>
          <w:rFonts w:eastAsia="" w:eastAsiaTheme="minorEastAsia"/>
          <w:i w:val="1"/>
          <w:iCs w:val="1"/>
          <w:lang w:eastAsia="ja-JP"/>
        </w:rPr>
      </w:pPr>
      <w:r w:rsidRPr="683DD944" w:rsidR="683DD944">
        <w:rPr>
          <w:rFonts w:ascii="Cambria" w:hAnsi="Cambria" w:eastAsia="" w:eastAsiaTheme="minorEastAsia"/>
          <w:lang w:eastAsia="ja-JP"/>
        </w:rPr>
        <w:t xml:space="preserve">Agree on a design involving different user types, including physicians, informaticists, and other staff members. </w:t>
      </w:r>
    </w:p>
    <w:p w:rsidR="0263C382" w:rsidP="683DD944" w:rsidRDefault="6E024B59" w14:paraId="2DB34E06" w14:textId="0A3877F1">
      <w:pPr>
        <w:numPr>
          <w:ilvl w:val="0"/>
          <w:numId w:val="8"/>
        </w:numPr>
        <w:ind w:left="360"/>
        <w:rPr>
          <w:i w:val="1"/>
          <w:iCs w:val="1"/>
          <w:lang w:eastAsia="ja-JP"/>
        </w:rPr>
      </w:pPr>
      <w:r w:rsidRPr="683DD944" w:rsidR="683DD944">
        <w:rPr>
          <w:rFonts w:ascii="Cambria" w:hAnsi="Cambria" w:eastAsia="" w:eastAsiaTheme="minorEastAsia"/>
          <w:lang w:eastAsia="ja-JP"/>
        </w:rPr>
        <w:t xml:space="preserve">Determine thresholds of measuring usability for end users and identify benchmarks for future prototypes. </w:t>
      </w:r>
    </w:p>
    <w:p w:rsidRPr="00F10846" w:rsidR="003906D6" w:rsidP="6E024B59" w:rsidRDefault="003906D6" w14:paraId="2A761643" w14:textId="253C7966">
      <w:pPr>
        <w:rPr>
          <w:i/>
          <w:iCs/>
          <w:lang w:eastAsia="ja-JP"/>
        </w:rPr>
      </w:pPr>
    </w:p>
    <w:p w:rsidR="003906D6" w:rsidP="003906D6" w:rsidRDefault="003906D6" w14:paraId="472104B5" w14:textId="77777777">
      <w:pPr>
        <w:rPr>
          <w:rFonts w:ascii="Cambria" w:hAnsi="Cambria"/>
        </w:rPr>
      </w:pPr>
    </w:p>
    <w:p w:rsidRPr="00D45ECB" w:rsidR="006955C9" w:rsidP="00432932" w:rsidRDefault="00001846" w14:paraId="23D1A308" w14:textId="447E87B2">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rsidRPr="00432932" w:rsidR="00905B70" w:rsidP="00432932" w:rsidRDefault="00905B70" w14:paraId="1E150EF8" w14:textId="02750140">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w:t>
      </w:r>
      <w:r w:rsidRPr="00432932" w:rsidR="00C25AF6">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Pr="00432932" w:rsidR="00C25AF6">
        <w:rPr>
          <w:rFonts w:ascii="Cambria" w:hAnsi="Cambria"/>
          <w:color w:val="1F3864" w:themeColor="accent1" w:themeShade="80"/>
          <w:sz w:val="20"/>
          <w:szCs w:val="20"/>
        </w:rPr>
        <w:t>insert N/A or TBD.</w:t>
      </w:r>
    </w:p>
    <w:p w:rsidRPr="008A79DA" w:rsidR="00C25AF6" w:rsidP="00C25AF6" w:rsidRDefault="00C25AF6" w14:paraId="45A2313B" w14:textId="06B460AC">
      <w:pPr>
        <w:rPr>
          <w:rFonts w:ascii="Cambria" w:hAnsi="Cambria"/>
        </w:rPr>
      </w:pPr>
    </w:p>
    <w:p w:rsidR="00944CDD" w:rsidP="00944CDD" w:rsidRDefault="00944CDD" w14:paraId="0F2DA0A5" w14:textId="77777777">
      <w:pPr>
        <w:pStyle w:val="ListParagraph"/>
        <w:numPr>
          <w:ilvl w:val="0"/>
          <w:numId w:val="4"/>
        </w:numPr>
        <w:spacing w:after="120" w:line="259" w:lineRule="auto"/>
        <w:contextualSpacing w:val="0"/>
        <w:rPr>
          <w:rFonts w:eastAsiaTheme="minorEastAsia"/>
        </w:rPr>
      </w:pPr>
      <w:r w:rsidRPr="59E1D898">
        <w:rPr>
          <w:rFonts w:ascii="Cambria" w:hAnsi="Cambria"/>
        </w:rPr>
        <w:t xml:space="preserve">Low-fidelity prototype cannot mimic functional software. </w:t>
      </w:r>
    </w:p>
    <w:p w:rsidR="00944CDD" w:rsidP="00944CDD" w:rsidRDefault="00944CDD" w14:paraId="6478A46B" w14:textId="77777777">
      <w:pPr>
        <w:pStyle w:val="ListParagraph"/>
        <w:numPr>
          <w:ilvl w:val="0"/>
          <w:numId w:val="4"/>
        </w:numPr>
        <w:spacing w:after="120" w:line="259" w:lineRule="auto"/>
        <w:contextualSpacing w:val="0"/>
      </w:pPr>
      <w:r w:rsidRPr="59E1D898">
        <w:rPr>
          <w:rFonts w:ascii="Cambria" w:hAnsi="Cambria"/>
        </w:rPr>
        <w:t>A limited number of tasks/screens can be evaluated.</w:t>
      </w:r>
    </w:p>
    <w:p w:rsidR="00944CDD" w:rsidP="27722403" w:rsidRDefault="3C1E9139" w14:paraId="03488BD8" w14:textId="6D723DEB">
      <w:pPr>
        <w:pStyle w:val="ListParagraph"/>
        <w:numPr>
          <w:ilvl w:val="0"/>
          <w:numId w:val="4"/>
        </w:numPr>
        <w:spacing w:line="259" w:lineRule="auto"/>
        <w:rPr>
          <w:rFonts w:eastAsiaTheme="minorEastAsia"/>
        </w:rPr>
      </w:pPr>
      <w:r w:rsidRPr="3C1E9139">
        <w:rPr>
          <w:rFonts w:ascii="Cambria" w:hAnsi="Cambria"/>
        </w:rPr>
        <w:t>Analysis of data produced by a group must account for “group think.”</w:t>
      </w:r>
    </w:p>
    <w:p w:rsidRPr="008A79DA" w:rsidR="00C64AB6" w:rsidP="00C64AB6" w:rsidRDefault="00C64AB6" w14:paraId="6B24F48E" w14:textId="03C6E3C6">
      <w:pPr>
        <w:contextualSpacing/>
        <w:rPr>
          <w:rFonts w:ascii="Cambria" w:hAnsi="Cambria" w:eastAsiaTheme="minorEastAsia"/>
          <w:lang w:eastAsia="ja-JP"/>
        </w:rPr>
      </w:pPr>
    </w:p>
    <w:p w:rsidRPr="00C25AF6" w:rsidR="00F1544F" w:rsidP="00F1544F" w:rsidRDefault="00F1544F" w14:paraId="7431BA7A" w14:textId="77777777">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p>
    <w:p w:rsidRPr="00432932" w:rsidR="00F1544F" w:rsidP="00F1544F" w:rsidRDefault="00F1544F" w14:paraId="32CBE2EA"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rsidRPr="00106501" w:rsidR="00F1544F" w:rsidP="00F1544F" w:rsidRDefault="00F1544F" w14:paraId="52CD09F1" w14:textId="77777777">
      <w:pPr>
        <w:rPr>
          <w:rFonts w:ascii="Cambria" w:hAnsi="Cambria"/>
        </w:rPr>
      </w:pPr>
    </w:p>
    <w:p w:rsidRPr="00C22309" w:rsidR="00F1544F" w:rsidP="00F1544F" w:rsidRDefault="6E024B59" w14:paraId="1F0341B6" w14:textId="24BFD6A2">
      <w:pPr>
        <w:pStyle w:val="ListParagraph"/>
        <w:numPr>
          <w:ilvl w:val="0"/>
          <w:numId w:val="4"/>
        </w:numPr>
        <w:spacing w:after="120"/>
        <w:contextualSpacing w:val="0"/>
        <w:rPr>
          <w:rFonts w:ascii="Cambria" w:hAnsi="Cambria" w:eastAsia="Cambria" w:cs="Cambria"/>
        </w:rPr>
      </w:pPr>
      <w:r w:rsidRPr="683DD944" w:rsidR="683DD944">
        <w:rPr>
          <w:rFonts w:ascii="Cambria" w:hAnsi="Cambria" w:eastAsia="Cambria" w:cs="Cambria"/>
        </w:rPr>
        <w:t>A ranked list of usability concerns along with possible design or function changes to improve usability and support clinical decision-making processes.</w:t>
      </w:r>
    </w:p>
    <w:p w:rsidRPr="00C22309" w:rsidR="00F1544F" w:rsidP="00F1544F" w:rsidRDefault="00F1544F" w14:paraId="5AFCB0D1" w14:textId="77777777">
      <w:pPr>
        <w:pStyle w:val="ListParagraph"/>
        <w:numPr>
          <w:ilvl w:val="0"/>
          <w:numId w:val="4"/>
        </w:numPr>
        <w:spacing w:after="120"/>
        <w:contextualSpacing w:val="0"/>
        <w:rPr>
          <w:rFonts w:ascii="Cambria" w:hAnsi="Cambria" w:eastAsia="Cambria" w:cs="Cambria"/>
        </w:rPr>
      </w:pPr>
      <w:r w:rsidRPr="3C1E9139">
        <w:rPr>
          <w:rFonts w:ascii="Cambria" w:hAnsi="Cambria" w:eastAsia="Cambria" w:cs="Cambria"/>
        </w:rPr>
        <w:lastRenderedPageBreak/>
        <w:t>Ideas to improve the user interface (UI) designs based on collaboration among users, subject matter experts, developers, and usability specialists.</w:t>
      </w:r>
    </w:p>
    <w:p w:rsidRPr="00C22309" w:rsidR="00F1544F" w:rsidP="00F1544F" w:rsidRDefault="00F1544F" w14:paraId="2B1829A1" w14:textId="77777777">
      <w:pPr>
        <w:pStyle w:val="ListParagraph"/>
        <w:numPr>
          <w:ilvl w:val="0"/>
          <w:numId w:val="4"/>
        </w:numPr>
        <w:rPr>
          <w:rFonts w:ascii="Cambria" w:hAnsi="Cambria" w:eastAsia="Cambria" w:cs="Cambria"/>
        </w:rPr>
      </w:pPr>
      <w:r w:rsidRPr="3C1E9139">
        <w:rPr>
          <w:rFonts w:ascii="Cambria" w:hAnsi="Cambria" w:eastAsia="Cambria" w:cs="Cambria"/>
        </w:rPr>
        <w:t xml:space="preserve">Better understanding of users’ perspectives, goals, and limitations. </w:t>
      </w:r>
    </w:p>
    <w:p w:rsidR="00C64AB6" w:rsidP="00C64AB6" w:rsidRDefault="00C64AB6" w14:paraId="001CE3E6" w14:textId="6F5F8E2C">
      <w:pPr>
        <w:contextualSpacing/>
        <w:rPr>
          <w:rFonts w:ascii="Cambria" w:hAnsi="Cambria" w:eastAsiaTheme="minorEastAsia"/>
          <w:lang w:eastAsia="ja-JP"/>
        </w:rPr>
      </w:pPr>
    </w:p>
    <w:p w:rsidRPr="00D45ECB" w:rsidR="00F1544F" w:rsidP="00F1544F" w:rsidRDefault="00F1544F" w14:paraId="57CFE768" w14:textId="77777777">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How to Proceed</w:t>
      </w:r>
    </w:p>
    <w:p w:rsidRPr="00432932" w:rsidR="00F1544F" w:rsidP="00F1544F" w:rsidRDefault="00F1544F" w14:paraId="5DED6B07"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rsidR="00F1544F" w:rsidP="00F1544F" w:rsidRDefault="00F1544F" w14:paraId="782FDB1C" w14:textId="77777777">
      <w:pPr>
        <w:rPr>
          <w:rFonts w:ascii="Cambria" w:hAnsi="Cambria"/>
          <w:highlight w:val="yellow"/>
        </w:rPr>
      </w:pPr>
    </w:p>
    <w:p w:rsidR="00F1544F" w:rsidP="00F1544F" w:rsidRDefault="00F1544F" w14:paraId="11F1D51D" w14:textId="0732DAB8">
      <w:pPr>
        <w:pStyle w:val="ListParagraph"/>
        <w:numPr>
          <w:ilvl w:val="0"/>
          <w:numId w:val="4"/>
        </w:numPr>
        <w:contextualSpacing w:val="0"/>
        <w:rPr>
          <w:rFonts w:ascii="Cambria" w:hAnsi="Cambria"/>
        </w:rPr>
      </w:pPr>
      <w:r>
        <w:rPr>
          <w:rFonts w:ascii="Cambria" w:hAnsi="Cambria"/>
          <w:b/>
          <w:bCs/>
        </w:rPr>
        <w:t>Training and Practice Required</w:t>
      </w:r>
    </w:p>
    <w:p w:rsidRPr="008A79DA" w:rsidR="00F1544F" w:rsidP="00C64AB6" w:rsidRDefault="00F1544F" w14:paraId="068FDAF7" w14:textId="77777777">
      <w:pPr>
        <w:contextualSpacing/>
        <w:rPr>
          <w:rFonts w:ascii="Cambria" w:hAnsi="Cambria" w:eastAsiaTheme="minorEastAsia"/>
          <w:lang w:eastAsia="ja-JP"/>
        </w:rPr>
      </w:pPr>
    </w:p>
    <w:p w:rsidRPr="00C25AF6" w:rsidR="003906D6" w:rsidP="00432932" w:rsidRDefault="003906D6" w14:paraId="1F2598AB" w14:textId="77777777">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p>
    <w:p w:rsidRPr="00432932" w:rsidR="00E836AA" w:rsidP="00432932" w:rsidRDefault="003906D6" w14:paraId="4A491D72" w14:textId="46257323">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rsidR="003906D6" w:rsidP="003906D6" w:rsidRDefault="003906D6" w14:paraId="48FE1D25" w14:textId="77777777">
      <w:pPr>
        <w:rPr>
          <w:rFonts w:ascii="Cambria" w:hAnsi="Cambria"/>
          <w:b/>
          <w:bCs/>
        </w:rPr>
      </w:pPr>
    </w:p>
    <w:p w:rsidRPr="005E5A59" w:rsidR="00944CDD" w:rsidP="00944CDD" w:rsidRDefault="00944CDD" w14:paraId="08A029A5" w14:textId="77777777">
      <w:pPr>
        <w:pStyle w:val="ListParagraph"/>
        <w:numPr>
          <w:ilvl w:val="0"/>
          <w:numId w:val="15"/>
        </w:numPr>
        <w:ind w:left="360"/>
        <w:rPr>
          <w:rFonts w:eastAsiaTheme="minorEastAsia"/>
        </w:rPr>
      </w:pPr>
      <w:r w:rsidRPr="59E1D898">
        <w:rPr>
          <w:rFonts w:ascii="Cambria" w:hAnsi="Cambria"/>
        </w:rPr>
        <w:t>This approach works best when moderated by a usability expert.</w:t>
      </w:r>
    </w:p>
    <w:p w:rsidR="00877217" w:rsidP="00001846" w:rsidRDefault="00877217" w14:paraId="5D3479EB" w14:textId="77777777">
      <w:pPr>
        <w:rPr>
          <w:rFonts w:ascii="Cambria" w:hAnsi="Cambria"/>
        </w:rPr>
      </w:pPr>
    </w:p>
    <w:p w:rsidR="002476EC" w:rsidP="00236920" w:rsidRDefault="002476EC" w14:paraId="5B6ED8E6" w14:textId="77777777">
      <w:pPr>
        <w:rPr>
          <w:rFonts w:ascii="Cambria" w:hAnsi="Cambria"/>
        </w:rPr>
      </w:pPr>
      <w:bookmarkStart w:name="_Hlk39764076" w:id="22"/>
    </w:p>
    <w:p w:rsidR="00F22A4B" w:rsidP="00236920" w:rsidRDefault="00F22A4B" w14:paraId="40F4A699" w14:textId="5CEF83BA">
      <w:pPr>
        <w:rPr>
          <w:rFonts w:ascii="Cambria" w:hAnsi="Cambria"/>
        </w:rPr>
      </w:pPr>
      <w:bookmarkStart w:name="_Hlk43136912" w:id="23"/>
      <w:r>
        <w:rPr>
          <w:rFonts w:ascii="Cambria" w:hAnsi="Cambria"/>
        </w:rPr>
        <w:t>[</w:t>
      </w:r>
      <w:r w:rsidRPr="00EC5A9A">
        <w:rPr>
          <w:rFonts w:ascii="Cambria" w:hAnsi="Cambria"/>
          <w:color w:val="00B050"/>
        </w:rPr>
        <w:t xml:space="preserve">BEGIN: How </w:t>
      </w:r>
      <w:r w:rsidRPr="00EC5A9A" w:rsidR="00FC651D">
        <w:rPr>
          <w:rFonts w:ascii="Cambria" w:hAnsi="Cambria"/>
          <w:color w:val="00B050"/>
        </w:rPr>
        <w:t>to</w:t>
      </w:r>
      <w:r w:rsidRPr="00EC5A9A">
        <w:rPr>
          <w:rFonts w:ascii="Cambria" w:hAnsi="Cambria"/>
          <w:color w:val="00B050"/>
        </w:rPr>
        <w:t xml:space="preserve"> Do It</w:t>
      </w:r>
      <w:r>
        <w:rPr>
          <w:rFonts w:ascii="Cambria" w:hAnsi="Cambria"/>
        </w:rPr>
        <w:t>]</w:t>
      </w:r>
    </w:p>
    <w:p w:rsidR="00F22A4B" w:rsidP="00236920" w:rsidRDefault="00F22A4B" w14:paraId="11B35601" w14:textId="27F72660">
      <w:pPr>
        <w:rPr>
          <w:rFonts w:ascii="Cambria" w:hAnsi="Cambria"/>
        </w:rPr>
      </w:pPr>
    </w:p>
    <w:p w:rsidRPr="00C25AF6" w:rsidR="00F22A4B" w:rsidP="00F22A4B" w:rsidRDefault="00B272C6" w14:paraId="0139F338" w14:textId="5EB93934">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rsidRPr="00432932" w:rsidR="00F22A4B" w:rsidP="00F22A4B" w:rsidRDefault="00F22A4B" w14:paraId="27344E43" w14:textId="460F743D">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00B272C6">
        <w:rPr>
          <w:rFonts w:ascii="Cambria" w:hAnsi="Cambria"/>
          <w:b/>
          <w:bCs/>
          <w:color w:val="1F3864" w:themeColor="accent1" w:themeShade="80"/>
          <w:sz w:val="20"/>
          <w:szCs w:val="20"/>
        </w:rPr>
        <w:t>Procedure</w:t>
      </w:r>
      <w:r w:rsidRPr="00432932">
        <w:rPr>
          <w:rFonts w:ascii="Cambria" w:hAnsi="Cambria"/>
          <w:color w:val="1F3864" w:themeColor="accent1" w:themeShade="80"/>
          <w:sz w:val="20"/>
          <w:szCs w:val="20"/>
        </w:rPr>
        <w:t xml:space="preserve"> here (REQUIRED).</w:t>
      </w:r>
    </w:p>
    <w:p w:rsidRPr="00B272C6" w:rsidR="00B272C6" w:rsidP="00F3564E" w:rsidRDefault="00B272C6" w14:paraId="30E9CBE9" w14:textId="77777777">
      <w:pPr>
        <w:rPr>
          <w:rFonts w:ascii="Cambria" w:hAnsi="Cambria" w:cstheme="minorHAnsi"/>
          <w:b/>
          <w:bCs/>
        </w:rPr>
      </w:pPr>
    </w:p>
    <w:p w:rsidRPr="00B272C6" w:rsidR="00F3564E" w:rsidP="27722403" w:rsidRDefault="0263C382" w14:paraId="48EBB093" w14:textId="78FA785B">
      <w:pPr>
        <w:pStyle w:val="ListParagraph"/>
        <w:numPr>
          <w:ilvl w:val="0"/>
          <w:numId w:val="16"/>
        </w:numPr>
        <w:spacing w:line="360" w:lineRule="auto"/>
        <w:ind w:left="360"/>
        <w:rPr>
          <w:rFonts w:ascii="Cambria" w:hAnsi="Cambria"/>
        </w:rPr>
      </w:pPr>
      <w:r w:rsidRPr="683DD944" w:rsidR="683DD944">
        <w:rPr>
          <w:rFonts w:ascii="Cambria" w:hAnsi="Cambria"/>
        </w:rPr>
        <w:t>Have a mock-up and list of tasks ready to give to the participants that include end users such as clinicians, technicians, and administrators.</w:t>
      </w:r>
    </w:p>
    <w:p w:rsidRPr="00B272C6" w:rsidR="00F3564E" w:rsidP="3C1E9139" w:rsidRDefault="3C1E9139" w14:paraId="3752DB9E" w14:textId="2EB4F738">
      <w:pPr>
        <w:pStyle w:val="ListParagraph"/>
        <w:numPr>
          <w:ilvl w:val="0"/>
          <w:numId w:val="17"/>
        </w:numPr>
        <w:spacing w:line="360" w:lineRule="auto"/>
        <w:ind w:left="720"/>
        <w:rPr>
          <w:rFonts w:eastAsiaTheme="minorEastAsia"/>
        </w:rPr>
      </w:pPr>
      <w:r w:rsidRPr="3C1E9139">
        <w:rPr>
          <w:rFonts w:ascii="Cambria" w:hAnsi="Cambria"/>
        </w:rPr>
        <w:t>Set times to meet with participants to run through the mock-up and predetermined tasks.</w:t>
      </w:r>
    </w:p>
    <w:p w:rsidRPr="00B272C6" w:rsidR="00F3564E" w:rsidP="27722403" w:rsidRDefault="3C1E9139" w14:paraId="00C00B14" w14:textId="66C48309">
      <w:pPr>
        <w:pStyle w:val="ListParagraph"/>
        <w:numPr>
          <w:ilvl w:val="0"/>
          <w:numId w:val="16"/>
        </w:numPr>
        <w:spacing w:line="360" w:lineRule="auto"/>
        <w:ind w:left="360"/>
        <w:rPr>
          <w:rFonts w:ascii="Cambria" w:hAnsi="Cambria"/>
        </w:rPr>
      </w:pPr>
      <w:r w:rsidRPr="3C1E9139">
        <w:rPr>
          <w:rFonts w:ascii="Cambria" w:hAnsi="Cambria"/>
        </w:rPr>
        <w:t xml:space="preserve">Begin the walkthrough. Show the mock-up to the participant and explain the task. Have them tell you how they would complete the task. Ask them to talk things out as they go through the mock-ups. </w:t>
      </w:r>
    </w:p>
    <w:p w:rsidRPr="00B272C6" w:rsidR="00F3564E" w:rsidP="3C1E9139" w:rsidRDefault="3C1E9139" w14:paraId="6275A71A" w14:textId="77777777">
      <w:pPr>
        <w:pStyle w:val="ListParagraph"/>
        <w:numPr>
          <w:ilvl w:val="1"/>
          <w:numId w:val="16"/>
        </w:numPr>
        <w:spacing w:line="360" w:lineRule="auto"/>
        <w:ind w:left="720"/>
        <w:rPr>
          <w:rFonts w:ascii="Cambria" w:hAnsi="Cambria"/>
        </w:rPr>
      </w:pPr>
      <w:r w:rsidRPr="3C1E9139">
        <w:rPr>
          <w:rFonts w:ascii="Cambria" w:hAnsi="Cambria"/>
          <w:i/>
          <w:iCs/>
        </w:rPr>
        <w:t>Note</w:t>
      </w:r>
      <w:r w:rsidRPr="3C1E9139">
        <w:rPr>
          <w:rFonts w:ascii="Cambria" w:hAnsi="Cambria"/>
        </w:rPr>
        <w:t xml:space="preserve">: It is a good idea to record sessions in some way for later review. </w:t>
      </w:r>
    </w:p>
    <w:p w:rsidRPr="00B272C6" w:rsidR="00F3564E" w:rsidP="27722403" w:rsidRDefault="3C1E9139" w14:paraId="56986A0F" w14:textId="4950AA2B">
      <w:pPr>
        <w:pStyle w:val="ListParagraph"/>
        <w:numPr>
          <w:ilvl w:val="0"/>
          <w:numId w:val="16"/>
        </w:numPr>
        <w:spacing w:line="360" w:lineRule="auto"/>
        <w:ind w:left="360"/>
        <w:rPr>
          <w:rFonts w:ascii="Cambria" w:hAnsi="Cambria"/>
        </w:rPr>
      </w:pPr>
      <w:r w:rsidRPr="3C1E9139">
        <w:rPr>
          <w:rFonts w:ascii="Cambria" w:hAnsi="Cambria"/>
        </w:rPr>
        <w:t xml:space="preserve">After participants share their thoughts, discuss their </w:t>
      </w:r>
      <w:proofErr w:type="gramStart"/>
      <w:r w:rsidRPr="3C1E9139">
        <w:rPr>
          <w:rFonts w:ascii="Cambria" w:hAnsi="Cambria"/>
        </w:rPr>
        <w:t>responses</w:t>
      </w:r>
      <w:proofErr w:type="gramEnd"/>
      <w:r w:rsidRPr="3C1E9139">
        <w:rPr>
          <w:rFonts w:ascii="Cambria" w:hAnsi="Cambria"/>
        </w:rPr>
        <w:t xml:space="preserve"> and show them what you think is the “correct” sequence of the mock-ups.</w:t>
      </w:r>
    </w:p>
    <w:p w:rsidRPr="00B272C6" w:rsidR="00F3564E" w:rsidP="3C1E9139" w:rsidRDefault="6E024B59" w14:paraId="3029B00B" w14:textId="4105949E">
      <w:pPr>
        <w:pStyle w:val="ListParagraph"/>
        <w:numPr>
          <w:ilvl w:val="1"/>
          <w:numId w:val="16"/>
        </w:numPr>
        <w:spacing w:line="360" w:lineRule="auto"/>
        <w:ind w:left="720"/>
        <w:rPr>
          <w:rFonts w:ascii="Cambria" w:hAnsi="Cambria"/>
        </w:rPr>
      </w:pPr>
      <w:r w:rsidRPr="683DD944" w:rsidR="683DD944">
        <w:rPr>
          <w:rFonts w:ascii="Cambria" w:hAnsi="Cambria"/>
          <w:i w:val="1"/>
          <w:iCs w:val="1"/>
        </w:rPr>
        <w:t xml:space="preserve">Note: </w:t>
      </w:r>
      <w:r w:rsidRPr="683DD944" w:rsidR="683DD944">
        <w:rPr>
          <w:rFonts w:ascii="Cambria" w:hAnsi="Cambria"/>
        </w:rPr>
        <w:t>Pay close attention to any usability issues and recommended solutions they provide. Underscore those that directly impact “in the field” decisions and actions crucial to better outcomes in critical areas such as patient safety and operational efficiency.</w:t>
      </w:r>
    </w:p>
    <w:p w:rsidRPr="00B272C6" w:rsidR="00F3564E" w:rsidP="3C1E9139" w:rsidRDefault="6E024B59" w14:paraId="4A5373BB" w14:textId="31085373" w14:noSpellErr="1">
      <w:pPr>
        <w:pStyle w:val="ListParagraph"/>
        <w:numPr>
          <w:ilvl w:val="0"/>
          <w:numId w:val="16"/>
        </w:numPr>
        <w:spacing w:line="360" w:lineRule="auto"/>
        <w:ind w:left="360"/>
        <w:rPr>
          <w:rFonts w:ascii="Cambria" w:hAnsi="Cambria"/>
        </w:rPr>
      </w:pPr>
      <w:r w:rsidRPr="683DD944" w:rsidR="683DD944">
        <w:rPr>
          <w:rFonts w:ascii="Cambria" w:hAnsi="Cambria"/>
        </w:rPr>
        <w:t>Repeat this process for all mock-ups and other common activity tasks.</w:t>
      </w:r>
    </w:p>
    <w:p w:rsidRPr="00B272C6" w:rsidR="00F3564E" w:rsidP="27722403" w:rsidRDefault="3C1E9139" w14:paraId="7E8BAFB0" w14:textId="353B56E1">
      <w:pPr>
        <w:pStyle w:val="ListParagraph"/>
        <w:numPr>
          <w:ilvl w:val="0"/>
          <w:numId w:val="16"/>
        </w:numPr>
        <w:spacing w:line="360" w:lineRule="auto"/>
        <w:ind w:left="360"/>
        <w:rPr>
          <w:rFonts w:ascii="Cambria" w:hAnsi="Cambria"/>
        </w:rPr>
      </w:pPr>
      <w:r w:rsidRPr="3C1E9139">
        <w:rPr>
          <w:rFonts w:ascii="Cambria" w:hAnsi="Cambria"/>
        </w:rPr>
        <w:t>Compile a list of usability issues and solutions recommended by the participants.</w:t>
      </w:r>
    </w:p>
    <w:p w:rsidRPr="00B272C6" w:rsidR="00F3564E" w:rsidP="27722403" w:rsidRDefault="3C1E9139" w14:paraId="4FDFDC36" w14:textId="000A9E74">
      <w:pPr>
        <w:pStyle w:val="ListParagraph"/>
        <w:numPr>
          <w:ilvl w:val="0"/>
          <w:numId w:val="16"/>
        </w:numPr>
        <w:spacing w:line="360" w:lineRule="auto"/>
        <w:ind w:left="360"/>
        <w:rPr>
          <w:rFonts w:ascii="Cambria" w:hAnsi="Cambria"/>
        </w:rPr>
      </w:pPr>
      <w:r w:rsidRPr="3C1E9139">
        <w:rPr>
          <w:rFonts w:ascii="Cambria" w:hAnsi="Cambria"/>
        </w:rPr>
        <w:t xml:space="preserve"> Adjust the mock-up in development based on the comments.</w:t>
      </w:r>
    </w:p>
    <w:p w:rsidRPr="00B272C6" w:rsidR="00F3564E" w:rsidP="3C1E9139" w:rsidRDefault="3C1E9139" w14:paraId="5A0FE566" w14:textId="3A11D14F">
      <w:pPr>
        <w:pStyle w:val="ListParagraph"/>
        <w:numPr>
          <w:ilvl w:val="0"/>
          <w:numId w:val="16"/>
        </w:numPr>
        <w:spacing w:line="360" w:lineRule="auto"/>
        <w:ind w:left="360"/>
        <w:rPr>
          <w:rFonts w:ascii="Cambria" w:hAnsi="Cambria"/>
        </w:rPr>
      </w:pPr>
      <w:r w:rsidRPr="3C1E9139">
        <w:rPr>
          <w:rFonts w:ascii="Cambria" w:hAnsi="Cambria"/>
        </w:rPr>
        <w:lastRenderedPageBreak/>
        <w:t>Repeat the entire process with multiple rounds of users until they approve your solution.</w:t>
      </w:r>
    </w:p>
    <w:p w:rsidRPr="00B272C6" w:rsidR="002476EC" w:rsidP="00F22A4B" w:rsidRDefault="002476EC" w14:paraId="68FB2F05" w14:textId="77777777">
      <w:pPr>
        <w:rPr>
          <w:rFonts w:ascii="Cambria" w:hAnsi="Cambria" w:cstheme="minorHAnsi"/>
          <w:lang w:eastAsia="ja-JP"/>
        </w:rPr>
      </w:pPr>
    </w:p>
    <w:p w:rsidRPr="00B272C6" w:rsidR="008A3B72" w:rsidP="008A3B72" w:rsidRDefault="008A3B72" w14:paraId="07BCC558" w14:textId="0CF1C005">
      <w:pPr>
        <w:rPr>
          <w:rFonts w:ascii="Cambria" w:hAnsi="Cambria" w:cstheme="minorHAnsi"/>
        </w:rPr>
      </w:pPr>
      <w:r w:rsidRPr="00B272C6">
        <w:rPr>
          <w:rFonts w:ascii="Cambria" w:hAnsi="Cambria" w:cstheme="minorHAnsi"/>
        </w:rPr>
        <w:t>[</w:t>
      </w:r>
      <w:r w:rsidRPr="00B272C6">
        <w:rPr>
          <w:rFonts w:ascii="Cambria" w:hAnsi="Cambria" w:cstheme="minorHAnsi"/>
          <w:color w:val="FF0000"/>
        </w:rPr>
        <w:t xml:space="preserve">END: How </w:t>
      </w:r>
      <w:r w:rsidRPr="00B272C6" w:rsidR="00FC651D">
        <w:rPr>
          <w:rFonts w:ascii="Cambria" w:hAnsi="Cambria" w:cstheme="minorHAnsi"/>
          <w:color w:val="FF0000"/>
        </w:rPr>
        <w:t>to</w:t>
      </w:r>
      <w:r w:rsidRPr="00B272C6">
        <w:rPr>
          <w:rFonts w:ascii="Cambria" w:hAnsi="Cambria" w:cstheme="minorHAnsi"/>
          <w:color w:val="FF0000"/>
        </w:rPr>
        <w:t xml:space="preserve"> Do It</w:t>
      </w:r>
      <w:r w:rsidRPr="00B272C6">
        <w:rPr>
          <w:rFonts w:ascii="Cambria" w:hAnsi="Cambria" w:cstheme="minorHAnsi"/>
        </w:rPr>
        <w:t>]</w:t>
      </w:r>
    </w:p>
    <w:bookmarkEnd w:id="23"/>
    <w:p w:rsidRPr="00B272C6" w:rsidR="00F22A4B" w:rsidP="00F22A4B" w:rsidRDefault="00F22A4B" w14:paraId="0E34AD66" w14:textId="265A6DDA">
      <w:pPr>
        <w:rPr>
          <w:rFonts w:ascii="Cambria" w:hAnsi="Cambria" w:cstheme="minorHAnsi"/>
          <w:b/>
          <w:bCs/>
          <w:lang w:eastAsia="ja-JP"/>
        </w:rPr>
      </w:pPr>
    </w:p>
    <w:p w:rsidRPr="00B272C6" w:rsidR="00236920" w:rsidP="00236920" w:rsidRDefault="00236920" w14:paraId="1B36B148" w14:textId="77777777">
      <w:pPr>
        <w:rPr>
          <w:rFonts w:ascii="Cambria" w:hAnsi="Cambria" w:cstheme="minorHAnsi"/>
        </w:rPr>
      </w:pPr>
    </w:p>
    <w:p w:rsidRPr="00D45ECB" w:rsidR="00236920" w:rsidP="00236920" w:rsidRDefault="00236920" w14:paraId="35B16BF7" w14:textId="77777777">
      <w:pPr>
        <w:shd w:val="clear" w:color="auto" w:fill="1F3864" w:themeFill="accent1" w:themeFillShade="80"/>
        <w:rPr>
          <w:rFonts w:ascii="Cambria" w:hAnsi="Cambria"/>
          <w:b/>
          <w:bCs/>
          <w:color w:val="FFFFFF" w:themeColor="background1"/>
        </w:rPr>
      </w:pPr>
      <w:bookmarkStart w:name="_Hlk39764096" w:id="54"/>
      <w:bookmarkEnd w:id="22"/>
      <w:r>
        <w:rPr>
          <w:rFonts w:ascii="Cambria" w:hAnsi="Cambria"/>
          <w:b/>
          <w:bCs/>
          <w:color w:val="FFFFFF" w:themeColor="background1"/>
        </w:rPr>
        <w:t>Author</w:t>
      </w:r>
    </w:p>
    <w:p w:rsidRPr="00432932" w:rsidR="00236920" w:rsidP="00236920" w:rsidRDefault="00236920" w14:paraId="7287ACAF"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rsidR="00236920" w:rsidP="00236920" w:rsidRDefault="00236920" w14:paraId="59F89A20" w14:textId="77777777">
      <w:pPr>
        <w:rPr>
          <w:rFonts w:ascii="Cambria" w:hAnsi="Cambria"/>
        </w:rPr>
      </w:pPr>
    </w:p>
    <w:p w:rsidRPr="00C25AF6" w:rsidR="00236920" w:rsidP="00236920" w:rsidRDefault="00236920" w14:paraId="313DB4D6" w14:textId="77777777">
      <w:pPr>
        <w:pStyle w:val="ListParagraph"/>
        <w:numPr>
          <w:ilvl w:val="0"/>
          <w:numId w:val="4"/>
        </w:numPr>
        <w:rPr>
          <w:rFonts w:ascii="Cambria" w:hAnsi="Cambria"/>
        </w:rPr>
      </w:pPr>
      <w:r>
        <w:rPr>
          <w:rFonts w:ascii="Cambria" w:hAnsi="Cambria"/>
        </w:rPr>
        <w:t>Human Factors Engineering (HFE), Office of Health Informatics, Veterans Health Administration</w:t>
      </w:r>
    </w:p>
    <w:p w:rsidR="00236920" w:rsidP="00236920" w:rsidRDefault="00236920" w14:paraId="274F4F35" w14:textId="77777777">
      <w:pPr>
        <w:rPr>
          <w:rFonts w:ascii="Cambria" w:hAnsi="Cambria"/>
        </w:rPr>
      </w:pPr>
    </w:p>
    <w:p w:rsidR="00236920" w:rsidP="00236920" w:rsidRDefault="00236920" w14:paraId="289E7973" w14:textId="77777777">
      <w:pPr>
        <w:rPr>
          <w:rFonts w:ascii="Cambria" w:hAnsi="Cambria"/>
        </w:rPr>
      </w:pPr>
    </w:p>
    <w:bookmarkEnd w:id="54"/>
    <w:p w:rsidRPr="00D45ECB" w:rsidR="00FD7E6B" w:rsidP="00432932" w:rsidRDefault="00C64AB6" w14:paraId="409E26EA" w14:textId="1E7FE790">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rsidRPr="00432932" w:rsidR="00C25AF6" w:rsidP="00432932" w:rsidRDefault="006D6483" w14:paraId="0F0C590B" w14:textId="4E446F1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Pr="00432932" w:rsidR="00C25AF6">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Pr="00432932" w:rsidR="00C25AF6">
        <w:rPr>
          <w:rFonts w:ascii="Cambria" w:hAnsi="Cambria"/>
          <w:color w:val="1F3864" w:themeColor="accent1" w:themeShade="80"/>
          <w:sz w:val="20"/>
          <w:szCs w:val="20"/>
        </w:rPr>
        <w:t>insert N/A or TBD.</w:t>
      </w:r>
    </w:p>
    <w:p w:rsidR="00C25AF6" w:rsidP="00C25AF6" w:rsidRDefault="00C25AF6" w14:paraId="695082D4" w14:textId="77777777">
      <w:pPr>
        <w:rPr>
          <w:rFonts w:ascii="Cambria" w:hAnsi="Cambria"/>
        </w:rPr>
      </w:pPr>
    </w:p>
    <w:p w:rsidRPr="00B272C6" w:rsidR="00944CDD" w:rsidP="002C2587" w:rsidRDefault="00944CDD" w14:paraId="520A5585" w14:textId="77777777">
      <w:pPr>
        <w:pStyle w:val="ListParagraph"/>
        <w:numPr>
          <w:ilvl w:val="0"/>
          <w:numId w:val="4"/>
        </w:numPr>
        <w:spacing w:after="120"/>
        <w:contextualSpacing w:val="0"/>
        <w:rPr>
          <w:rFonts w:ascii="Cambria" w:hAnsi="Cambria" w:eastAsiaTheme="minorEastAsia"/>
        </w:rPr>
      </w:pPr>
      <w:r w:rsidRPr="00B272C6">
        <w:rPr>
          <w:rFonts w:ascii="Cambria" w:hAnsi="Cambria" w:eastAsia="Calibri" w:cs="Calibri"/>
          <w:color w:val="010C29"/>
        </w:rPr>
        <w:t>Werner, B. and Wilson, C. (2005). Pluralistic Usability Walkthrough. In Usability Body of Knowledge. Retrieved April 29, 2020 from </w:t>
      </w:r>
      <w:hyperlink r:id="rId5">
        <w:r w:rsidRPr="00B272C6">
          <w:rPr>
            <w:rStyle w:val="Hyperlink"/>
            <w:rFonts w:ascii="Cambria" w:hAnsi="Cambria" w:eastAsia="Calibri" w:cs="Calibri"/>
            <w:color w:val="00188F"/>
          </w:rPr>
          <w:t>http://usabilitybok.org/pluralistic-walkthrough</w:t>
        </w:r>
      </w:hyperlink>
      <w:r w:rsidRPr="00B272C6">
        <w:rPr>
          <w:rFonts w:ascii="Cambria" w:hAnsi="Cambria" w:eastAsia="Calibri" w:cs="Calibri"/>
          <w:color w:val="00188F"/>
        </w:rPr>
        <w:t> </w:t>
      </w:r>
    </w:p>
    <w:p w:rsidRPr="00B272C6" w:rsidR="00B272C6" w:rsidP="00B272C6" w:rsidRDefault="00B272C6" w14:paraId="29845B73" w14:textId="77777777">
      <w:pPr>
        <w:pStyle w:val="ListParagraph"/>
        <w:numPr>
          <w:ilvl w:val="0"/>
          <w:numId w:val="4"/>
        </w:numPr>
        <w:rPr>
          <w:rFonts w:ascii="Cambria" w:hAnsi="Cambria"/>
        </w:rPr>
      </w:pPr>
      <w:r w:rsidRPr="00B272C6">
        <w:rPr>
          <w:rFonts w:ascii="Cambria" w:hAnsi="Cambria"/>
        </w:rPr>
        <w:t xml:space="preserve">Pluralistic and Cognitive Walkthroughs presentation by UM Medical Center Information Technology. Retrieved from </w:t>
      </w:r>
      <w:hyperlink w:history="1" r:id="rId6">
        <w:r w:rsidRPr="00B272C6">
          <w:rPr>
            <w:rStyle w:val="Hyperlink"/>
            <w:rFonts w:ascii="Cambria" w:hAnsi="Cambria"/>
          </w:rPr>
          <w:t>http://www-personal.umich.edu/~jwithrow/materials/walkthroughs.pdf</w:t>
        </w:r>
      </w:hyperlink>
      <w:r w:rsidRPr="00B272C6">
        <w:rPr>
          <w:rFonts w:ascii="Cambria" w:hAnsi="Cambria"/>
        </w:rPr>
        <w:t xml:space="preserve"> </w:t>
      </w:r>
    </w:p>
    <w:p w:rsidR="009E7625" w:rsidRDefault="009E7625" w14:paraId="0AC57691" w14:textId="0450B5D1">
      <w:pPr>
        <w:rPr>
          <w:rFonts w:ascii="Cambria" w:hAnsi="Cambria"/>
        </w:rPr>
      </w:pPr>
    </w:p>
    <w:p w:rsidR="00E10B4C" w:rsidRDefault="00E10B4C" w14:paraId="275BC953" w14:textId="77777777">
      <w:pPr>
        <w:rPr>
          <w:rFonts w:ascii="Cambria" w:hAnsi="Cambria"/>
        </w:rPr>
      </w:pPr>
    </w:p>
    <w:p w:rsidRPr="00D45ECB" w:rsidR="00C64AB6" w:rsidP="00C64AB6" w:rsidRDefault="00C64AB6" w14:paraId="781D112F" w14:textId="77777777">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p>
    <w:p w:rsidRPr="00432932" w:rsidR="00C64AB6" w:rsidP="00C64AB6" w:rsidRDefault="00C64AB6" w14:paraId="0E292001"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rsidR="00C64AB6" w:rsidP="00C64AB6" w:rsidRDefault="00C64AB6" w14:paraId="5ABD7771" w14:textId="77777777">
      <w:pPr>
        <w:rPr>
          <w:rFonts w:ascii="Cambria" w:hAnsi="Cambria"/>
        </w:rPr>
      </w:pPr>
    </w:p>
    <w:p w:rsidRPr="00C25AF6" w:rsidR="00C64AB6" w:rsidP="00C64AB6" w:rsidRDefault="00944CDD" w14:paraId="4928B52E" w14:textId="31E599F0">
      <w:pPr>
        <w:pStyle w:val="ListParagraph"/>
        <w:numPr>
          <w:ilvl w:val="0"/>
          <w:numId w:val="4"/>
        </w:numPr>
        <w:rPr>
          <w:rFonts w:ascii="Cambria" w:hAnsi="Cambria"/>
        </w:rPr>
      </w:pPr>
      <w:r>
        <w:rPr>
          <w:rFonts w:ascii="Cambria" w:hAnsi="Cambria"/>
        </w:rPr>
        <w:t>N/A</w:t>
      </w:r>
    </w:p>
    <w:p w:rsidRPr="006955C9" w:rsidR="00C56723" w:rsidRDefault="00C56723" w14:paraId="4A3E0622" w14:textId="0F8A600D" w14:noSpellErr="1">
      <w:pPr>
        <w:rPr>
          <w:rFonts w:ascii="Cambria" w:hAnsi="Cambria"/>
        </w:rPr>
      </w:pPr>
    </w:p>
    <w:p w:rsidR="683DD944" w:rsidP="683DD944" w:rsidRDefault="683DD944" w14:paraId="738DB2E5" w14:textId="6C38E060">
      <w:pPr>
        <w:shd w:val="clear" w:color="auto" w:fill="1F3864" w:themeFill="accent1" w:themeFillShade="80"/>
        <w:rPr>
          <w:rFonts w:ascii="Cambria" w:hAnsi="Cambria"/>
          <w:b w:val="1"/>
          <w:bCs w:val="1"/>
          <w:color w:val="FFFFFF" w:themeColor="background1" w:themeTint="FF" w:themeShade="FF"/>
        </w:rPr>
      </w:pPr>
      <w:r w:rsidRPr="683DD944" w:rsidR="683DD944">
        <w:rPr>
          <w:rFonts w:ascii="Cambria" w:hAnsi="Cambria"/>
          <w:b w:val="1"/>
          <w:bCs w:val="1"/>
          <w:color w:val="FFFFFF" w:themeColor="background1" w:themeTint="FF" w:themeShade="FF"/>
        </w:rPr>
        <w:t>Excerpt</w:t>
      </w:r>
    </w:p>
    <w:p w:rsidR="683DD944" w:rsidP="683DD944" w:rsidRDefault="683DD944" w14:paraId="464305AE" w14:textId="14C73F9D">
      <w:pPr>
        <w:shd w:val="clear" w:color="auto" w:fill="D9E2F3" w:themeFill="accent1" w:themeFillTint="33"/>
        <w:rPr>
          <w:rFonts w:ascii="Cambria" w:hAnsi="Cambria"/>
          <w:color w:val="1F3864" w:themeColor="accent1" w:themeTint="FF" w:themeShade="80"/>
          <w:sz w:val="20"/>
          <w:szCs w:val="20"/>
        </w:rPr>
      </w:pPr>
      <w:r w:rsidRPr="683DD944" w:rsidR="683DD944">
        <w:rPr>
          <w:rFonts w:ascii="Cambria" w:hAnsi="Cambria"/>
          <w:color w:val="1F3864" w:themeColor="accent1" w:themeTint="FF" w:themeShade="80"/>
          <w:sz w:val="20"/>
          <w:szCs w:val="20"/>
        </w:rPr>
        <w:t>Summary text for WordPress.</w:t>
      </w:r>
    </w:p>
    <w:p w:rsidR="683DD944" w:rsidP="683DD944" w:rsidRDefault="683DD944" w14:paraId="6135D5C6" w14:textId="696FF3E2">
      <w:pPr>
        <w:pStyle w:val="Normal"/>
        <w:ind w:left="0"/>
        <w:rPr>
          <w:rFonts w:ascii="Cambria" w:hAnsi="Cambria" w:eastAsia="" w:cs="" w:eastAsiaTheme="majorEastAsia" w:cstheme="majorBidi"/>
        </w:rPr>
      </w:pPr>
      <w:r w:rsidRPr="683DD944" w:rsidR="683DD944">
        <w:rPr>
          <w:rFonts w:ascii="Cambria" w:hAnsi="Cambria" w:eastAsia="" w:cs="" w:eastAsiaTheme="majorEastAsia" w:cstheme="majorBidi"/>
        </w:rPr>
        <w:t>In a usability walkthrough, an end user is given key tasks and works through them using a prototype (or mock-up).</w:t>
      </w:r>
    </w:p>
    <w:sectPr w:rsidRPr="006955C9" w:rsidR="00C56723" w:rsidSect="008F403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C47"/>
    <w:multiLevelType w:val="hybridMultilevel"/>
    <w:tmpl w:val="45789E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46012F"/>
    <w:multiLevelType w:val="hybridMultilevel"/>
    <w:tmpl w:val="5BC40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9048F"/>
    <w:multiLevelType w:val="hybridMultilevel"/>
    <w:tmpl w:val="14961F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8110681"/>
    <w:multiLevelType w:val="hybridMultilevel"/>
    <w:tmpl w:val="DC149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92631"/>
    <w:multiLevelType w:val="hybridMultilevel"/>
    <w:tmpl w:val="18B0651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23C031D"/>
    <w:multiLevelType w:val="hybridMultilevel"/>
    <w:tmpl w:val="2DA4540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6" w15:restartNumberingAfterBreak="0">
    <w:nsid w:val="2F470573"/>
    <w:multiLevelType w:val="hybridMultilevel"/>
    <w:tmpl w:val="6C06BA3C"/>
    <w:lvl w:ilvl="0" w:tplc="0409000F">
      <w:start w:val="1"/>
      <w:numFmt w:val="decimal"/>
      <w:lvlText w:val="%1."/>
      <w:lvlJc w:val="left"/>
      <w:pPr>
        <w:ind w:left="720" w:hanging="360"/>
      </w:pPr>
    </w:lvl>
    <w:lvl w:ilvl="1" w:tplc="04090001">
      <w:start w:val="1"/>
      <w:numFmt w:val="bullet"/>
      <w:lvlText w:val=""/>
      <w:lvlJc w:val="left"/>
      <w:pPr>
        <w:ind w:left="108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24BBD"/>
    <w:multiLevelType w:val="hybridMultilevel"/>
    <w:tmpl w:val="8828F77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8" w15:restartNumberingAfterBreak="0">
    <w:nsid w:val="30CA6DDC"/>
    <w:multiLevelType w:val="hybridMultilevel"/>
    <w:tmpl w:val="BA6C4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A0C74"/>
    <w:multiLevelType w:val="hybridMultilevel"/>
    <w:tmpl w:val="2DE6157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0" w15:restartNumberingAfterBreak="0">
    <w:nsid w:val="57A758B8"/>
    <w:multiLevelType w:val="hybridMultilevel"/>
    <w:tmpl w:val="4C223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84493"/>
    <w:multiLevelType w:val="hybridMultilevel"/>
    <w:tmpl w:val="E99221C6"/>
    <w:lvl w:ilvl="0" w:tplc="2014094A">
      <w:start w:val="1"/>
      <w:numFmt w:val="bullet"/>
      <w:lvlText w:val=""/>
      <w:lvlJc w:val="left"/>
      <w:pPr>
        <w:ind w:left="720" w:hanging="360"/>
      </w:pPr>
      <w:rPr>
        <w:rFonts w:hint="default" w:ascii="Symbol" w:hAnsi="Symbol"/>
      </w:rPr>
    </w:lvl>
    <w:lvl w:ilvl="1" w:tplc="A998C196">
      <w:start w:val="1"/>
      <w:numFmt w:val="bullet"/>
      <w:lvlText w:val="o"/>
      <w:lvlJc w:val="left"/>
      <w:pPr>
        <w:ind w:left="1440" w:hanging="360"/>
      </w:pPr>
      <w:rPr>
        <w:rFonts w:hint="default" w:ascii="Courier New" w:hAnsi="Courier New"/>
      </w:rPr>
    </w:lvl>
    <w:lvl w:ilvl="2" w:tplc="080C0814">
      <w:start w:val="1"/>
      <w:numFmt w:val="bullet"/>
      <w:lvlText w:val=""/>
      <w:lvlJc w:val="left"/>
      <w:pPr>
        <w:ind w:left="2160" w:hanging="360"/>
      </w:pPr>
      <w:rPr>
        <w:rFonts w:hint="default" w:ascii="Wingdings" w:hAnsi="Wingdings"/>
      </w:rPr>
    </w:lvl>
    <w:lvl w:ilvl="3" w:tplc="212C1070">
      <w:start w:val="1"/>
      <w:numFmt w:val="bullet"/>
      <w:lvlText w:val=""/>
      <w:lvlJc w:val="left"/>
      <w:pPr>
        <w:ind w:left="2880" w:hanging="360"/>
      </w:pPr>
      <w:rPr>
        <w:rFonts w:hint="default" w:ascii="Symbol" w:hAnsi="Symbol"/>
      </w:rPr>
    </w:lvl>
    <w:lvl w:ilvl="4" w:tplc="E16EB4B8">
      <w:start w:val="1"/>
      <w:numFmt w:val="bullet"/>
      <w:lvlText w:val="o"/>
      <w:lvlJc w:val="left"/>
      <w:pPr>
        <w:ind w:left="3600" w:hanging="360"/>
      </w:pPr>
      <w:rPr>
        <w:rFonts w:hint="default" w:ascii="Courier New" w:hAnsi="Courier New"/>
      </w:rPr>
    </w:lvl>
    <w:lvl w:ilvl="5" w:tplc="92487C24">
      <w:start w:val="1"/>
      <w:numFmt w:val="bullet"/>
      <w:lvlText w:val=""/>
      <w:lvlJc w:val="left"/>
      <w:pPr>
        <w:ind w:left="4320" w:hanging="360"/>
      </w:pPr>
      <w:rPr>
        <w:rFonts w:hint="default" w:ascii="Wingdings" w:hAnsi="Wingdings"/>
      </w:rPr>
    </w:lvl>
    <w:lvl w:ilvl="6" w:tplc="009CB4DE">
      <w:start w:val="1"/>
      <w:numFmt w:val="bullet"/>
      <w:lvlText w:val=""/>
      <w:lvlJc w:val="left"/>
      <w:pPr>
        <w:ind w:left="5040" w:hanging="360"/>
      </w:pPr>
      <w:rPr>
        <w:rFonts w:hint="default" w:ascii="Symbol" w:hAnsi="Symbol"/>
      </w:rPr>
    </w:lvl>
    <w:lvl w:ilvl="7" w:tplc="3C26CEF8">
      <w:start w:val="1"/>
      <w:numFmt w:val="bullet"/>
      <w:lvlText w:val="o"/>
      <w:lvlJc w:val="left"/>
      <w:pPr>
        <w:ind w:left="5760" w:hanging="360"/>
      </w:pPr>
      <w:rPr>
        <w:rFonts w:hint="default" w:ascii="Courier New" w:hAnsi="Courier New"/>
      </w:rPr>
    </w:lvl>
    <w:lvl w:ilvl="8" w:tplc="98DEE62C">
      <w:start w:val="1"/>
      <w:numFmt w:val="bullet"/>
      <w:lvlText w:val=""/>
      <w:lvlJc w:val="left"/>
      <w:pPr>
        <w:ind w:left="6480" w:hanging="360"/>
      </w:pPr>
      <w:rPr>
        <w:rFonts w:hint="default" w:ascii="Wingdings" w:hAnsi="Wingdings"/>
      </w:rPr>
    </w:lvl>
  </w:abstractNum>
  <w:abstractNum w:abstractNumId="12" w15:restartNumberingAfterBreak="0">
    <w:nsid w:val="5D111F19"/>
    <w:multiLevelType w:val="hybridMultilevel"/>
    <w:tmpl w:val="B502905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15:restartNumberingAfterBreak="0">
    <w:nsid w:val="5D752D05"/>
    <w:multiLevelType w:val="hybridMultilevel"/>
    <w:tmpl w:val="C43A88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7405B69"/>
    <w:multiLevelType w:val="hybridMultilevel"/>
    <w:tmpl w:val="06B6CEA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4C32CBB"/>
    <w:multiLevelType w:val="hybridMultilevel"/>
    <w:tmpl w:val="9CD04EF2"/>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797C65C3"/>
    <w:multiLevelType w:val="hybridMultilevel"/>
    <w:tmpl w:val="809A38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3"/>
  </w:num>
  <w:num w:numId="2">
    <w:abstractNumId w:val="2"/>
  </w:num>
  <w:num w:numId="3">
    <w:abstractNumId w:val="14"/>
  </w:num>
  <w:num w:numId="4">
    <w:abstractNumId w:val="15"/>
  </w:num>
  <w:num w:numId="5">
    <w:abstractNumId w:val="0"/>
  </w:num>
  <w:num w:numId="6">
    <w:abstractNumId w:val="9"/>
  </w:num>
  <w:num w:numId="7">
    <w:abstractNumId w:val="5"/>
  </w:num>
  <w:num w:numId="8">
    <w:abstractNumId w:val="7"/>
  </w:num>
  <w:num w:numId="9">
    <w:abstractNumId w:val="4"/>
  </w:num>
  <w:num w:numId="10">
    <w:abstractNumId w:val="16"/>
  </w:num>
  <w:num w:numId="11">
    <w:abstractNumId w:val="1"/>
  </w:num>
  <w:num w:numId="12">
    <w:abstractNumId w:val="8"/>
  </w:num>
  <w:num w:numId="13">
    <w:abstractNumId w:val="3"/>
  </w:num>
  <w:num w:numId="14">
    <w:abstractNumId w:val="10"/>
  </w:num>
  <w:num w:numId="15">
    <w:abstractNumId w:val="11"/>
  </w:num>
  <w:num w:numId="16">
    <w:abstractNumId w:val="6"/>
  </w:num>
  <w:num w:numId="17">
    <w:abstractNumId w:val="1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551C2"/>
    <w:rsid w:val="00056B1D"/>
    <w:rsid w:val="00065274"/>
    <w:rsid w:val="000B0A6C"/>
    <w:rsid w:val="000C18A2"/>
    <w:rsid w:val="000C7CE9"/>
    <w:rsid w:val="000D3D73"/>
    <w:rsid w:val="000E5534"/>
    <w:rsid w:val="000F702E"/>
    <w:rsid w:val="00106501"/>
    <w:rsid w:val="0011149F"/>
    <w:rsid w:val="00130741"/>
    <w:rsid w:val="001352AF"/>
    <w:rsid w:val="00151882"/>
    <w:rsid w:val="00153AF8"/>
    <w:rsid w:val="00163512"/>
    <w:rsid w:val="00165530"/>
    <w:rsid w:val="001B1991"/>
    <w:rsid w:val="00236920"/>
    <w:rsid w:val="002476EC"/>
    <w:rsid w:val="00263F2F"/>
    <w:rsid w:val="002C2587"/>
    <w:rsid w:val="002E14A2"/>
    <w:rsid w:val="00311CA0"/>
    <w:rsid w:val="00327BA2"/>
    <w:rsid w:val="00331DC2"/>
    <w:rsid w:val="00334963"/>
    <w:rsid w:val="003368D0"/>
    <w:rsid w:val="0034571C"/>
    <w:rsid w:val="00373169"/>
    <w:rsid w:val="003906D6"/>
    <w:rsid w:val="003926EA"/>
    <w:rsid w:val="00395A02"/>
    <w:rsid w:val="003B31C2"/>
    <w:rsid w:val="00432932"/>
    <w:rsid w:val="00437BE9"/>
    <w:rsid w:val="004531A7"/>
    <w:rsid w:val="00485D8B"/>
    <w:rsid w:val="00492A5D"/>
    <w:rsid w:val="00497FFE"/>
    <w:rsid w:val="004A3F66"/>
    <w:rsid w:val="004B36E6"/>
    <w:rsid w:val="004B7C6F"/>
    <w:rsid w:val="004C088B"/>
    <w:rsid w:val="004F1238"/>
    <w:rsid w:val="004F74AD"/>
    <w:rsid w:val="00532016"/>
    <w:rsid w:val="0056640C"/>
    <w:rsid w:val="0058151E"/>
    <w:rsid w:val="005D23BE"/>
    <w:rsid w:val="00610404"/>
    <w:rsid w:val="00641869"/>
    <w:rsid w:val="0064547B"/>
    <w:rsid w:val="0066001C"/>
    <w:rsid w:val="00677647"/>
    <w:rsid w:val="00694128"/>
    <w:rsid w:val="006955C9"/>
    <w:rsid w:val="006D38D4"/>
    <w:rsid w:val="006D6483"/>
    <w:rsid w:val="006F7A49"/>
    <w:rsid w:val="00732AB6"/>
    <w:rsid w:val="0075221D"/>
    <w:rsid w:val="00773839"/>
    <w:rsid w:val="007934B7"/>
    <w:rsid w:val="007D4173"/>
    <w:rsid w:val="007E4028"/>
    <w:rsid w:val="00813D19"/>
    <w:rsid w:val="00817DC9"/>
    <w:rsid w:val="00826A18"/>
    <w:rsid w:val="00853EE6"/>
    <w:rsid w:val="008745FD"/>
    <w:rsid w:val="00877217"/>
    <w:rsid w:val="00890256"/>
    <w:rsid w:val="00892263"/>
    <w:rsid w:val="008A3B72"/>
    <w:rsid w:val="008A4C0A"/>
    <w:rsid w:val="008A79DA"/>
    <w:rsid w:val="008D1FA8"/>
    <w:rsid w:val="008F403B"/>
    <w:rsid w:val="00905B70"/>
    <w:rsid w:val="0092523B"/>
    <w:rsid w:val="00927B76"/>
    <w:rsid w:val="00935800"/>
    <w:rsid w:val="00944CDD"/>
    <w:rsid w:val="00980567"/>
    <w:rsid w:val="0099059D"/>
    <w:rsid w:val="009A7D61"/>
    <w:rsid w:val="009B39B1"/>
    <w:rsid w:val="009E7625"/>
    <w:rsid w:val="00A0594C"/>
    <w:rsid w:val="00A4009A"/>
    <w:rsid w:val="00A42B3A"/>
    <w:rsid w:val="00A5131A"/>
    <w:rsid w:val="00A6156A"/>
    <w:rsid w:val="00A94FAC"/>
    <w:rsid w:val="00A97365"/>
    <w:rsid w:val="00B15BC9"/>
    <w:rsid w:val="00B22674"/>
    <w:rsid w:val="00B23B47"/>
    <w:rsid w:val="00B272C6"/>
    <w:rsid w:val="00B52A9A"/>
    <w:rsid w:val="00B5634E"/>
    <w:rsid w:val="00B65436"/>
    <w:rsid w:val="00BA5E5F"/>
    <w:rsid w:val="00C25AF6"/>
    <w:rsid w:val="00C50B56"/>
    <w:rsid w:val="00C56723"/>
    <w:rsid w:val="00C64AB6"/>
    <w:rsid w:val="00C7457F"/>
    <w:rsid w:val="00C85DFE"/>
    <w:rsid w:val="00CA191E"/>
    <w:rsid w:val="00CB42C6"/>
    <w:rsid w:val="00CC1162"/>
    <w:rsid w:val="00CD0692"/>
    <w:rsid w:val="00CE7126"/>
    <w:rsid w:val="00D05C37"/>
    <w:rsid w:val="00D45ECB"/>
    <w:rsid w:val="00D5123B"/>
    <w:rsid w:val="00D856BA"/>
    <w:rsid w:val="00DE10F4"/>
    <w:rsid w:val="00E10B4C"/>
    <w:rsid w:val="00E50093"/>
    <w:rsid w:val="00E51D08"/>
    <w:rsid w:val="00E7039E"/>
    <w:rsid w:val="00E836AA"/>
    <w:rsid w:val="00E9117A"/>
    <w:rsid w:val="00EC5A9A"/>
    <w:rsid w:val="00ED0A66"/>
    <w:rsid w:val="00EE21DF"/>
    <w:rsid w:val="00F01F1D"/>
    <w:rsid w:val="00F079E2"/>
    <w:rsid w:val="00F10846"/>
    <w:rsid w:val="00F108F6"/>
    <w:rsid w:val="00F1544F"/>
    <w:rsid w:val="00F22A4B"/>
    <w:rsid w:val="00F349A8"/>
    <w:rsid w:val="00F3564E"/>
    <w:rsid w:val="00F37753"/>
    <w:rsid w:val="00F406D0"/>
    <w:rsid w:val="00F417BB"/>
    <w:rsid w:val="00F43B9C"/>
    <w:rsid w:val="00F442FE"/>
    <w:rsid w:val="00F6179F"/>
    <w:rsid w:val="00F873F4"/>
    <w:rsid w:val="00F96A8B"/>
    <w:rsid w:val="00F9769E"/>
    <w:rsid w:val="00FC1EDE"/>
    <w:rsid w:val="00FC435E"/>
    <w:rsid w:val="00FC651D"/>
    <w:rsid w:val="00FD7E6B"/>
    <w:rsid w:val="00FF7F4B"/>
    <w:rsid w:val="0263C382"/>
    <w:rsid w:val="206771C9"/>
    <w:rsid w:val="261266FD"/>
    <w:rsid w:val="27722403"/>
    <w:rsid w:val="32BB0595"/>
    <w:rsid w:val="3708C0C0"/>
    <w:rsid w:val="3C1E9139"/>
    <w:rsid w:val="5442CE1C"/>
    <w:rsid w:val="54C5F42F"/>
    <w:rsid w:val="5AC13EAF"/>
    <w:rsid w:val="5F65EF7C"/>
    <w:rsid w:val="683DD944"/>
    <w:rsid w:val="6ADEB0A4"/>
    <w:rsid w:val="6E02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hAnsiTheme="majorHAnsi" w:eastAsiaTheme="majorEastAsia"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955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980567"/>
    <w:rPr>
      <w:rFonts w:asciiTheme="majorHAnsi" w:hAnsiTheme="majorHAnsi" w:eastAsiaTheme="majorEastAsia" w:cstheme="majorBidi"/>
      <w:b/>
      <w:color w:val="2F5496" w:themeColor="accent1" w:themeShade="BF"/>
      <w:sz w:val="48"/>
      <w:szCs w:val="32"/>
    </w:rPr>
  </w:style>
  <w:style w:type="character" w:styleId="Heading2Char" w:customStyle="1">
    <w:name w:val="Heading 2 Char"/>
    <w:basedOn w:val="DefaultParagraphFont"/>
    <w:link w:val="Heading2"/>
    <w:uiPriority w:val="9"/>
    <w:rsid w:val="009E7625"/>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styleId="CommentTextChar" w:customStyle="1">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styleId="CommentSubjectChar" w:customStyle="1">
    <w:name w:val="Comment Subject Char"/>
    <w:basedOn w:val="CommentTextChar"/>
    <w:link w:val="CommentSubject"/>
    <w:uiPriority w:val="99"/>
    <w:semiHidden/>
    <w:rsid w:val="00BA5E5F"/>
    <w:rPr>
      <w:b/>
      <w:bCs/>
      <w:sz w:val="20"/>
      <w:szCs w:val="20"/>
    </w:rPr>
  </w:style>
  <w:style w:type="character" w:styleId="Hyperlink">
    <w:name w:val="Hyperlink"/>
    <w:basedOn w:val="DefaultParagraphFont"/>
    <w:uiPriority w:val="99"/>
    <w:unhideWhenUsed/>
    <w:rsid w:val="00944CDD"/>
    <w:rPr>
      <w:color w:val="0563C1" w:themeColor="hyperlink"/>
      <w:u w:val="single"/>
    </w:rPr>
  </w:style>
  <w:style w:type="character" w:styleId="FollowedHyperlink">
    <w:name w:val="FollowedHyperlink"/>
    <w:basedOn w:val="DefaultParagraphFont"/>
    <w:uiPriority w:val="99"/>
    <w:semiHidden/>
    <w:unhideWhenUsed/>
    <w:rsid w:val="00B272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microsoft.com/office/2011/relationships/people" Target="people.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personal.umich.edu/~jwithrow/materials/walkthroughs.pdf" TargetMode="External" Id="rId6" /><Relationship Type="http://schemas.openxmlformats.org/officeDocument/2006/relationships/hyperlink" Target="http://usabilitybok.org/pluralistic-walkthrough"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 Wald</dc:creator>
  <keywords/>
  <dc:description/>
  <lastModifiedBy>Michael Gowan</lastModifiedBy>
  <revision>3</revision>
  <dcterms:created xsi:type="dcterms:W3CDTF">2020-09-22T20:17:00.0000000Z</dcterms:created>
  <dcterms:modified xsi:type="dcterms:W3CDTF">2020-09-23T14:38:50.4686827Z</dcterms:modified>
</coreProperties>
</file>