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Page 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 #.#  Case Studies Landing Page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  <w:color w:val="2f5496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48"/>
          <w:szCs w:val="48"/>
          <w:rtl w:val="0"/>
        </w:rPr>
        <w:t xml:space="preserve">Primary Content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3864" w:val="clea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rtl w:val="0"/>
        </w:rPr>
        <w:t xml:space="preserve">Title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9e2f3" w:val="clea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Enter the </w:t>
      </w:r>
      <w:r w:rsidDel="00000000" w:rsidR="00000000" w:rsidRPr="00000000">
        <w:rPr>
          <w:rFonts w:ascii="Cambria" w:cs="Cambria" w:eastAsia="Cambria" w:hAnsi="Cambria"/>
          <w:b w:val="1"/>
          <w:color w:val="1f3864"/>
          <w:sz w:val="20"/>
          <w:szCs w:val="20"/>
          <w:rtl w:val="0"/>
        </w:rPr>
        <w:t xml:space="preserve">page title</w:t>
      </w: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  here (REQUIRED). 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Case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3864" w:val="clea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d9e2f3" w:val="clea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Enter the </w:t>
      </w:r>
      <w:r w:rsidDel="00000000" w:rsidR="00000000" w:rsidRPr="00000000">
        <w:rPr>
          <w:rFonts w:ascii="Cambria" w:cs="Cambria" w:eastAsia="Cambria" w:hAnsi="Cambria"/>
          <w:b w:val="1"/>
          <w:color w:val="1f3864"/>
          <w:sz w:val="20"/>
          <w:szCs w:val="20"/>
          <w:rtl w:val="0"/>
        </w:rPr>
        <w:t xml:space="preserve">intro</w:t>
      </w: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 here (REQUIRED).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 how other groups have used the ideas featured on this site to build better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3864" w:val="clea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e2f3" w:val="clea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Enter the </w:t>
      </w:r>
      <w:r w:rsidDel="00000000" w:rsidR="00000000" w:rsidRPr="00000000">
        <w:rPr>
          <w:rFonts w:ascii="Cambria" w:cs="Cambria" w:eastAsia="Cambria" w:hAnsi="Cambria"/>
          <w:b w:val="1"/>
          <w:color w:val="1f3864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 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Find a Case Study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Iterating a Design During a Time Crunch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 interdisciplinary VA team uses a rapid usability evaluation to design a new tool for clinical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Focus Groups to Understand Context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 interdisciplinary VA team uses focus groups to understand how clinicians use Self-Alerts in the field.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Formative Usability Tests for Design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 interdisciplinary VA team uses formative usability tests to evaluate and solve a design problem.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3864" w:val="clea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rtl w:val="0"/>
        </w:rPr>
        <w:t xml:space="preserve">Excerpt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d9e2f3" w:val="clear"/>
        <w:rPr>
          <w:rFonts w:ascii="Cambria" w:cs="Cambria" w:eastAsia="Cambria" w:hAnsi="Cambria"/>
          <w:color w:val="1f3864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Summary text for WordPress.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 how other groups have used the ideas featured on this site to build better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1384"/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22827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722827"/>
    <w:pPr>
      <w:spacing w:after="100" w:afterAutospacing="1" w:before="100" w:beforeAutospacing="1"/>
    </w:pPr>
  </w:style>
  <w:style w:type="character" w:styleId="normaltextrun" w:customStyle="1">
    <w:name w:val="normaltextrun"/>
    <w:basedOn w:val="DefaultParagraphFont"/>
    <w:rsid w:val="00722827"/>
  </w:style>
  <w:style w:type="character" w:styleId="contextualspellingandgrammarerror" w:customStyle="1">
    <w:name w:val="contextualspellingandgrammarerror"/>
    <w:basedOn w:val="DefaultParagraphFont"/>
    <w:rsid w:val="00722827"/>
  </w:style>
  <w:style w:type="character" w:styleId="eop" w:customStyle="1">
    <w:name w:val="eop"/>
    <w:basedOn w:val="DefaultParagraphFont"/>
    <w:rsid w:val="00722827"/>
  </w:style>
  <w:style w:type="character" w:styleId="spellingerror" w:customStyle="1">
    <w:name w:val="spellingerror"/>
    <w:basedOn w:val="DefaultParagraphFont"/>
    <w:rsid w:val="00722827"/>
  </w:style>
  <w:style w:type="character" w:styleId="pagebreaktextspan" w:customStyle="1">
    <w:name w:val="pagebreaktextspan"/>
    <w:basedOn w:val="DefaultParagraphFont"/>
    <w:rsid w:val="00722827"/>
  </w:style>
  <w:style w:type="character" w:styleId="Heading2Char" w:customStyle="1">
    <w:name w:val="Heading 2 Char"/>
    <w:basedOn w:val="DefaultParagraphFont"/>
    <w:link w:val="Heading2"/>
    <w:uiPriority w:val="9"/>
    <w:rsid w:val="0072282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BE65A4"/>
    <w:pPr>
      <w:ind w:left="720"/>
      <w:contextualSpacing w:val="1"/>
    </w:pPr>
    <w:rPr>
      <w:rFonts w:asciiTheme="minorHAnsi" w:cstheme="minorBidi" w:eastAsiaTheme="minorHAnsi" w:hAnsiTheme="minorHAnsi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030A9"/>
    <w:rPr>
      <w:rFonts w:asciiTheme="minorHAnsi" w:cstheme="minorBidi" w:eastAsiaTheme="minorHAnsi" w:hAnsiTheme="minorHAns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030A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030A9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030A9"/>
    <w:rPr>
      <w:rFonts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030A9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lBqi8vNogQKjyQ8NAM+YyCdtEw==">AMUW2mXXC8N6VzoMN4rpXxpa5CFv/40DbHDluyeOgoh8p7K56Jnmj+5uc62N2iocvfY/gC6yoS1rI+g4HUaAgoSFA1gUP1pCZIdiwAFjv+agIQ1yiPQ3Wes=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2020-05-28T15:34:00.0000000Z</dcterms:created>
  <dc:creator>Michael Gowan</dc:creator>
</cp:coreProperties>
</file>