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2D621" w14:textId="3DEA27DA" w:rsidR="00EA59C6" w:rsidRPr="00EA59C6" w:rsidRDefault="00EA59C6" w:rsidP="00EA59C6">
      <w:pPr>
        <w:spacing w:before="100" w:beforeAutospacing="1" w:after="100" w:afterAutospacing="1" w:line="240" w:lineRule="auto"/>
        <w:outlineLvl w:val="0"/>
        <w:rPr>
          <w:rFonts w:ascii="&amp;quot" w:eastAsia="Times New Roman" w:hAnsi="&amp;quot" w:cs="Times New Roman"/>
          <w:b/>
          <w:bCs/>
          <w:color w:val="636363"/>
          <w:kern w:val="36"/>
          <w:sz w:val="55"/>
          <w:szCs w:val="55"/>
        </w:rPr>
      </w:pPr>
      <w:r w:rsidRPr="00EA59C6">
        <w:rPr>
          <w:rFonts w:ascii="&amp;quot" w:eastAsia="Times New Roman" w:hAnsi="&amp;quot" w:cs="Times New Roman"/>
          <w:b/>
          <w:bCs/>
          <w:color w:val="636363"/>
          <w:kern w:val="36"/>
          <w:sz w:val="51"/>
          <w:szCs w:val="51"/>
        </w:rPr>
        <w:t>Applied Cognitive Task Analysis (ACTA)</w:t>
      </w:r>
    </w:p>
    <w:p w14:paraId="588D8302" w14:textId="77777777" w:rsidR="00EA59C6" w:rsidRPr="00EA59C6" w:rsidRDefault="00EA59C6" w:rsidP="00EA59C6">
      <w:pPr>
        <w:shd w:val="clear" w:color="auto" w:fill="FFFEED"/>
        <w:spacing w:after="0" w:line="240" w:lineRule="auto"/>
        <w:rPr>
          <w:rFonts w:ascii="Arial" w:eastAsia="Times New Roman" w:hAnsi="Arial" w:cs="Arial"/>
          <w:color w:val="222222"/>
          <w:sz w:val="20"/>
          <w:szCs w:val="20"/>
        </w:rPr>
      </w:pPr>
      <w:r w:rsidRPr="00EA59C6">
        <w:rPr>
          <w:rFonts w:ascii="Arial" w:eastAsia="Times New Roman" w:hAnsi="Arial" w:cs="Arial"/>
          <w:color w:val="003F72"/>
          <w:sz w:val="20"/>
          <w:szCs w:val="20"/>
        </w:rPr>
        <w:t xml:space="preserve">Cognitive Task Analysis (CTA) involves the use of a technique or set of methods to identify, describe and determine the cognitive skills, knowledge &amp; strategies needed for the proficient performance of a particular task or set of tasks that are highly covert, dynamic, and involve decision-making &amp; judgement. A major aim of many CTA methods </w:t>
      </w:r>
      <w:proofErr w:type="gramStart"/>
      <w:r w:rsidRPr="00EA59C6">
        <w:rPr>
          <w:rFonts w:ascii="Arial" w:eastAsia="Times New Roman" w:hAnsi="Arial" w:cs="Arial"/>
          <w:color w:val="003F72"/>
          <w:sz w:val="20"/>
          <w:szCs w:val="20"/>
        </w:rPr>
        <w:t>are</w:t>
      </w:r>
      <w:proofErr w:type="gramEnd"/>
      <w:r w:rsidRPr="00EA59C6">
        <w:rPr>
          <w:rFonts w:ascii="Arial" w:eastAsia="Times New Roman" w:hAnsi="Arial" w:cs="Arial"/>
          <w:color w:val="003F72"/>
          <w:sz w:val="20"/>
          <w:szCs w:val="20"/>
        </w:rPr>
        <w:t xml:space="preserve"> to help obtain valuable tacit knowledge, usually from subject matter experts (SMEs), that is often implied or not explicitly expressed.   </w:t>
      </w:r>
    </w:p>
    <w:p w14:paraId="47E7C775" w14:textId="77777777" w:rsidR="00EA59C6" w:rsidRPr="00EA59C6" w:rsidRDefault="00EA59C6" w:rsidP="00EA59C6">
      <w:pPr>
        <w:spacing w:before="100" w:beforeAutospacing="1" w:after="100" w:afterAutospacing="1"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 xml:space="preserve">Many CTA methods can only be effectively conducted and reported by highly trained and experienced industrial engineers, cognitive scientists or psychologists, who are typically researchers. Applied Cognitive Task Analysis (ACTA) is a set of methods that were developed by </w:t>
      </w:r>
      <w:proofErr w:type="spellStart"/>
      <w:r w:rsidRPr="00EA59C6">
        <w:rPr>
          <w:rFonts w:ascii="Arial" w:eastAsia="Times New Roman" w:hAnsi="Arial" w:cs="Arial"/>
          <w:color w:val="010C29"/>
          <w:sz w:val="20"/>
          <w:szCs w:val="20"/>
        </w:rPr>
        <w:t>Militello</w:t>
      </w:r>
      <w:proofErr w:type="spellEnd"/>
      <w:r w:rsidRPr="00EA59C6">
        <w:rPr>
          <w:rFonts w:ascii="Arial" w:eastAsia="Times New Roman" w:hAnsi="Arial" w:cs="Arial"/>
          <w:color w:val="010C29"/>
          <w:sz w:val="20"/>
          <w:szCs w:val="20"/>
        </w:rPr>
        <w:t xml:space="preserve"> et al. (</w:t>
      </w:r>
      <w:proofErr w:type="spellStart"/>
      <w:r w:rsidRPr="00EA59C6">
        <w:rPr>
          <w:rFonts w:ascii="Arial" w:eastAsia="Times New Roman" w:hAnsi="Arial" w:cs="Arial"/>
          <w:color w:val="010C29"/>
          <w:sz w:val="20"/>
          <w:szCs w:val="20"/>
        </w:rPr>
        <w:t>Militello</w:t>
      </w:r>
      <w:proofErr w:type="spellEnd"/>
      <w:r w:rsidRPr="00EA59C6">
        <w:rPr>
          <w:rFonts w:ascii="Arial" w:eastAsia="Times New Roman" w:hAnsi="Arial" w:cs="Arial"/>
          <w:color w:val="010C29"/>
          <w:sz w:val="20"/>
          <w:szCs w:val="20"/>
        </w:rPr>
        <w:t xml:space="preserve">, Hutton, </w:t>
      </w:r>
      <w:proofErr w:type="spellStart"/>
      <w:r w:rsidRPr="00EA59C6">
        <w:rPr>
          <w:rFonts w:ascii="Arial" w:eastAsia="Times New Roman" w:hAnsi="Arial" w:cs="Arial"/>
          <w:color w:val="010C29"/>
          <w:sz w:val="20"/>
          <w:szCs w:val="20"/>
        </w:rPr>
        <w:t>Pliske</w:t>
      </w:r>
      <w:proofErr w:type="spellEnd"/>
      <w:r w:rsidRPr="00EA59C6">
        <w:rPr>
          <w:rFonts w:ascii="Arial" w:eastAsia="Times New Roman" w:hAnsi="Arial" w:cs="Arial"/>
          <w:color w:val="010C29"/>
          <w:sz w:val="20"/>
          <w:szCs w:val="20"/>
        </w:rPr>
        <w:t xml:space="preserve">, Knight, &amp; Klein, 1997) during a two-year project for the Navy Personnel Research and Development Center (NPRDC) in an effort to overcome the difficulty and inaccessibility associated with the utilization of many CTA methods. These methods were specifically designed and intended for use in non-research settings such as training and systems design for operations. These refined methods do not require a lot of specialized training or experience in a cognitive field (e.g., cognitive science or psychology) to effectively and efficiently utilize these techniques and analyze the data. ACTA is a structured approach used for the elicitation and analysis of cognitive skills, aspects, demands, challenges and strategies for the effective and successful performance related to a </w:t>
      </w:r>
      <w:proofErr w:type="gramStart"/>
      <w:r w:rsidRPr="00EA59C6">
        <w:rPr>
          <w:rFonts w:ascii="Arial" w:eastAsia="Times New Roman" w:hAnsi="Arial" w:cs="Arial"/>
          <w:color w:val="010C29"/>
          <w:sz w:val="20"/>
          <w:szCs w:val="20"/>
        </w:rPr>
        <w:t>particular task</w:t>
      </w:r>
      <w:proofErr w:type="gramEnd"/>
      <w:r w:rsidRPr="00EA59C6">
        <w:rPr>
          <w:rFonts w:ascii="Arial" w:eastAsia="Times New Roman" w:hAnsi="Arial" w:cs="Arial"/>
          <w:color w:val="010C29"/>
          <w:sz w:val="20"/>
          <w:szCs w:val="20"/>
        </w:rPr>
        <w:t xml:space="preserve"> or scenario(s) and their associated goals (</w:t>
      </w:r>
      <w:proofErr w:type="spellStart"/>
      <w:r w:rsidRPr="00EA59C6">
        <w:rPr>
          <w:rFonts w:ascii="Arial" w:eastAsia="Times New Roman" w:hAnsi="Arial" w:cs="Arial"/>
          <w:color w:val="010C29"/>
          <w:sz w:val="20"/>
          <w:szCs w:val="20"/>
        </w:rPr>
        <w:t>Militello</w:t>
      </w:r>
      <w:proofErr w:type="spellEnd"/>
      <w:r w:rsidRPr="00EA59C6">
        <w:rPr>
          <w:rFonts w:ascii="Arial" w:eastAsia="Times New Roman" w:hAnsi="Arial" w:cs="Arial"/>
          <w:color w:val="010C29"/>
          <w:sz w:val="20"/>
          <w:szCs w:val="20"/>
        </w:rPr>
        <w:t xml:space="preserve"> &amp; Hutton, 1998). ACTA is a three-step method that involves three types of interviews (task diagram, knowledge audit, and simulation interview), which build on one another and are described below.  </w:t>
      </w:r>
    </w:p>
    <w:p w14:paraId="21DBA447" w14:textId="77777777" w:rsidR="00EA59C6" w:rsidRPr="00EA59C6" w:rsidRDefault="00EA59C6" w:rsidP="00EA59C6">
      <w:pPr>
        <w:spacing w:before="100" w:beforeAutospacing="1" w:after="100" w:afterAutospacing="1"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 xml:space="preserve">Differences in perspectives and related approaches (e.g., differences between experience levels, such as novices vs. moderately experienced workers vs. SMEs, and/or different findings among SMEs) to the simulated scenario(s) could be quite informative for future training curriculum, and design recommendations (e.g., the design or modification of an EHR’s design specifications, such as functional requirements, and/or its user interface; or changes to an organization’s system and/or department workflows, processes &amp; policies or protocols). </w:t>
      </w:r>
    </w:p>
    <w:p w14:paraId="023A0A4B" w14:textId="77777777" w:rsidR="00EA59C6" w:rsidRPr="00EA59C6" w:rsidRDefault="00EA59C6" w:rsidP="00EA59C6">
      <w:pPr>
        <w:spacing w:before="100" w:beforeAutospacing="1" w:after="100" w:afterAutospacing="1"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 xml:space="preserve">There are a growing and large number of complex systems and resources (e.g., EHR) in complex &amp; highly dynamic healthcare domains causing tasks with challenging cognitive elements to emerge. Therefore, there is </w:t>
      </w:r>
      <w:proofErr w:type="gramStart"/>
      <w:r w:rsidRPr="00EA59C6">
        <w:rPr>
          <w:rFonts w:ascii="Arial" w:eastAsia="Times New Roman" w:hAnsi="Arial" w:cs="Arial"/>
          <w:color w:val="010C29"/>
          <w:sz w:val="20"/>
          <w:szCs w:val="20"/>
        </w:rPr>
        <w:t>definitely a</w:t>
      </w:r>
      <w:proofErr w:type="gramEnd"/>
      <w:r w:rsidRPr="00EA59C6">
        <w:rPr>
          <w:rFonts w:ascii="Arial" w:eastAsia="Times New Roman" w:hAnsi="Arial" w:cs="Arial"/>
          <w:color w:val="010C29"/>
          <w:sz w:val="20"/>
          <w:szCs w:val="20"/>
        </w:rPr>
        <w:t xml:space="preserve"> need for the elicitation of the tacit knowledge, strategies &amp; mental processes that have proven to be most effective, if not required for the successful and optimal performance and outcomes of such challenging &amp; dynamic tasks and decisions. ACTA is a </w:t>
      </w:r>
      <w:proofErr w:type="gramStart"/>
      <w:r w:rsidRPr="00EA59C6">
        <w:rPr>
          <w:rFonts w:ascii="Arial" w:eastAsia="Times New Roman" w:hAnsi="Arial" w:cs="Arial"/>
          <w:color w:val="010C29"/>
          <w:sz w:val="20"/>
          <w:szCs w:val="20"/>
        </w:rPr>
        <w:t>fairly comprehensive</w:t>
      </w:r>
      <w:proofErr w:type="gramEnd"/>
      <w:r w:rsidRPr="00EA59C6">
        <w:rPr>
          <w:rFonts w:ascii="Arial" w:eastAsia="Times New Roman" w:hAnsi="Arial" w:cs="Arial"/>
          <w:color w:val="010C29"/>
          <w:sz w:val="20"/>
          <w:szCs w:val="20"/>
        </w:rPr>
        <w:t xml:space="preserve"> method that offers a structured approach that may effectively elicit the knowledge, decision-making processes and strategies necessary to successfully and best perform such tasks. Another advantage of ACTA is that it does not require a great deal of training in cognitive psychology or cognitive science on the part of the interviewer or analyst. Therefore, practitioners, who are interested in eliciting such valuable tacit knowledge about certain complex tasks, which are cognitively challenging, but have different educational/training backgrounds, may find ACTA to be particularly appealing and useful.</w:t>
      </w:r>
    </w:p>
    <w:p w14:paraId="07A99233" w14:textId="77777777" w:rsidR="00EA59C6" w:rsidRPr="00EA59C6" w:rsidRDefault="00F4299E" w:rsidP="00EA59C6">
      <w:pPr>
        <w:spacing w:after="0" w:line="240" w:lineRule="auto"/>
        <w:rPr>
          <w:rFonts w:ascii="Arial" w:eastAsia="Times New Roman" w:hAnsi="Arial" w:cs="Arial"/>
          <w:color w:val="222222"/>
          <w:sz w:val="20"/>
          <w:szCs w:val="20"/>
        </w:rPr>
      </w:pPr>
      <w:hyperlink r:id="rId5" w:tgtFrame="_blank" w:history="1">
        <w:r w:rsidR="00EA59C6" w:rsidRPr="00EA59C6">
          <w:rPr>
            <w:rFonts w:ascii="Arial" w:eastAsia="Times New Roman" w:hAnsi="Arial" w:cs="Arial"/>
            <w:color w:val="1155CC"/>
            <w:sz w:val="20"/>
            <w:szCs w:val="20"/>
            <w:u w:val="single"/>
          </w:rPr>
          <w:t xml:space="preserve">The </w:t>
        </w:r>
        <w:proofErr w:type="spellStart"/>
        <w:r w:rsidR="00EA59C6" w:rsidRPr="00EA59C6">
          <w:rPr>
            <w:rFonts w:ascii="Arial" w:eastAsia="Times New Roman" w:hAnsi="Arial" w:cs="Arial"/>
            <w:color w:val="1155CC"/>
            <w:sz w:val="20"/>
            <w:szCs w:val="20"/>
            <w:u w:val="single"/>
          </w:rPr>
          <w:t>Militello</w:t>
        </w:r>
        <w:proofErr w:type="spellEnd"/>
        <w:r w:rsidR="00EA59C6" w:rsidRPr="00EA59C6">
          <w:rPr>
            <w:rFonts w:ascii="Arial" w:eastAsia="Times New Roman" w:hAnsi="Arial" w:cs="Arial"/>
            <w:color w:val="1155CC"/>
            <w:sz w:val="20"/>
            <w:szCs w:val="20"/>
            <w:u w:val="single"/>
          </w:rPr>
          <w:t xml:space="preserve"> et.al. (1997) paper describing the ACTA method can be downloaded from ResearchGate website </w:t>
        </w:r>
      </w:hyperlink>
    </w:p>
    <w:p w14:paraId="0F5A75CA" w14:textId="77777777" w:rsidR="00EA59C6" w:rsidRPr="00EA59C6" w:rsidRDefault="00EA59C6" w:rsidP="00EA59C6">
      <w:pPr>
        <w:spacing w:after="0" w:line="240" w:lineRule="auto"/>
        <w:rPr>
          <w:rFonts w:ascii="Arial" w:eastAsia="Times New Roman" w:hAnsi="Arial" w:cs="Arial"/>
          <w:color w:val="222222"/>
          <w:sz w:val="20"/>
          <w:szCs w:val="20"/>
        </w:rPr>
      </w:pPr>
      <w:r w:rsidRPr="00EA59C6">
        <w:rPr>
          <w:rFonts w:ascii="inherit" w:eastAsia="Times New Roman" w:hAnsi="inherit" w:cs="Arial"/>
          <w:b/>
          <w:bCs/>
          <w:color w:val="010C29"/>
          <w:sz w:val="31"/>
          <w:szCs w:val="31"/>
        </w:rPr>
        <w:t>1st Step: Task Diagram Interview</w:t>
      </w:r>
    </w:p>
    <w:p w14:paraId="1C6586E4" w14:textId="77777777" w:rsidR="00EA59C6" w:rsidRPr="00EA59C6" w:rsidRDefault="00EA59C6" w:rsidP="00EA59C6">
      <w:pPr>
        <w:spacing w:before="100" w:beforeAutospacing="1" w:after="100" w:afterAutospacing="1"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 xml:space="preserve">This initial interviewing technique is intended to generate a general overview and list of the most critical and challenging cognitive aspects of a </w:t>
      </w:r>
      <w:proofErr w:type="gramStart"/>
      <w:r w:rsidRPr="00EA59C6">
        <w:rPr>
          <w:rFonts w:ascii="Arial" w:eastAsia="Times New Roman" w:hAnsi="Arial" w:cs="Arial"/>
          <w:color w:val="010C29"/>
          <w:sz w:val="20"/>
          <w:szCs w:val="20"/>
        </w:rPr>
        <w:t>particular task</w:t>
      </w:r>
      <w:proofErr w:type="gramEnd"/>
      <w:r w:rsidRPr="00EA59C6">
        <w:rPr>
          <w:rFonts w:ascii="Arial" w:eastAsia="Times New Roman" w:hAnsi="Arial" w:cs="Arial"/>
          <w:color w:val="010C29"/>
          <w:sz w:val="20"/>
          <w:szCs w:val="20"/>
        </w:rPr>
        <w:t xml:space="preserve">. The interviewee is typically a SME or someone with a substantial amount of experience and knowledge to draw from. The interviewer asks the interviewee to list the sequence of actions (i.e., sub-tasks) involved in a </w:t>
      </w:r>
      <w:proofErr w:type="gramStart"/>
      <w:r w:rsidRPr="00EA59C6">
        <w:rPr>
          <w:rFonts w:ascii="Arial" w:eastAsia="Times New Roman" w:hAnsi="Arial" w:cs="Arial"/>
          <w:color w:val="010C29"/>
          <w:sz w:val="20"/>
          <w:szCs w:val="20"/>
        </w:rPr>
        <w:t>particular task</w:t>
      </w:r>
      <w:proofErr w:type="gramEnd"/>
      <w:r w:rsidRPr="00EA59C6">
        <w:rPr>
          <w:rFonts w:ascii="Arial" w:eastAsia="Times New Roman" w:hAnsi="Arial" w:cs="Arial"/>
          <w:color w:val="010C29"/>
          <w:sz w:val="20"/>
          <w:szCs w:val="20"/>
        </w:rPr>
        <w:t xml:space="preserve">. Ideally this list would include around 3-6 sub-tasks without going into much detail for efficiency and to save time for the more invasive subsequent interviewing methods. The interviewee is then asked to identify the most cognitively </w:t>
      </w:r>
      <w:r w:rsidRPr="00EA59C6">
        <w:rPr>
          <w:rFonts w:ascii="Arial" w:eastAsia="Times New Roman" w:hAnsi="Arial" w:cs="Arial"/>
          <w:color w:val="010C29"/>
          <w:sz w:val="20"/>
          <w:szCs w:val="20"/>
        </w:rPr>
        <w:lastRenderedPageBreak/>
        <w:t>challenging sub-tasks or elements. Cognitively challenging sub-tasks or elements are those that require higher amounts of skill for decision-making, evaluations, and required vigilance for situation awareness. These sub-tasks and elements are then probed more extensively in the subsequent knowledge audit.  </w:t>
      </w:r>
    </w:p>
    <w:p w14:paraId="7DF48C1D" w14:textId="77777777" w:rsidR="00EA59C6" w:rsidRPr="00EA59C6" w:rsidRDefault="00F4299E" w:rsidP="00EA59C6">
      <w:pPr>
        <w:spacing w:after="0" w:line="240" w:lineRule="auto"/>
        <w:rPr>
          <w:rFonts w:ascii="Arial" w:eastAsia="Times New Roman" w:hAnsi="Arial" w:cs="Arial"/>
          <w:color w:val="222222"/>
          <w:sz w:val="20"/>
          <w:szCs w:val="20"/>
        </w:rPr>
      </w:pPr>
      <w:hyperlink r:id="rId6" w:tgtFrame="_blank" w:history="1">
        <w:r w:rsidR="00EA59C6" w:rsidRPr="00EA59C6">
          <w:rPr>
            <w:rFonts w:ascii="Arial" w:eastAsia="Times New Roman" w:hAnsi="Arial" w:cs="Arial"/>
            <w:color w:val="1155CC"/>
            <w:sz w:val="20"/>
            <w:szCs w:val="20"/>
            <w:u w:val="single"/>
          </w:rPr>
          <w:t xml:space="preserve">Sample Task Diagram </w:t>
        </w:r>
      </w:hyperlink>
    </w:p>
    <w:p w14:paraId="29B02E55" w14:textId="77777777" w:rsidR="00EA59C6" w:rsidRPr="00EA59C6" w:rsidRDefault="00EA59C6" w:rsidP="00EA59C6">
      <w:pPr>
        <w:spacing w:after="0" w:line="240" w:lineRule="auto"/>
        <w:rPr>
          <w:rFonts w:ascii="Arial" w:eastAsia="Times New Roman" w:hAnsi="Arial" w:cs="Arial"/>
          <w:color w:val="222222"/>
          <w:sz w:val="20"/>
          <w:szCs w:val="20"/>
        </w:rPr>
      </w:pPr>
      <w:r w:rsidRPr="00EA59C6">
        <w:rPr>
          <w:rFonts w:ascii="inherit" w:eastAsia="Times New Roman" w:hAnsi="inherit" w:cs="Arial"/>
          <w:b/>
          <w:bCs/>
          <w:color w:val="010C29"/>
          <w:sz w:val="31"/>
          <w:szCs w:val="31"/>
        </w:rPr>
        <w:t>2nd Step: Knowledge Audit</w:t>
      </w:r>
    </w:p>
    <w:p w14:paraId="66EE436D" w14:textId="77777777" w:rsidR="00EA59C6" w:rsidRPr="00EA59C6" w:rsidRDefault="00EA59C6" w:rsidP="00EA59C6">
      <w:pPr>
        <w:spacing w:before="100" w:beforeAutospacing="1" w:after="100" w:afterAutospacing="1"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Like some other CTA interviewing methods (e.g., the Critical Decision Method [CDM] (Crandall, Klein, &amp; Hoffman, 2006; Hoffman, Crandall, &amp; Shadbolt, 1998; Klein, 2017; O’Hare, Wiggins, Williams, &amp; Wong, 2000)), the knowledge audit is an interviewing technique that utilizes a variety of probes and asks for examples, drawing from an interviewee’s personal experiences. The emphasis is on skills acquisition and how a task is performed with a high level of skill, which is why the ACTA method is often includes SME interviewees, as opposed to novice-level decision-making, actions, and behaviors characterized by inexperience or even moderate skill. Unlike some other CTA interviewing methods (e.g.., CDM (Crandall et al., 2006; Hoffman et al., 1998; Klein, 2017; O’Hare et al., 2000)), which are more in-depth and lengthy when probing specific examples, the knowledge audit is only intended to elicit enough detail to make sure that all the significant contextual details for the example were captured.  </w:t>
      </w:r>
    </w:p>
    <w:p w14:paraId="5D9D908D" w14:textId="77777777" w:rsidR="00EA59C6" w:rsidRPr="00EA59C6" w:rsidRDefault="00EA59C6" w:rsidP="00EA59C6">
      <w:pPr>
        <w:spacing w:before="100" w:beforeAutospacing="1" w:after="100" w:afterAutospacing="1"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The types of probes typically used in knowledge audit interviews cover such topics as </w:t>
      </w:r>
    </w:p>
    <w:p w14:paraId="00BF56E8" w14:textId="77777777" w:rsidR="00EA59C6" w:rsidRPr="00EA59C6" w:rsidRDefault="00EA59C6" w:rsidP="00EA59C6">
      <w:pPr>
        <w:numPr>
          <w:ilvl w:val="0"/>
          <w:numId w:val="1"/>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Perceptual skills (e.g., pattern and cue recognition)</w:t>
      </w:r>
    </w:p>
    <w:p w14:paraId="4775A20D" w14:textId="77777777" w:rsidR="00EA59C6" w:rsidRPr="00EA59C6" w:rsidRDefault="00EA59C6" w:rsidP="00EA59C6">
      <w:pPr>
        <w:numPr>
          <w:ilvl w:val="0"/>
          <w:numId w:val="1"/>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Problem identification, diagnosis and prediction</w:t>
      </w:r>
    </w:p>
    <w:p w14:paraId="06D6A72B" w14:textId="77777777" w:rsidR="00EA59C6" w:rsidRPr="00EA59C6" w:rsidRDefault="00EA59C6" w:rsidP="00EA59C6">
      <w:pPr>
        <w:numPr>
          <w:ilvl w:val="0"/>
          <w:numId w:val="1"/>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Situation awareness</w:t>
      </w:r>
    </w:p>
    <w:p w14:paraId="73D7BE69" w14:textId="77777777" w:rsidR="00EA59C6" w:rsidRPr="00EA59C6" w:rsidRDefault="00EA59C6" w:rsidP="00EA59C6">
      <w:pPr>
        <w:numPr>
          <w:ilvl w:val="0"/>
          <w:numId w:val="1"/>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Self-awareness</w:t>
      </w:r>
    </w:p>
    <w:p w14:paraId="36B0BF47" w14:textId="77777777" w:rsidR="00EA59C6" w:rsidRPr="00EA59C6" w:rsidRDefault="00EA59C6" w:rsidP="00EA59C6">
      <w:pPr>
        <w:numPr>
          <w:ilvl w:val="0"/>
          <w:numId w:val="1"/>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Meta-cognition</w:t>
      </w:r>
    </w:p>
    <w:p w14:paraId="35A6C775" w14:textId="77777777" w:rsidR="00EA59C6" w:rsidRPr="00EA59C6" w:rsidRDefault="00EA59C6" w:rsidP="00EA59C6">
      <w:pPr>
        <w:numPr>
          <w:ilvl w:val="0"/>
          <w:numId w:val="1"/>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Goals and the prioritization and execution of actions</w:t>
      </w:r>
    </w:p>
    <w:p w14:paraId="5A3EA3FA" w14:textId="77777777" w:rsidR="00EA59C6" w:rsidRPr="00EA59C6" w:rsidRDefault="00EA59C6" w:rsidP="00EA59C6">
      <w:pPr>
        <w:numPr>
          <w:ilvl w:val="0"/>
          <w:numId w:val="1"/>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Problem-solving and resolution</w:t>
      </w:r>
    </w:p>
    <w:p w14:paraId="30258ACF" w14:textId="77777777" w:rsidR="00EA59C6" w:rsidRPr="00EA59C6" w:rsidRDefault="00EA59C6" w:rsidP="00EA59C6">
      <w:pPr>
        <w:numPr>
          <w:ilvl w:val="0"/>
          <w:numId w:val="1"/>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Improvisations and adjustments</w:t>
      </w:r>
    </w:p>
    <w:p w14:paraId="2B4AEAA3" w14:textId="77777777" w:rsidR="00EA59C6" w:rsidRPr="00EA59C6" w:rsidRDefault="00EA59C6" w:rsidP="00EA59C6">
      <w:pPr>
        <w:numPr>
          <w:ilvl w:val="0"/>
          <w:numId w:val="1"/>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Strategies and tricks of the trade</w:t>
      </w:r>
    </w:p>
    <w:p w14:paraId="741834F8" w14:textId="77777777" w:rsidR="00EA59C6" w:rsidRPr="00EA59C6" w:rsidRDefault="00EA59C6" w:rsidP="00EA59C6">
      <w:pPr>
        <w:numPr>
          <w:ilvl w:val="0"/>
          <w:numId w:val="1"/>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Efficiency</w:t>
      </w:r>
    </w:p>
    <w:p w14:paraId="5FB5126A" w14:textId="77777777" w:rsidR="00EA59C6" w:rsidRPr="00EA59C6" w:rsidRDefault="00EA59C6" w:rsidP="00EA59C6">
      <w:pPr>
        <w:numPr>
          <w:ilvl w:val="0"/>
          <w:numId w:val="1"/>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Atypical and unexpected events as well as potential deviations in typical event trajectories</w:t>
      </w:r>
    </w:p>
    <w:p w14:paraId="40906452" w14:textId="77777777" w:rsidR="00EA59C6" w:rsidRPr="00EA59C6" w:rsidRDefault="00EA59C6" w:rsidP="00EA59C6">
      <w:pPr>
        <w:numPr>
          <w:ilvl w:val="0"/>
          <w:numId w:val="1"/>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 xml:space="preserve">Equipment/technology issues (e.g., potential types of malfunctions, errors, and artifacts) and related adjustments or </w:t>
      </w:r>
      <w:proofErr w:type="gramStart"/>
      <w:r w:rsidRPr="00EA59C6">
        <w:rPr>
          <w:rFonts w:ascii="Arial" w:eastAsia="Times New Roman" w:hAnsi="Arial" w:cs="Arial"/>
          <w:color w:val="010C29"/>
          <w:sz w:val="20"/>
          <w:szCs w:val="20"/>
        </w:rPr>
        <w:t>work-arounds</w:t>
      </w:r>
      <w:proofErr w:type="gramEnd"/>
    </w:p>
    <w:p w14:paraId="7E656245" w14:textId="77777777" w:rsidR="00EA59C6" w:rsidRPr="00EA59C6" w:rsidRDefault="00EA59C6" w:rsidP="00EA59C6">
      <w:pPr>
        <w:spacing w:before="100" w:beforeAutospacing="1" w:after="100" w:afterAutospacing="1"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The output of knowledge audit data (see example below) includes a list of </w:t>
      </w:r>
    </w:p>
    <w:p w14:paraId="1277F205" w14:textId="77777777" w:rsidR="00EA59C6" w:rsidRPr="00EA59C6" w:rsidRDefault="00EA59C6" w:rsidP="00EA59C6">
      <w:pPr>
        <w:numPr>
          <w:ilvl w:val="0"/>
          <w:numId w:val="2"/>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 xml:space="preserve">Aspects of expertise or skill with related examples for the </w:t>
      </w:r>
      <w:proofErr w:type="gramStart"/>
      <w:r w:rsidRPr="00EA59C6">
        <w:rPr>
          <w:rFonts w:ascii="Arial" w:eastAsia="Times New Roman" w:hAnsi="Arial" w:cs="Arial"/>
          <w:color w:val="010C29"/>
          <w:sz w:val="20"/>
          <w:szCs w:val="20"/>
        </w:rPr>
        <w:t>particular task</w:t>
      </w:r>
      <w:proofErr w:type="gramEnd"/>
    </w:p>
    <w:p w14:paraId="1E8C7486" w14:textId="77777777" w:rsidR="00EA59C6" w:rsidRPr="00EA59C6" w:rsidRDefault="00EA59C6" w:rsidP="00EA59C6">
      <w:pPr>
        <w:numPr>
          <w:ilvl w:val="0"/>
          <w:numId w:val="2"/>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Cues, patterns and related strategies</w:t>
      </w:r>
    </w:p>
    <w:p w14:paraId="0D5EEFD5" w14:textId="77777777" w:rsidR="00EA59C6" w:rsidRPr="00EA59C6" w:rsidRDefault="00EA59C6" w:rsidP="00EA59C6">
      <w:pPr>
        <w:numPr>
          <w:ilvl w:val="0"/>
          <w:numId w:val="2"/>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 xml:space="preserve">Challenges and potential barriers to successful, safe, and </w:t>
      </w:r>
      <w:proofErr w:type="gramStart"/>
      <w:r w:rsidRPr="00EA59C6">
        <w:rPr>
          <w:rFonts w:ascii="Arial" w:eastAsia="Times New Roman" w:hAnsi="Arial" w:cs="Arial"/>
          <w:color w:val="010C29"/>
          <w:sz w:val="20"/>
          <w:szCs w:val="20"/>
        </w:rPr>
        <w:t>high quality</w:t>
      </w:r>
      <w:proofErr w:type="gramEnd"/>
      <w:r w:rsidRPr="00EA59C6">
        <w:rPr>
          <w:rFonts w:ascii="Arial" w:eastAsia="Times New Roman" w:hAnsi="Arial" w:cs="Arial"/>
          <w:color w:val="010C29"/>
          <w:sz w:val="20"/>
          <w:szCs w:val="20"/>
        </w:rPr>
        <w:t xml:space="preserve"> performances.</w:t>
      </w:r>
    </w:p>
    <w:p w14:paraId="0E2365DF" w14:textId="77777777" w:rsidR="00EA59C6" w:rsidRPr="00EA59C6" w:rsidRDefault="00F4299E" w:rsidP="00EA59C6">
      <w:pPr>
        <w:spacing w:after="0" w:line="240" w:lineRule="auto"/>
        <w:rPr>
          <w:rFonts w:ascii="Arial" w:eastAsia="Times New Roman" w:hAnsi="Arial" w:cs="Arial"/>
          <w:color w:val="222222"/>
          <w:sz w:val="20"/>
          <w:szCs w:val="20"/>
        </w:rPr>
      </w:pPr>
      <w:hyperlink r:id="rId7" w:tgtFrame="_blank" w:history="1">
        <w:r w:rsidR="00EA59C6" w:rsidRPr="00EA59C6">
          <w:rPr>
            <w:rFonts w:ascii="Arial" w:eastAsia="Times New Roman" w:hAnsi="Arial" w:cs="Arial"/>
            <w:color w:val="1155CC"/>
            <w:sz w:val="20"/>
            <w:szCs w:val="20"/>
            <w:u w:val="single"/>
          </w:rPr>
          <w:t xml:space="preserve">Knowledge Audit of Search and rescue procedure with Fireground Commander </w:t>
        </w:r>
      </w:hyperlink>
    </w:p>
    <w:p w14:paraId="7F07C4EB" w14:textId="77777777" w:rsidR="00EA59C6" w:rsidRPr="00EA59C6" w:rsidRDefault="00EA59C6" w:rsidP="00EA59C6">
      <w:pPr>
        <w:spacing w:after="0" w:line="240" w:lineRule="auto"/>
        <w:rPr>
          <w:rFonts w:ascii="Arial" w:eastAsia="Times New Roman" w:hAnsi="Arial" w:cs="Arial"/>
          <w:color w:val="222222"/>
          <w:sz w:val="20"/>
          <w:szCs w:val="20"/>
        </w:rPr>
      </w:pPr>
      <w:r w:rsidRPr="00EA59C6">
        <w:rPr>
          <w:rFonts w:ascii="inherit" w:eastAsia="Times New Roman" w:hAnsi="inherit" w:cs="Arial"/>
          <w:b/>
          <w:bCs/>
          <w:color w:val="010C29"/>
          <w:sz w:val="31"/>
          <w:szCs w:val="31"/>
        </w:rPr>
        <w:t>3rd Step: Simulation Interview</w:t>
      </w:r>
    </w:p>
    <w:p w14:paraId="681A7251" w14:textId="77777777" w:rsidR="00EA59C6" w:rsidRPr="00EA59C6" w:rsidRDefault="00EA59C6" w:rsidP="00EA59C6">
      <w:pPr>
        <w:spacing w:before="100" w:beforeAutospacing="1" w:after="100" w:afterAutospacing="1"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 xml:space="preserve">The final phase of ACTA involves the simulation interview, typically intended to be challenging and require a relatively high level of skill and experience. This allows for interviewees to apply their skills while making decisions and performing related actions for a specific task in a situation of </w:t>
      </w:r>
      <w:proofErr w:type="gramStart"/>
      <w:r w:rsidRPr="00EA59C6">
        <w:rPr>
          <w:rFonts w:ascii="Arial" w:eastAsia="Times New Roman" w:hAnsi="Arial" w:cs="Arial"/>
          <w:color w:val="010C29"/>
          <w:sz w:val="20"/>
          <w:szCs w:val="20"/>
        </w:rPr>
        <w:t>particular interest</w:t>
      </w:r>
      <w:proofErr w:type="gramEnd"/>
      <w:r w:rsidRPr="00EA59C6">
        <w:rPr>
          <w:rFonts w:ascii="Arial" w:eastAsia="Times New Roman" w:hAnsi="Arial" w:cs="Arial"/>
          <w:color w:val="010C29"/>
          <w:sz w:val="20"/>
          <w:szCs w:val="20"/>
        </w:rPr>
        <w:t>. The simulated scenario can be presented in a variety of forms, such as paper, recordings, high-fidelity environments, or computer software. The fidelity of the simulation has not been found to be an important issue (</w:t>
      </w:r>
      <w:proofErr w:type="spellStart"/>
      <w:r w:rsidRPr="00EA59C6">
        <w:rPr>
          <w:rFonts w:ascii="Arial" w:eastAsia="Times New Roman" w:hAnsi="Arial" w:cs="Arial"/>
          <w:color w:val="010C29"/>
          <w:sz w:val="20"/>
          <w:szCs w:val="20"/>
        </w:rPr>
        <w:t>Militello</w:t>
      </w:r>
      <w:proofErr w:type="spellEnd"/>
      <w:r w:rsidRPr="00EA59C6">
        <w:rPr>
          <w:rFonts w:ascii="Arial" w:eastAsia="Times New Roman" w:hAnsi="Arial" w:cs="Arial"/>
          <w:color w:val="010C29"/>
          <w:sz w:val="20"/>
          <w:szCs w:val="20"/>
        </w:rPr>
        <w:t xml:space="preserve"> &amp; Hutton, 1998). However, it is important that the presented scenario has </w:t>
      </w:r>
      <w:proofErr w:type="gramStart"/>
      <w:r w:rsidRPr="00EA59C6">
        <w:rPr>
          <w:rFonts w:ascii="Arial" w:eastAsia="Times New Roman" w:hAnsi="Arial" w:cs="Arial"/>
          <w:color w:val="010C29"/>
          <w:sz w:val="20"/>
          <w:szCs w:val="20"/>
        </w:rPr>
        <w:t>sufficient</w:t>
      </w:r>
      <w:proofErr w:type="gramEnd"/>
      <w:r w:rsidRPr="00EA59C6">
        <w:rPr>
          <w:rFonts w:ascii="Arial" w:eastAsia="Times New Roman" w:hAnsi="Arial" w:cs="Arial"/>
          <w:color w:val="010C29"/>
          <w:sz w:val="20"/>
          <w:szCs w:val="20"/>
        </w:rPr>
        <w:t xml:space="preserve"> details and, if played out in real-time and/or videotaped with a simulator/simulation, that it is adequately executed and sufficiently realistic. One key is that the simulation presents a challenging situation </w:t>
      </w:r>
      <w:proofErr w:type="gramStart"/>
      <w:r w:rsidRPr="00EA59C6">
        <w:rPr>
          <w:rFonts w:ascii="Arial" w:eastAsia="Times New Roman" w:hAnsi="Arial" w:cs="Arial"/>
          <w:color w:val="010C29"/>
          <w:sz w:val="20"/>
          <w:szCs w:val="20"/>
        </w:rPr>
        <w:t>in regards to</w:t>
      </w:r>
      <w:proofErr w:type="gramEnd"/>
      <w:r w:rsidRPr="00EA59C6">
        <w:rPr>
          <w:rFonts w:ascii="Arial" w:eastAsia="Times New Roman" w:hAnsi="Arial" w:cs="Arial"/>
          <w:color w:val="010C29"/>
          <w:sz w:val="20"/>
          <w:szCs w:val="20"/>
        </w:rPr>
        <w:t xml:space="preserve"> the task or tasks being studied. Since the development of simulated scenarios can be time-consuming and resource-intensive, the developers of ACTA recommend the use of scenarios that have already been </w:t>
      </w:r>
      <w:r w:rsidRPr="00EA59C6">
        <w:rPr>
          <w:rFonts w:ascii="Arial" w:eastAsia="Times New Roman" w:hAnsi="Arial" w:cs="Arial"/>
          <w:color w:val="010C29"/>
          <w:sz w:val="20"/>
          <w:szCs w:val="20"/>
        </w:rPr>
        <w:lastRenderedPageBreak/>
        <w:t>developed (e.g., existing training or educational videos) (</w:t>
      </w:r>
      <w:proofErr w:type="spellStart"/>
      <w:r w:rsidRPr="00EA59C6">
        <w:rPr>
          <w:rFonts w:ascii="Arial" w:eastAsia="Times New Roman" w:hAnsi="Arial" w:cs="Arial"/>
          <w:color w:val="010C29"/>
          <w:sz w:val="20"/>
          <w:szCs w:val="20"/>
        </w:rPr>
        <w:t>Militello</w:t>
      </w:r>
      <w:proofErr w:type="spellEnd"/>
      <w:r w:rsidRPr="00EA59C6">
        <w:rPr>
          <w:rFonts w:ascii="Arial" w:eastAsia="Times New Roman" w:hAnsi="Arial" w:cs="Arial"/>
          <w:color w:val="010C29"/>
          <w:sz w:val="20"/>
          <w:szCs w:val="20"/>
        </w:rPr>
        <w:t xml:space="preserve"> &amp; Hutton, 1998). These existing scenarios can be modified to fit logistical constraints such as time allotted for each simulation session.  </w:t>
      </w:r>
    </w:p>
    <w:p w14:paraId="59A06C82" w14:textId="77777777" w:rsidR="00EA59C6" w:rsidRPr="00EA59C6" w:rsidRDefault="00EA59C6" w:rsidP="00EA59C6">
      <w:pPr>
        <w:spacing w:before="100" w:beforeAutospacing="1" w:after="100" w:afterAutospacing="1"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Once the scenario is presented, the interviewees are asked what the key events and their related decisions, evaluations and goals were, including what they would do in the presented scenario. Each key event identified is probed and discussed more deeply to elicit the significant cues, patterns, actions (i.e., sub-tasks), situation awareness (e.g., assessments and judgements), errors or mistakes that could be made at certain points, and related strategies for that event.  </w:t>
      </w:r>
    </w:p>
    <w:p w14:paraId="7A6FA452" w14:textId="77777777" w:rsidR="00EA59C6" w:rsidRPr="00EA59C6" w:rsidRDefault="00EA59C6" w:rsidP="00EA59C6">
      <w:pPr>
        <w:spacing w:before="100" w:beforeAutospacing="1" w:after="100" w:afterAutospacing="1"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A useful output is a table with this information (e.g., cues, patterns, actions/sub-tasks, situation awareness, possible mistakes and related strategies) for each interview (i.e., a simulation interview table for each interview). </w:t>
      </w:r>
    </w:p>
    <w:p w14:paraId="27FFC99D" w14:textId="77777777" w:rsidR="00EA59C6" w:rsidRPr="00EA59C6" w:rsidRDefault="00EA59C6" w:rsidP="00EA59C6">
      <w:pPr>
        <w:spacing w:after="0" w:line="240" w:lineRule="auto"/>
        <w:rPr>
          <w:rFonts w:ascii="Arial" w:eastAsia="Times New Roman" w:hAnsi="Arial" w:cs="Arial"/>
          <w:color w:val="222222"/>
          <w:sz w:val="20"/>
          <w:szCs w:val="20"/>
        </w:rPr>
      </w:pPr>
      <w:r w:rsidRPr="00EA59C6">
        <w:rPr>
          <w:rFonts w:ascii="inherit" w:eastAsia="Times New Roman" w:hAnsi="inherit" w:cs="Arial"/>
          <w:b/>
          <w:bCs/>
          <w:color w:val="010C29"/>
          <w:sz w:val="31"/>
          <w:szCs w:val="31"/>
        </w:rPr>
        <w:t>Analysis and Interpretation</w:t>
      </w:r>
    </w:p>
    <w:p w14:paraId="1AE64E33" w14:textId="77777777" w:rsidR="00EA59C6" w:rsidRPr="00EA59C6" w:rsidRDefault="00EA59C6" w:rsidP="00EA59C6">
      <w:pPr>
        <w:spacing w:before="100" w:beforeAutospacing="1" w:after="100" w:afterAutospacing="1"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 xml:space="preserve">Once all simulation interviews are conducted, the data from </w:t>
      </w:r>
      <w:proofErr w:type="gramStart"/>
      <w:r w:rsidRPr="00EA59C6">
        <w:rPr>
          <w:rFonts w:ascii="Arial" w:eastAsia="Times New Roman" w:hAnsi="Arial" w:cs="Arial"/>
          <w:color w:val="010C29"/>
          <w:sz w:val="20"/>
          <w:szCs w:val="20"/>
        </w:rPr>
        <w:t>all of</w:t>
      </w:r>
      <w:proofErr w:type="gramEnd"/>
      <w:r w:rsidRPr="00EA59C6">
        <w:rPr>
          <w:rFonts w:ascii="Arial" w:eastAsia="Times New Roman" w:hAnsi="Arial" w:cs="Arial"/>
          <w:color w:val="010C29"/>
          <w:sz w:val="20"/>
          <w:szCs w:val="20"/>
        </w:rPr>
        <w:t xml:space="preserve"> the interviews should be coded, analyzed and compiled into a cognitive demands table. While the developers of the ACTA method focused primarily on the cognitively difficult elements for the task of interest (and the related challenges, cues, common mistakes and strategies), it is recommended that the practitioners focus on the fundamental and long-term goals of the project when determining what specific elements to probe, code for, and compile in the table (</w:t>
      </w:r>
      <w:proofErr w:type="spellStart"/>
      <w:r w:rsidRPr="00EA59C6">
        <w:rPr>
          <w:rFonts w:ascii="Arial" w:eastAsia="Times New Roman" w:hAnsi="Arial" w:cs="Arial"/>
          <w:color w:val="010C29"/>
          <w:sz w:val="20"/>
          <w:szCs w:val="20"/>
        </w:rPr>
        <w:t>Militello</w:t>
      </w:r>
      <w:proofErr w:type="spellEnd"/>
      <w:r w:rsidRPr="00EA59C6">
        <w:rPr>
          <w:rFonts w:ascii="Arial" w:eastAsia="Times New Roman" w:hAnsi="Arial" w:cs="Arial"/>
          <w:color w:val="010C29"/>
          <w:sz w:val="20"/>
          <w:szCs w:val="20"/>
        </w:rPr>
        <w:t xml:space="preserve"> &amp; Hutton, 1998).  </w:t>
      </w:r>
    </w:p>
    <w:p w14:paraId="1052BCEB" w14:textId="77777777" w:rsidR="00EA59C6" w:rsidRPr="00EA59C6" w:rsidRDefault="00F4299E" w:rsidP="00EA59C6">
      <w:pPr>
        <w:spacing w:after="0" w:line="240" w:lineRule="auto"/>
        <w:rPr>
          <w:rFonts w:ascii="Arial" w:eastAsia="Times New Roman" w:hAnsi="Arial" w:cs="Arial"/>
          <w:color w:val="222222"/>
          <w:sz w:val="20"/>
          <w:szCs w:val="20"/>
        </w:rPr>
      </w:pPr>
      <w:hyperlink r:id="rId8" w:tgtFrame="_blank" w:history="1">
        <w:r w:rsidR="00EA59C6" w:rsidRPr="00EA59C6">
          <w:rPr>
            <w:rFonts w:ascii="Arial" w:eastAsia="Times New Roman" w:hAnsi="Arial" w:cs="Arial"/>
            <w:color w:val="1155CC"/>
            <w:sz w:val="20"/>
            <w:szCs w:val="20"/>
            <w:u w:val="single"/>
          </w:rPr>
          <w:t xml:space="preserve">Cognitive Demands Table </w:t>
        </w:r>
      </w:hyperlink>
    </w:p>
    <w:p w14:paraId="5126344C" w14:textId="77777777" w:rsidR="00EA59C6" w:rsidRPr="00EA59C6" w:rsidRDefault="00F4299E" w:rsidP="00EA59C6">
      <w:pPr>
        <w:spacing w:after="0" w:line="240" w:lineRule="auto"/>
        <w:rPr>
          <w:rFonts w:ascii="Arial" w:eastAsia="Times New Roman" w:hAnsi="Arial" w:cs="Arial"/>
          <w:color w:val="222222"/>
          <w:sz w:val="20"/>
          <w:szCs w:val="20"/>
        </w:rPr>
      </w:pPr>
      <w:hyperlink r:id="rId9" w:tgtFrame="_blank" w:history="1">
        <w:r w:rsidR="00EA59C6" w:rsidRPr="00EA59C6">
          <w:rPr>
            <w:rFonts w:ascii="Arial" w:eastAsia="Times New Roman" w:hAnsi="Arial" w:cs="Arial"/>
            <w:color w:val="1155CC"/>
            <w:sz w:val="20"/>
            <w:szCs w:val="20"/>
            <w:u w:val="single"/>
          </w:rPr>
          <w:t xml:space="preserve">DJART table </w:t>
        </w:r>
      </w:hyperlink>
    </w:p>
    <w:p w14:paraId="41B138E7" w14:textId="77777777" w:rsidR="00EA59C6" w:rsidRPr="00EA59C6" w:rsidRDefault="00EA59C6" w:rsidP="00EA59C6">
      <w:pPr>
        <w:spacing w:after="0" w:line="240" w:lineRule="auto"/>
        <w:outlineLvl w:val="1"/>
        <w:rPr>
          <w:rFonts w:ascii="&amp;quot" w:eastAsia="Times New Roman" w:hAnsi="&amp;quot" w:cs="Times New Roman"/>
          <w:b/>
          <w:bCs/>
          <w:color w:val="000000"/>
          <w:sz w:val="35"/>
          <w:szCs w:val="35"/>
        </w:rPr>
      </w:pPr>
      <w:r w:rsidRPr="00EA59C6">
        <w:rPr>
          <w:rFonts w:ascii="&amp;quot" w:eastAsia="Times New Roman" w:hAnsi="&amp;quot" w:cs="Times New Roman"/>
          <w:b/>
          <w:bCs/>
          <w:color w:val="205493"/>
          <w:sz w:val="31"/>
          <w:szCs w:val="31"/>
        </w:rPr>
        <w:t>Benefits</w:t>
      </w:r>
    </w:p>
    <w:p w14:paraId="46E0C1F8" w14:textId="77777777" w:rsidR="00EA59C6" w:rsidRPr="00EA59C6" w:rsidRDefault="00EA59C6" w:rsidP="00EA59C6">
      <w:pPr>
        <w:numPr>
          <w:ilvl w:val="0"/>
          <w:numId w:val="3"/>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 xml:space="preserve">Is a </w:t>
      </w:r>
      <w:proofErr w:type="gramStart"/>
      <w:r w:rsidRPr="00EA59C6">
        <w:rPr>
          <w:rFonts w:ascii="Arial" w:eastAsia="Times New Roman" w:hAnsi="Arial" w:cs="Arial"/>
          <w:color w:val="010C29"/>
          <w:sz w:val="20"/>
          <w:szCs w:val="20"/>
        </w:rPr>
        <w:t>fairly comprehensive</w:t>
      </w:r>
      <w:proofErr w:type="gramEnd"/>
      <w:r w:rsidRPr="00EA59C6">
        <w:rPr>
          <w:rFonts w:ascii="Arial" w:eastAsia="Times New Roman" w:hAnsi="Arial" w:cs="Arial"/>
          <w:color w:val="010C29"/>
          <w:sz w:val="20"/>
          <w:szCs w:val="20"/>
        </w:rPr>
        <w:t xml:space="preserve"> method with a structured approach. </w:t>
      </w:r>
    </w:p>
    <w:p w14:paraId="377E2EF2" w14:textId="77777777" w:rsidR="00EA59C6" w:rsidRPr="00EA59C6" w:rsidRDefault="00EA59C6" w:rsidP="00EA59C6">
      <w:pPr>
        <w:numPr>
          <w:ilvl w:val="0"/>
          <w:numId w:val="3"/>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Does not require a great deal of training and expertise in cognitive psychology.</w:t>
      </w:r>
    </w:p>
    <w:p w14:paraId="7EDBCA4F" w14:textId="77777777" w:rsidR="00EA59C6" w:rsidRPr="00EA59C6" w:rsidRDefault="00EA59C6" w:rsidP="00EA59C6">
      <w:pPr>
        <w:numPr>
          <w:ilvl w:val="0"/>
          <w:numId w:val="3"/>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Reportedly easy to conduct and flexible.</w:t>
      </w:r>
    </w:p>
    <w:p w14:paraId="50ED3514" w14:textId="77777777" w:rsidR="00EA59C6" w:rsidRPr="00EA59C6" w:rsidRDefault="00EA59C6" w:rsidP="00EA59C6">
      <w:pPr>
        <w:numPr>
          <w:ilvl w:val="0"/>
          <w:numId w:val="3"/>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Generates useful clean data.</w:t>
      </w:r>
    </w:p>
    <w:p w14:paraId="371A2E30" w14:textId="77777777" w:rsidR="00EA59C6" w:rsidRPr="00EA59C6" w:rsidRDefault="00EA59C6" w:rsidP="00EA59C6">
      <w:pPr>
        <w:numPr>
          <w:ilvl w:val="0"/>
          <w:numId w:val="3"/>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 xml:space="preserve">Offers behavior insights within the context of users’ natural environments. </w:t>
      </w:r>
    </w:p>
    <w:p w14:paraId="026AACD3" w14:textId="77777777" w:rsidR="00EA59C6" w:rsidRPr="00EA59C6" w:rsidRDefault="00EA59C6" w:rsidP="00EA59C6">
      <w:pPr>
        <w:numPr>
          <w:ilvl w:val="0"/>
          <w:numId w:val="3"/>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Provides a representation of user tasks, particularly cognitive tasks, associated with a specific work domain.</w:t>
      </w:r>
    </w:p>
    <w:p w14:paraId="5174D5C5" w14:textId="77777777" w:rsidR="00EA59C6" w:rsidRPr="00EA59C6" w:rsidRDefault="00EA59C6" w:rsidP="00EA59C6">
      <w:pPr>
        <w:numPr>
          <w:ilvl w:val="0"/>
          <w:numId w:val="3"/>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 xml:space="preserve">Could potentially be used to describe user needs with health IT systems, including differences in needs across users (based on context, level of experience and/or skill, and various ways to complete a behavioral task involving decision-making as well as covert tasks). </w:t>
      </w:r>
    </w:p>
    <w:p w14:paraId="0A39CC7A" w14:textId="77777777" w:rsidR="00EA59C6" w:rsidRPr="00EA59C6" w:rsidRDefault="00EA59C6" w:rsidP="00EA59C6">
      <w:pPr>
        <w:numPr>
          <w:ilvl w:val="0"/>
          <w:numId w:val="3"/>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 xml:space="preserve">Can be used to uncover inefficiencies in workflow and/or performance, especially those due to level of skill, experience, and/or training. </w:t>
      </w:r>
    </w:p>
    <w:p w14:paraId="666609A2" w14:textId="77777777" w:rsidR="00EA59C6" w:rsidRPr="00EA59C6" w:rsidRDefault="00EA59C6" w:rsidP="00EA59C6">
      <w:pPr>
        <w:spacing w:after="0" w:line="240" w:lineRule="auto"/>
        <w:outlineLvl w:val="1"/>
        <w:rPr>
          <w:rFonts w:ascii="&amp;quot" w:eastAsia="Times New Roman" w:hAnsi="&amp;quot" w:cs="Times New Roman"/>
          <w:b/>
          <w:bCs/>
          <w:color w:val="000000"/>
          <w:sz w:val="35"/>
          <w:szCs w:val="35"/>
        </w:rPr>
      </w:pPr>
      <w:r w:rsidRPr="00EA59C6">
        <w:rPr>
          <w:rFonts w:ascii="&amp;quot" w:eastAsia="Times New Roman" w:hAnsi="&amp;quot" w:cs="Times New Roman"/>
          <w:b/>
          <w:bCs/>
          <w:color w:val="205493"/>
          <w:sz w:val="31"/>
          <w:szCs w:val="31"/>
        </w:rPr>
        <w:t>Limitations</w:t>
      </w:r>
    </w:p>
    <w:p w14:paraId="738C7739" w14:textId="77777777" w:rsidR="00EA59C6" w:rsidRPr="00EA59C6" w:rsidRDefault="00EA59C6" w:rsidP="00EA59C6">
      <w:pPr>
        <w:numPr>
          <w:ilvl w:val="0"/>
          <w:numId w:val="4"/>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The ACTA requires the participation of experts or those with substantial experience in and knowledge of the domain of focus (not novice users), which is often limited and may be difficult to find or recruit and, consequently, may require a substantial amount of compensation or another worker to relieve him or her the ACTA session(s).</w:t>
      </w:r>
    </w:p>
    <w:p w14:paraId="6EC6AAB5" w14:textId="77777777" w:rsidR="00EA59C6" w:rsidRPr="00EA59C6" w:rsidRDefault="00EA59C6" w:rsidP="00EA59C6">
      <w:pPr>
        <w:numPr>
          <w:ilvl w:val="0"/>
          <w:numId w:val="4"/>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Considerable training and experience required to effectively administer and analyze the data.</w:t>
      </w:r>
    </w:p>
    <w:p w14:paraId="568FDC43" w14:textId="77777777" w:rsidR="00EA59C6" w:rsidRPr="00EA59C6" w:rsidRDefault="00EA59C6" w:rsidP="00EA59C6">
      <w:pPr>
        <w:numPr>
          <w:ilvl w:val="0"/>
          <w:numId w:val="4"/>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Data analysis can be time-consuming.</w:t>
      </w:r>
    </w:p>
    <w:p w14:paraId="6801CF94" w14:textId="77777777" w:rsidR="00EA59C6" w:rsidRPr="00EA59C6" w:rsidRDefault="00EA59C6" w:rsidP="00EA59C6">
      <w:pPr>
        <w:numPr>
          <w:ilvl w:val="0"/>
          <w:numId w:val="4"/>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Can be difficult to assess reliability of ACTA data.</w:t>
      </w:r>
    </w:p>
    <w:p w14:paraId="2885476B" w14:textId="77777777" w:rsidR="00EA59C6" w:rsidRPr="00EA59C6" w:rsidRDefault="00EA59C6" w:rsidP="00EA59C6">
      <w:pPr>
        <w:numPr>
          <w:ilvl w:val="0"/>
          <w:numId w:val="4"/>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There are potential issues with data validity, especially if small numbers of people are utilized.</w:t>
      </w:r>
    </w:p>
    <w:p w14:paraId="1C11A7DE" w14:textId="77777777" w:rsidR="00EA59C6" w:rsidRPr="00EA59C6" w:rsidRDefault="00EA59C6" w:rsidP="00EA59C6">
      <w:pPr>
        <w:spacing w:after="0"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 </w:t>
      </w:r>
    </w:p>
    <w:p w14:paraId="6C61BAE0" w14:textId="77777777" w:rsidR="00EA59C6" w:rsidRPr="00EA59C6" w:rsidRDefault="00EA59C6" w:rsidP="00EA59C6">
      <w:pPr>
        <w:spacing w:after="0" w:line="240" w:lineRule="auto"/>
        <w:outlineLvl w:val="1"/>
        <w:rPr>
          <w:rFonts w:ascii="&amp;quot" w:eastAsia="Times New Roman" w:hAnsi="&amp;quot" w:cs="Times New Roman"/>
          <w:b/>
          <w:bCs/>
          <w:color w:val="000000"/>
          <w:sz w:val="35"/>
          <w:szCs w:val="35"/>
        </w:rPr>
      </w:pPr>
      <w:r w:rsidRPr="00EA59C6">
        <w:rPr>
          <w:rFonts w:ascii="&amp;quot" w:eastAsia="Times New Roman" w:hAnsi="&amp;quot" w:cs="Times New Roman"/>
          <w:b/>
          <w:bCs/>
          <w:color w:val="205493"/>
          <w:sz w:val="31"/>
          <w:szCs w:val="31"/>
        </w:rPr>
        <w:t>​Study Execution</w:t>
      </w:r>
    </w:p>
    <w:tbl>
      <w:tblPr>
        <w:tblW w:w="5000" w:type="pct"/>
        <w:tblCellSpacing w:w="0" w:type="dxa"/>
        <w:tblBorders>
          <w:top w:val="single" w:sz="8" w:space="0" w:color="0098CE"/>
          <w:left w:val="single" w:sz="8" w:space="0" w:color="0098CE"/>
          <w:bottom w:val="single" w:sz="8" w:space="0" w:color="0098CE"/>
          <w:right w:val="single" w:sz="8" w:space="0" w:color="0098CE"/>
        </w:tblBorders>
        <w:tblCellMar>
          <w:left w:w="0" w:type="dxa"/>
          <w:right w:w="0" w:type="dxa"/>
        </w:tblCellMar>
        <w:tblLook w:val="04A0" w:firstRow="1" w:lastRow="0" w:firstColumn="1" w:lastColumn="0" w:noHBand="0" w:noVBand="1"/>
      </w:tblPr>
      <w:tblGrid>
        <w:gridCol w:w="5034"/>
        <w:gridCol w:w="4326"/>
      </w:tblGrid>
      <w:tr w:rsidR="00EA59C6" w:rsidRPr="00EA59C6" w14:paraId="44689B73" w14:textId="77777777" w:rsidTr="00EA59C6">
        <w:trPr>
          <w:tblCellSpacing w:w="0" w:type="dxa"/>
        </w:trPr>
        <w:tc>
          <w:tcPr>
            <w:tcW w:w="0" w:type="auto"/>
            <w:tcBorders>
              <w:top w:val="nil"/>
              <w:left w:val="nil"/>
              <w:bottom w:val="nil"/>
              <w:right w:val="nil"/>
            </w:tcBorders>
            <w:tcMar>
              <w:top w:w="15" w:type="dxa"/>
              <w:left w:w="15" w:type="dxa"/>
              <w:bottom w:w="15" w:type="dxa"/>
              <w:right w:w="15" w:type="dxa"/>
            </w:tcMar>
            <w:hideMark/>
          </w:tcPr>
          <w:p w14:paraId="7C4B0B4C" w14:textId="77777777" w:rsidR="00EA59C6" w:rsidRPr="00EA59C6" w:rsidRDefault="00EA59C6" w:rsidP="00EA59C6">
            <w:pPr>
              <w:spacing w:after="0" w:line="343" w:lineRule="atLeast"/>
              <w:jc w:val="center"/>
              <w:rPr>
                <w:rFonts w:ascii="Helvetica" w:eastAsia="Times New Roman" w:hAnsi="Helvetica" w:cs="Helvetica"/>
                <w:color w:val="222222"/>
                <w:sz w:val="20"/>
                <w:szCs w:val="20"/>
              </w:rPr>
            </w:pPr>
            <w:r w:rsidRPr="00EA59C6">
              <w:rPr>
                <w:rFonts w:ascii="Helvetica" w:eastAsia="Times New Roman" w:hAnsi="Helvetica" w:cs="Helvetica"/>
                <w:b/>
                <w:bCs/>
                <w:color w:val="010C29"/>
                <w:sz w:val="20"/>
                <w:szCs w:val="20"/>
              </w:rPr>
              <w:t>​Milestone</w:t>
            </w:r>
          </w:p>
        </w:tc>
        <w:tc>
          <w:tcPr>
            <w:tcW w:w="0" w:type="auto"/>
            <w:tcBorders>
              <w:top w:val="nil"/>
              <w:left w:val="nil"/>
              <w:bottom w:val="nil"/>
              <w:right w:val="nil"/>
            </w:tcBorders>
            <w:tcMar>
              <w:top w:w="15" w:type="dxa"/>
              <w:left w:w="15" w:type="dxa"/>
              <w:bottom w:w="15" w:type="dxa"/>
              <w:right w:w="15" w:type="dxa"/>
            </w:tcMar>
            <w:hideMark/>
          </w:tcPr>
          <w:p w14:paraId="65FD6069" w14:textId="77777777" w:rsidR="00EA59C6" w:rsidRPr="00EA59C6" w:rsidRDefault="00EA59C6" w:rsidP="00EA59C6">
            <w:pPr>
              <w:spacing w:after="0" w:line="343" w:lineRule="atLeast"/>
              <w:jc w:val="center"/>
              <w:rPr>
                <w:rFonts w:ascii="Helvetica" w:eastAsia="Times New Roman" w:hAnsi="Helvetica" w:cs="Helvetica"/>
                <w:color w:val="222222"/>
                <w:sz w:val="20"/>
                <w:szCs w:val="20"/>
              </w:rPr>
            </w:pPr>
            <w:r w:rsidRPr="00EA59C6">
              <w:rPr>
                <w:rFonts w:ascii="Helvetica" w:eastAsia="Times New Roman" w:hAnsi="Helvetica" w:cs="Helvetica"/>
                <w:b/>
                <w:bCs/>
                <w:color w:val="010C29"/>
                <w:sz w:val="20"/>
                <w:szCs w:val="20"/>
              </w:rPr>
              <w:t>​Owner</w:t>
            </w:r>
          </w:p>
        </w:tc>
      </w:tr>
      <w:tr w:rsidR="00EA59C6" w:rsidRPr="00EA59C6" w14:paraId="48250EFB" w14:textId="77777777" w:rsidTr="00EA59C6">
        <w:trPr>
          <w:tblCellSpacing w:w="0" w:type="dxa"/>
        </w:trPr>
        <w:tc>
          <w:tcPr>
            <w:tcW w:w="0" w:type="auto"/>
            <w:tcBorders>
              <w:top w:val="nil"/>
              <w:left w:val="nil"/>
              <w:bottom w:val="nil"/>
              <w:right w:val="nil"/>
            </w:tcBorders>
            <w:shd w:val="clear" w:color="auto" w:fill="E6E6E6"/>
            <w:tcMar>
              <w:top w:w="48" w:type="dxa"/>
              <w:left w:w="120" w:type="dxa"/>
              <w:bottom w:w="48" w:type="dxa"/>
              <w:right w:w="48" w:type="dxa"/>
            </w:tcMar>
            <w:hideMark/>
          </w:tcPr>
          <w:p w14:paraId="7C20558D" w14:textId="77777777" w:rsidR="00EA59C6" w:rsidRPr="00EA59C6" w:rsidRDefault="00EA59C6" w:rsidP="00EA59C6">
            <w:pPr>
              <w:spacing w:after="0" w:line="343" w:lineRule="atLeast"/>
              <w:rPr>
                <w:rFonts w:ascii="Helvetica" w:eastAsia="Times New Roman" w:hAnsi="Helvetica" w:cs="Helvetica"/>
                <w:color w:val="222222"/>
                <w:sz w:val="20"/>
                <w:szCs w:val="20"/>
              </w:rPr>
            </w:pPr>
            <w:r w:rsidRPr="00EA59C6">
              <w:rPr>
                <w:rFonts w:ascii="Helvetica" w:eastAsia="Times New Roman" w:hAnsi="Helvetica" w:cs="Helvetica"/>
                <w:color w:val="010C29"/>
                <w:sz w:val="20"/>
                <w:szCs w:val="20"/>
              </w:rPr>
              <w:t>Initiate Kick-off Call</w:t>
            </w:r>
          </w:p>
        </w:tc>
        <w:tc>
          <w:tcPr>
            <w:tcW w:w="0" w:type="auto"/>
            <w:tcBorders>
              <w:top w:val="nil"/>
              <w:left w:val="nil"/>
              <w:bottom w:val="nil"/>
              <w:right w:val="nil"/>
            </w:tcBorders>
            <w:shd w:val="clear" w:color="auto" w:fill="E6E6E6"/>
            <w:tcMar>
              <w:top w:w="48" w:type="dxa"/>
              <w:left w:w="120" w:type="dxa"/>
              <w:bottom w:w="48" w:type="dxa"/>
              <w:right w:w="48" w:type="dxa"/>
            </w:tcMar>
            <w:hideMark/>
          </w:tcPr>
          <w:p w14:paraId="7F7F0D10" w14:textId="77777777" w:rsidR="00EA59C6" w:rsidRPr="00EA59C6" w:rsidRDefault="00EA59C6" w:rsidP="00EA59C6">
            <w:pPr>
              <w:spacing w:after="0" w:line="343" w:lineRule="atLeast"/>
              <w:rPr>
                <w:rFonts w:ascii="Helvetica" w:eastAsia="Times New Roman" w:hAnsi="Helvetica" w:cs="Helvetica"/>
                <w:color w:val="222222"/>
                <w:sz w:val="20"/>
                <w:szCs w:val="20"/>
              </w:rPr>
            </w:pPr>
            <w:r w:rsidRPr="00EA59C6">
              <w:rPr>
                <w:rFonts w:ascii="Helvetica" w:eastAsia="Times New Roman" w:hAnsi="Helvetica" w:cs="Helvetica"/>
                <w:color w:val="010C29"/>
                <w:sz w:val="20"/>
                <w:szCs w:val="20"/>
              </w:rPr>
              <w:t xml:space="preserve">                                     HFE </w:t>
            </w:r>
          </w:p>
        </w:tc>
      </w:tr>
      <w:tr w:rsidR="00EA59C6" w:rsidRPr="00EA59C6" w14:paraId="2BE9552E" w14:textId="77777777" w:rsidTr="00EA59C6">
        <w:trPr>
          <w:tblCellSpacing w:w="0" w:type="dxa"/>
        </w:trPr>
        <w:tc>
          <w:tcPr>
            <w:tcW w:w="0" w:type="auto"/>
            <w:tcBorders>
              <w:top w:val="nil"/>
              <w:left w:val="nil"/>
              <w:bottom w:val="nil"/>
              <w:right w:val="nil"/>
            </w:tcBorders>
            <w:tcMar>
              <w:top w:w="48" w:type="dxa"/>
              <w:left w:w="120" w:type="dxa"/>
              <w:bottom w:w="48" w:type="dxa"/>
              <w:right w:w="48" w:type="dxa"/>
            </w:tcMar>
            <w:hideMark/>
          </w:tcPr>
          <w:p w14:paraId="50BC89E0" w14:textId="77777777" w:rsidR="00EA59C6" w:rsidRPr="00EA59C6" w:rsidRDefault="00EA59C6" w:rsidP="00EA59C6">
            <w:pPr>
              <w:spacing w:after="0" w:line="343" w:lineRule="atLeast"/>
              <w:rPr>
                <w:rFonts w:ascii="Helvetica" w:eastAsia="Times New Roman" w:hAnsi="Helvetica" w:cs="Helvetica"/>
                <w:color w:val="222222"/>
                <w:sz w:val="20"/>
                <w:szCs w:val="20"/>
              </w:rPr>
            </w:pPr>
            <w:r w:rsidRPr="00EA59C6">
              <w:rPr>
                <w:rFonts w:ascii="Helvetica" w:eastAsia="Times New Roman" w:hAnsi="Helvetica" w:cs="Helvetica"/>
                <w:color w:val="010C29"/>
                <w:sz w:val="20"/>
                <w:szCs w:val="20"/>
              </w:rPr>
              <w:lastRenderedPageBreak/>
              <w:t>​Specify study design</w:t>
            </w:r>
          </w:p>
        </w:tc>
        <w:tc>
          <w:tcPr>
            <w:tcW w:w="0" w:type="auto"/>
            <w:tcBorders>
              <w:top w:val="nil"/>
              <w:left w:val="nil"/>
              <w:bottom w:val="nil"/>
              <w:right w:val="nil"/>
            </w:tcBorders>
            <w:tcMar>
              <w:top w:w="48" w:type="dxa"/>
              <w:left w:w="120" w:type="dxa"/>
              <w:bottom w:w="48" w:type="dxa"/>
              <w:right w:w="48" w:type="dxa"/>
            </w:tcMar>
            <w:hideMark/>
          </w:tcPr>
          <w:p w14:paraId="6C023648" w14:textId="77777777" w:rsidR="00EA59C6" w:rsidRPr="00EA59C6" w:rsidRDefault="00EA59C6" w:rsidP="00EA59C6">
            <w:pPr>
              <w:spacing w:after="0" w:line="343" w:lineRule="atLeast"/>
              <w:rPr>
                <w:rFonts w:ascii="Helvetica" w:eastAsia="Times New Roman" w:hAnsi="Helvetica" w:cs="Helvetica"/>
                <w:color w:val="222222"/>
                <w:sz w:val="20"/>
                <w:szCs w:val="20"/>
              </w:rPr>
            </w:pPr>
            <w:r w:rsidRPr="00EA59C6">
              <w:rPr>
                <w:rFonts w:ascii="Helvetica" w:eastAsia="Times New Roman" w:hAnsi="Helvetica" w:cs="Helvetica"/>
                <w:color w:val="010C29"/>
                <w:sz w:val="20"/>
                <w:szCs w:val="20"/>
              </w:rPr>
              <w:t xml:space="preserve">​                                     HFE </w:t>
            </w:r>
          </w:p>
        </w:tc>
      </w:tr>
      <w:tr w:rsidR="00EA59C6" w:rsidRPr="00EA59C6" w14:paraId="010E5B62" w14:textId="77777777" w:rsidTr="00EA59C6">
        <w:trPr>
          <w:tblCellSpacing w:w="0" w:type="dxa"/>
        </w:trPr>
        <w:tc>
          <w:tcPr>
            <w:tcW w:w="0" w:type="auto"/>
            <w:tcBorders>
              <w:top w:val="nil"/>
              <w:left w:val="nil"/>
              <w:bottom w:val="nil"/>
              <w:right w:val="nil"/>
            </w:tcBorders>
            <w:shd w:val="clear" w:color="auto" w:fill="E6E6E6"/>
            <w:tcMar>
              <w:top w:w="48" w:type="dxa"/>
              <w:left w:w="120" w:type="dxa"/>
              <w:bottom w:w="48" w:type="dxa"/>
              <w:right w:w="48" w:type="dxa"/>
            </w:tcMar>
            <w:hideMark/>
          </w:tcPr>
          <w:p w14:paraId="31758447" w14:textId="77777777" w:rsidR="00EA59C6" w:rsidRPr="00EA59C6" w:rsidRDefault="00EA59C6" w:rsidP="00EA59C6">
            <w:pPr>
              <w:spacing w:after="0" w:line="343" w:lineRule="atLeast"/>
              <w:rPr>
                <w:rFonts w:ascii="Helvetica" w:eastAsia="Times New Roman" w:hAnsi="Helvetica" w:cs="Helvetica"/>
                <w:color w:val="222222"/>
                <w:sz w:val="20"/>
                <w:szCs w:val="20"/>
              </w:rPr>
            </w:pPr>
            <w:r w:rsidRPr="00EA59C6">
              <w:rPr>
                <w:rFonts w:ascii="Helvetica" w:eastAsia="Times New Roman" w:hAnsi="Helvetica" w:cs="Helvetica"/>
                <w:color w:val="010C29"/>
                <w:sz w:val="20"/>
                <w:szCs w:val="20"/>
              </w:rPr>
              <w:t>​Identify study location and participants</w:t>
            </w:r>
          </w:p>
        </w:tc>
        <w:tc>
          <w:tcPr>
            <w:tcW w:w="0" w:type="auto"/>
            <w:tcBorders>
              <w:top w:val="nil"/>
              <w:left w:val="nil"/>
              <w:bottom w:val="nil"/>
              <w:right w:val="nil"/>
            </w:tcBorders>
            <w:shd w:val="clear" w:color="auto" w:fill="E6E6E6"/>
            <w:tcMar>
              <w:top w:w="48" w:type="dxa"/>
              <w:left w:w="120" w:type="dxa"/>
              <w:bottom w:w="48" w:type="dxa"/>
              <w:right w:w="48" w:type="dxa"/>
            </w:tcMar>
            <w:hideMark/>
          </w:tcPr>
          <w:p w14:paraId="046064F9" w14:textId="77777777" w:rsidR="00EA59C6" w:rsidRPr="00EA59C6" w:rsidRDefault="00EA59C6" w:rsidP="00EA59C6">
            <w:pPr>
              <w:spacing w:after="0" w:line="343" w:lineRule="atLeast"/>
              <w:rPr>
                <w:rFonts w:ascii="Helvetica" w:eastAsia="Times New Roman" w:hAnsi="Helvetica" w:cs="Helvetica"/>
                <w:color w:val="222222"/>
                <w:sz w:val="20"/>
                <w:szCs w:val="20"/>
              </w:rPr>
            </w:pPr>
            <w:r w:rsidRPr="00EA59C6">
              <w:rPr>
                <w:rFonts w:ascii="Helvetica" w:eastAsia="Times New Roman" w:hAnsi="Helvetica" w:cs="Helvetica"/>
                <w:color w:val="010C29"/>
                <w:sz w:val="20"/>
                <w:szCs w:val="20"/>
              </w:rPr>
              <w:t>                           ​Business office</w:t>
            </w:r>
          </w:p>
        </w:tc>
      </w:tr>
      <w:tr w:rsidR="00EA59C6" w:rsidRPr="00EA59C6" w14:paraId="55DB2019" w14:textId="77777777" w:rsidTr="00EA59C6">
        <w:trPr>
          <w:tblCellSpacing w:w="0" w:type="dxa"/>
        </w:trPr>
        <w:tc>
          <w:tcPr>
            <w:tcW w:w="0" w:type="auto"/>
            <w:tcBorders>
              <w:top w:val="nil"/>
              <w:left w:val="nil"/>
              <w:bottom w:val="nil"/>
              <w:right w:val="nil"/>
            </w:tcBorders>
            <w:tcMar>
              <w:top w:w="48" w:type="dxa"/>
              <w:left w:w="120" w:type="dxa"/>
              <w:bottom w:w="48" w:type="dxa"/>
              <w:right w:w="48" w:type="dxa"/>
            </w:tcMar>
            <w:hideMark/>
          </w:tcPr>
          <w:p w14:paraId="1ED4778D" w14:textId="77777777" w:rsidR="00EA59C6" w:rsidRPr="00EA59C6" w:rsidRDefault="00EA59C6" w:rsidP="00EA59C6">
            <w:pPr>
              <w:spacing w:after="0" w:line="343" w:lineRule="atLeast"/>
              <w:rPr>
                <w:rFonts w:ascii="Helvetica" w:eastAsia="Times New Roman" w:hAnsi="Helvetica" w:cs="Helvetica"/>
                <w:color w:val="222222"/>
                <w:sz w:val="20"/>
                <w:szCs w:val="20"/>
              </w:rPr>
            </w:pPr>
            <w:r w:rsidRPr="00EA59C6">
              <w:rPr>
                <w:rFonts w:ascii="Helvetica" w:eastAsia="Times New Roman" w:hAnsi="Helvetica" w:cs="Helvetica"/>
                <w:color w:val="010C29"/>
                <w:sz w:val="20"/>
                <w:szCs w:val="20"/>
              </w:rPr>
              <w:t>​Recruit Participants</w:t>
            </w:r>
          </w:p>
        </w:tc>
        <w:tc>
          <w:tcPr>
            <w:tcW w:w="0" w:type="auto"/>
            <w:tcBorders>
              <w:top w:val="nil"/>
              <w:left w:val="nil"/>
              <w:bottom w:val="nil"/>
              <w:right w:val="nil"/>
            </w:tcBorders>
            <w:tcMar>
              <w:top w:w="48" w:type="dxa"/>
              <w:left w:w="120" w:type="dxa"/>
              <w:bottom w:w="48" w:type="dxa"/>
              <w:right w:w="48" w:type="dxa"/>
            </w:tcMar>
            <w:hideMark/>
          </w:tcPr>
          <w:p w14:paraId="57FB117F" w14:textId="77777777" w:rsidR="00EA59C6" w:rsidRPr="00EA59C6" w:rsidRDefault="00EA59C6" w:rsidP="00EA59C6">
            <w:pPr>
              <w:spacing w:after="0" w:line="343" w:lineRule="atLeast"/>
              <w:rPr>
                <w:rFonts w:ascii="Helvetica" w:eastAsia="Times New Roman" w:hAnsi="Helvetica" w:cs="Helvetica"/>
                <w:color w:val="222222"/>
                <w:sz w:val="20"/>
                <w:szCs w:val="20"/>
              </w:rPr>
            </w:pPr>
            <w:r w:rsidRPr="00EA59C6">
              <w:rPr>
                <w:rFonts w:ascii="Helvetica" w:eastAsia="Times New Roman" w:hAnsi="Helvetica" w:cs="Helvetica"/>
                <w:color w:val="010C29"/>
                <w:sz w:val="20"/>
                <w:szCs w:val="20"/>
              </w:rPr>
              <w:t>​                           Business Office</w:t>
            </w:r>
          </w:p>
        </w:tc>
      </w:tr>
      <w:tr w:rsidR="00EA59C6" w:rsidRPr="00EA59C6" w14:paraId="31B037DF" w14:textId="77777777" w:rsidTr="00EA59C6">
        <w:trPr>
          <w:tblCellSpacing w:w="0" w:type="dxa"/>
        </w:trPr>
        <w:tc>
          <w:tcPr>
            <w:tcW w:w="0" w:type="auto"/>
            <w:tcBorders>
              <w:top w:val="nil"/>
              <w:left w:val="nil"/>
              <w:bottom w:val="nil"/>
              <w:right w:val="nil"/>
            </w:tcBorders>
            <w:tcMar>
              <w:top w:w="48" w:type="dxa"/>
              <w:left w:w="120" w:type="dxa"/>
              <w:bottom w:w="48" w:type="dxa"/>
              <w:right w:w="48" w:type="dxa"/>
            </w:tcMar>
            <w:hideMark/>
          </w:tcPr>
          <w:p w14:paraId="526B30E7" w14:textId="77777777" w:rsidR="00EA59C6" w:rsidRPr="00EA59C6" w:rsidRDefault="00EA59C6" w:rsidP="00EA59C6">
            <w:pPr>
              <w:spacing w:after="0" w:line="343" w:lineRule="atLeast"/>
              <w:rPr>
                <w:rFonts w:ascii="Helvetica" w:eastAsia="Times New Roman" w:hAnsi="Helvetica" w:cs="Helvetica"/>
                <w:color w:val="222222"/>
                <w:sz w:val="20"/>
                <w:szCs w:val="20"/>
              </w:rPr>
            </w:pPr>
            <w:r w:rsidRPr="00EA59C6">
              <w:rPr>
                <w:rFonts w:ascii="Helvetica" w:eastAsia="Times New Roman" w:hAnsi="Helvetica" w:cs="Helvetica"/>
                <w:color w:val="010C29"/>
                <w:sz w:val="20"/>
                <w:szCs w:val="20"/>
              </w:rPr>
              <w:t>​Conduct Study</w:t>
            </w:r>
          </w:p>
        </w:tc>
        <w:tc>
          <w:tcPr>
            <w:tcW w:w="0" w:type="auto"/>
            <w:tcBorders>
              <w:top w:val="nil"/>
              <w:left w:val="nil"/>
              <w:bottom w:val="nil"/>
              <w:right w:val="nil"/>
            </w:tcBorders>
            <w:tcMar>
              <w:top w:w="48" w:type="dxa"/>
              <w:left w:w="120" w:type="dxa"/>
              <w:bottom w:w="48" w:type="dxa"/>
              <w:right w:w="48" w:type="dxa"/>
            </w:tcMar>
            <w:hideMark/>
          </w:tcPr>
          <w:p w14:paraId="753FF53E" w14:textId="77777777" w:rsidR="00EA59C6" w:rsidRPr="00EA59C6" w:rsidRDefault="00EA59C6" w:rsidP="00EA59C6">
            <w:pPr>
              <w:spacing w:after="0" w:line="343" w:lineRule="atLeast"/>
              <w:rPr>
                <w:rFonts w:ascii="Helvetica" w:eastAsia="Times New Roman" w:hAnsi="Helvetica" w:cs="Helvetica"/>
                <w:color w:val="222222"/>
                <w:sz w:val="20"/>
                <w:szCs w:val="20"/>
              </w:rPr>
            </w:pPr>
            <w:r w:rsidRPr="00EA59C6">
              <w:rPr>
                <w:rFonts w:ascii="Helvetica" w:eastAsia="Times New Roman" w:hAnsi="Helvetica" w:cs="Helvetica"/>
                <w:color w:val="010C29"/>
                <w:sz w:val="20"/>
                <w:szCs w:val="20"/>
              </w:rPr>
              <w:t xml:space="preserve">                                     HFE </w:t>
            </w:r>
          </w:p>
        </w:tc>
      </w:tr>
      <w:tr w:rsidR="00EA59C6" w:rsidRPr="00EA59C6" w14:paraId="1EA3D449" w14:textId="77777777" w:rsidTr="00EA59C6">
        <w:trPr>
          <w:tblCellSpacing w:w="0" w:type="dxa"/>
        </w:trPr>
        <w:tc>
          <w:tcPr>
            <w:tcW w:w="0" w:type="auto"/>
            <w:tcBorders>
              <w:top w:val="nil"/>
              <w:left w:val="nil"/>
              <w:bottom w:val="nil"/>
              <w:right w:val="nil"/>
            </w:tcBorders>
            <w:shd w:val="clear" w:color="auto" w:fill="E6E6E6"/>
            <w:tcMar>
              <w:top w:w="48" w:type="dxa"/>
              <w:left w:w="120" w:type="dxa"/>
              <w:bottom w:w="48" w:type="dxa"/>
              <w:right w:w="48" w:type="dxa"/>
            </w:tcMar>
            <w:hideMark/>
          </w:tcPr>
          <w:p w14:paraId="505C32AA" w14:textId="77777777" w:rsidR="00EA59C6" w:rsidRPr="00EA59C6" w:rsidRDefault="00EA59C6" w:rsidP="00EA59C6">
            <w:pPr>
              <w:spacing w:after="0" w:line="343" w:lineRule="atLeast"/>
              <w:rPr>
                <w:rFonts w:ascii="Helvetica" w:eastAsia="Times New Roman" w:hAnsi="Helvetica" w:cs="Helvetica"/>
                <w:color w:val="222222"/>
                <w:sz w:val="20"/>
                <w:szCs w:val="20"/>
              </w:rPr>
            </w:pPr>
            <w:r w:rsidRPr="00EA59C6">
              <w:rPr>
                <w:rFonts w:ascii="Helvetica" w:eastAsia="Times New Roman" w:hAnsi="Helvetica" w:cs="Helvetica"/>
                <w:color w:val="010C29"/>
                <w:sz w:val="20"/>
                <w:szCs w:val="20"/>
              </w:rPr>
              <w:t>​Analyze and summarize data</w:t>
            </w:r>
          </w:p>
        </w:tc>
        <w:tc>
          <w:tcPr>
            <w:tcW w:w="0" w:type="auto"/>
            <w:tcBorders>
              <w:top w:val="nil"/>
              <w:left w:val="nil"/>
              <w:bottom w:val="nil"/>
              <w:right w:val="nil"/>
            </w:tcBorders>
            <w:shd w:val="clear" w:color="auto" w:fill="E6E6E6"/>
            <w:tcMar>
              <w:top w:w="48" w:type="dxa"/>
              <w:left w:w="120" w:type="dxa"/>
              <w:bottom w:w="48" w:type="dxa"/>
              <w:right w:w="48" w:type="dxa"/>
            </w:tcMar>
            <w:hideMark/>
          </w:tcPr>
          <w:p w14:paraId="7C1076A0" w14:textId="77777777" w:rsidR="00EA59C6" w:rsidRPr="00EA59C6" w:rsidRDefault="00EA59C6" w:rsidP="00EA59C6">
            <w:pPr>
              <w:spacing w:after="0" w:line="343" w:lineRule="atLeast"/>
              <w:rPr>
                <w:rFonts w:ascii="Helvetica" w:eastAsia="Times New Roman" w:hAnsi="Helvetica" w:cs="Helvetica"/>
                <w:color w:val="222222"/>
                <w:sz w:val="20"/>
                <w:szCs w:val="20"/>
              </w:rPr>
            </w:pPr>
            <w:r w:rsidRPr="00EA59C6">
              <w:rPr>
                <w:rFonts w:ascii="Helvetica" w:eastAsia="Times New Roman" w:hAnsi="Helvetica" w:cs="Helvetica"/>
                <w:color w:val="010C29"/>
                <w:sz w:val="20"/>
                <w:szCs w:val="20"/>
              </w:rPr>
              <w:t xml:space="preserve">                                     ​HFE </w:t>
            </w:r>
          </w:p>
        </w:tc>
      </w:tr>
    </w:tbl>
    <w:p w14:paraId="0E13A740" w14:textId="77777777" w:rsidR="00EA59C6" w:rsidRPr="00EA59C6" w:rsidRDefault="00EA59C6" w:rsidP="00EA59C6">
      <w:pPr>
        <w:spacing w:before="100" w:beforeAutospacing="1" w:after="100" w:afterAutospacing="1"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 </w:t>
      </w:r>
    </w:p>
    <w:p w14:paraId="2303F49B" w14:textId="77777777" w:rsidR="00EA59C6" w:rsidRPr="00EA59C6" w:rsidRDefault="00EA59C6" w:rsidP="00EA59C6">
      <w:pPr>
        <w:spacing w:after="0" w:line="240" w:lineRule="auto"/>
        <w:outlineLvl w:val="1"/>
        <w:rPr>
          <w:rFonts w:ascii="&amp;quot" w:eastAsia="Times New Roman" w:hAnsi="&amp;quot" w:cs="Times New Roman"/>
          <w:b/>
          <w:bCs/>
          <w:color w:val="000000"/>
          <w:sz w:val="35"/>
          <w:szCs w:val="35"/>
        </w:rPr>
      </w:pPr>
      <w:r w:rsidRPr="00EA59C6">
        <w:rPr>
          <w:rFonts w:ascii="&amp;quot" w:eastAsia="Times New Roman" w:hAnsi="&amp;quot" w:cs="Times New Roman"/>
          <w:b/>
          <w:bCs/>
          <w:color w:val="205493"/>
          <w:sz w:val="31"/>
          <w:szCs w:val="31"/>
        </w:rPr>
        <w:t>Outcomes</w:t>
      </w:r>
    </w:p>
    <w:p w14:paraId="69CB942E" w14:textId="77777777" w:rsidR="00EA59C6" w:rsidRPr="00EA59C6" w:rsidRDefault="00EA59C6" w:rsidP="00EA59C6">
      <w:pPr>
        <w:numPr>
          <w:ilvl w:val="0"/>
          <w:numId w:val="5"/>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 xml:space="preserve">Task Diagram </w:t>
      </w:r>
    </w:p>
    <w:p w14:paraId="4200998E" w14:textId="77777777" w:rsidR="00EA59C6" w:rsidRPr="00EA59C6" w:rsidRDefault="00EA59C6" w:rsidP="00EA59C6">
      <w:pPr>
        <w:numPr>
          <w:ilvl w:val="0"/>
          <w:numId w:val="5"/>
        </w:numPr>
        <w:spacing w:after="0" w:line="240" w:lineRule="auto"/>
        <w:ind w:left="945"/>
        <w:rPr>
          <w:rFonts w:ascii="Arial" w:eastAsia="Times New Roman" w:hAnsi="Arial" w:cs="Arial"/>
          <w:color w:val="010C29"/>
          <w:sz w:val="20"/>
          <w:szCs w:val="20"/>
        </w:rPr>
      </w:pPr>
      <w:r w:rsidRPr="00EA59C6">
        <w:rPr>
          <w:rFonts w:ascii="Arial" w:eastAsia="Times New Roman" w:hAnsi="Arial" w:cs="Arial"/>
          <w:color w:val="010C29"/>
          <w:sz w:val="20"/>
          <w:szCs w:val="20"/>
        </w:rPr>
        <w:t xml:space="preserve">Cognitive Demands Table </w:t>
      </w:r>
    </w:p>
    <w:p w14:paraId="2C0FA531" w14:textId="77777777" w:rsidR="00EA59C6" w:rsidRPr="00EA59C6" w:rsidRDefault="00EA59C6" w:rsidP="00EA59C6">
      <w:pPr>
        <w:spacing w:after="0" w:line="240" w:lineRule="auto"/>
        <w:rPr>
          <w:rFonts w:ascii="Arial" w:eastAsia="Times New Roman" w:hAnsi="Arial" w:cs="Arial"/>
          <w:color w:val="222222"/>
          <w:sz w:val="20"/>
          <w:szCs w:val="20"/>
        </w:rPr>
      </w:pPr>
      <w:r w:rsidRPr="00EA59C6">
        <w:rPr>
          <w:rFonts w:ascii="Arial" w:eastAsia="Times New Roman" w:hAnsi="Arial" w:cs="Arial"/>
          <w:color w:val="010C29"/>
          <w:sz w:val="20"/>
          <w:szCs w:val="20"/>
        </w:rPr>
        <w:t>Scenarios of Use</w:t>
      </w:r>
    </w:p>
    <w:p w14:paraId="6F412303" w14:textId="14D03504" w:rsidR="0099360B" w:rsidRDefault="00F4299E"/>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797"/>
        <w:gridCol w:w="8547"/>
      </w:tblGrid>
      <w:tr w:rsidR="00F4299E" w:rsidRPr="00E50A3D" w14:paraId="7CEB4DF5" w14:textId="77777777" w:rsidTr="0010627A">
        <w:trPr>
          <w:tblCellSpacing w:w="0" w:type="dxa"/>
        </w:trPr>
        <w:tc>
          <w:tcPr>
            <w:tcW w:w="0" w:type="auto"/>
            <w:gridSpan w:val="2"/>
            <w:tcBorders>
              <w:top w:val="single" w:sz="6" w:space="0" w:color="0098CE"/>
              <w:bottom w:val="single" w:sz="6" w:space="0" w:color="0098CE"/>
            </w:tcBorders>
            <w:shd w:val="clear" w:color="auto" w:fill="0098CE"/>
            <w:hideMark/>
          </w:tcPr>
          <w:p w14:paraId="2EAB4E65" w14:textId="77777777" w:rsidR="00F4299E" w:rsidRPr="00E50A3D" w:rsidRDefault="00F4299E" w:rsidP="0010627A">
            <w:pPr>
              <w:spacing w:after="0" w:line="343" w:lineRule="atLeast"/>
              <w:jc w:val="center"/>
              <w:rPr>
                <w:rFonts w:ascii="Calibri" w:eastAsia="Times New Roman" w:hAnsi="Calibri" w:cs="Calibri"/>
                <w:b/>
                <w:bCs/>
                <w:color w:val="010C29"/>
                <w:sz w:val="24"/>
                <w:szCs w:val="24"/>
              </w:rPr>
            </w:pPr>
            <w:r w:rsidRPr="00E50A3D">
              <w:rPr>
                <w:rFonts w:ascii="Calibri" w:eastAsia="Times New Roman" w:hAnsi="Calibri" w:cs="Calibri"/>
                <w:b/>
                <w:bCs/>
                <w:color w:val="010C29"/>
                <w:sz w:val="24"/>
                <w:szCs w:val="24"/>
              </w:rPr>
              <w:t>Phase of Development​</w:t>
            </w:r>
          </w:p>
        </w:tc>
      </w:tr>
      <w:tr w:rsidR="00F4299E" w:rsidRPr="00E50A3D" w14:paraId="3C2BDBC2" w14:textId="77777777" w:rsidTr="0010627A">
        <w:trPr>
          <w:tblCellSpacing w:w="0" w:type="dxa"/>
        </w:trPr>
        <w:tc>
          <w:tcPr>
            <w:tcW w:w="0" w:type="auto"/>
            <w:shd w:val="clear" w:color="auto" w:fill="E6E6E6"/>
            <w:tcMar>
              <w:top w:w="48" w:type="dxa"/>
              <w:left w:w="120" w:type="dxa"/>
              <w:bottom w:w="48" w:type="dxa"/>
              <w:right w:w="48" w:type="dxa"/>
            </w:tcMar>
            <w:hideMark/>
          </w:tcPr>
          <w:p w14:paraId="6A1AA4F7"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1B378667"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b/>
                <w:bCs/>
                <w:color w:val="010C29"/>
                <w:sz w:val="24"/>
                <w:szCs w:val="24"/>
              </w:rPr>
              <w:t>​Planning, Scoping &amp; Definition</w:t>
            </w:r>
          </w:p>
        </w:tc>
      </w:tr>
      <w:tr w:rsidR="00F4299E" w:rsidRPr="00E50A3D" w14:paraId="0533A5A1" w14:textId="77777777" w:rsidTr="0010627A">
        <w:trPr>
          <w:tblCellSpacing w:w="0" w:type="dxa"/>
        </w:trPr>
        <w:tc>
          <w:tcPr>
            <w:tcW w:w="0" w:type="auto"/>
            <w:tcMar>
              <w:top w:w="48" w:type="dxa"/>
              <w:left w:w="120" w:type="dxa"/>
              <w:bottom w:w="48" w:type="dxa"/>
              <w:right w:w="48" w:type="dxa"/>
            </w:tcMar>
            <w:hideMark/>
          </w:tcPr>
          <w:p w14:paraId="799A801C"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​​X</w:t>
            </w:r>
          </w:p>
        </w:tc>
        <w:tc>
          <w:tcPr>
            <w:tcW w:w="0" w:type="auto"/>
            <w:tcMar>
              <w:top w:w="48" w:type="dxa"/>
              <w:left w:w="120" w:type="dxa"/>
              <w:bottom w:w="48" w:type="dxa"/>
              <w:right w:w="48" w:type="dxa"/>
            </w:tcMar>
            <w:hideMark/>
          </w:tcPr>
          <w:p w14:paraId="37319BD2"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w:t>
            </w:r>
            <w:r w:rsidRPr="00E50A3D">
              <w:rPr>
                <w:rFonts w:ascii="Calibri" w:eastAsia="Times New Roman" w:hAnsi="Calibri" w:cs="Calibri"/>
                <w:b/>
                <w:bCs/>
                <w:color w:val="010C29"/>
                <w:sz w:val="24"/>
                <w:szCs w:val="24"/>
              </w:rPr>
              <w:t>Requirements Gathering</w:t>
            </w:r>
          </w:p>
        </w:tc>
      </w:tr>
      <w:tr w:rsidR="00F4299E" w:rsidRPr="00E50A3D" w14:paraId="6626F569" w14:textId="77777777" w:rsidTr="0010627A">
        <w:trPr>
          <w:tblCellSpacing w:w="0" w:type="dxa"/>
        </w:trPr>
        <w:tc>
          <w:tcPr>
            <w:tcW w:w="0" w:type="auto"/>
            <w:shd w:val="clear" w:color="auto" w:fill="E6E6E6"/>
            <w:tcMar>
              <w:top w:w="48" w:type="dxa"/>
              <w:left w:w="120" w:type="dxa"/>
              <w:bottom w:w="48" w:type="dxa"/>
              <w:right w:w="48" w:type="dxa"/>
            </w:tcMar>
            <w:hideMark/>
          </w:tcPr>
          <w:p w14:paraId="2965B8E7"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b/>
                <w:bCs/>
                <w:color w:val="010C29"/>
                <w:sz w:val="24"/>
                <w:szCs w:val="24"/>
              </w:rPr>
              <w:t>​</w:t>
            </w:r>
          </w:p>
        </w:tc>
        <w:tc>
          <w:tcPr>
            <w:tcW w:w="0" w:type="auto"/>
            <w:shd w:val="clear" w:color="auto" w:fill="E6E6E6"/>
            <w:tcMar>
              <w:top w:w="48" w:type="dxa"/>
              <w:left w:w="120" w:type="dxa"/>
              <w:bottom w:w="48" w:type="dxa"/>
              <w:right w:w="48" w:type="dxa"/>
            </w:tcMar>
            <w:hideMark/>
          </w:tcPr>
          <w:p w14:paraId="3E733E39"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b/>
                <w:bCs/>
                <w:color w:val="010C29"/>
                <w:sz w:val="24"/>
                <w:szCs w:val="24"/>
              </w:rPr>
              <w:t>​</w:t>
            </w:r>
            <w:r w:rsidRPr="00E50A3D">
              <w:rPr>
                <w:rFonts w:ascii="Calibri" w:eastAsia="Times New Roman" w:hAnsi="Calibri" w:cs="Calibri"/>
                <w:color w:val="010C29"/>
                <w:sz w:val="24"/>
                <w:szCs w:val="24"/>
              </w:rPr>
              <w:t>Early Design</w:t>
            </w:r>
          </w:p>
        </w:tc>
      </w:tr>
      <w:tr w:rsidR="00F4299E" w:rsidRPr="00E50A3D" w14:paraId="7BCA9DE2" w14:textId="77777777" w:rsidTr="0010627A">
        <w:trPr>
          <w:tblCellSpacing w:w="0" w:type="dxa"/>
        </w:trPr>
        <w:tc>
          <w:tcPr>
            <w:tcW w:w="0" w:type="auto"/>
            <w:tcMar>
              <w:top w:w="48" w:type="dxa"/>
              <w:left w:w="120" w:type="dxa"/>
              <w:bottom w:w="48" w:type="dxa"/>
              <w:right w:w="48" w:type="dxa"/>
            </w:tcMar>
            <w:hideMark/>
          </w:tcPr>
          <w:p w14:paraId="7FA19BC7" w14:textId="77777777" w:rsidR="00F4299E" w:rsidRPr="00E50A3D" w:rsidRDefault="00F4299E" w:rsidP="0010627A">
            <w:pPr>
              <w:spacing w:after="0" w:line="343" w:lineRule="atLeast"/>
              <w:rPr>
                <w:rFonts w:ascii="Calibri" w:eastAsia="Times New Roman" w:hAnsi="Calibri" w:cs="Calibri"/>
                <w:color w:val="010C29"/>
                <w:sz w:val="24"/>
                <w:szCs w:val="24"/>
              </w:rPr>
            </w:pPr>
          </w:p>
        </w:tc>
        <w:tc>
          <w:tcPr>
            <w:tcW w:w="0" w:type="auto"/>
            <w:tcMar>
              <w:top w:w="48" w:type="dxa"/>
              <w:left w:w="120" w:type="dxa"/>
              <w:bottom w:w="48" w:type="dxa"/>
              <w:right w:w="48" w:type="dxa"/>
            </w:tcMar>
            <w:hideMark/>
          </w:tcPr>
          <w:p w14:paraId="75E20AF0"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b/>
                <w:bCs/>
                <w:color w:val="010C29"/>
                <w:sz w:val="24"/>
                <w:szCs w:val="24"/>
              </w:rPr>
              <w:t>​</w:t>
            </w:r>
            <w:r w:rsidRPr="00E50A3D">
              <w:rPr>
                <w:rFonts w:ascii="Calibri" w:eastAsia="Times New Roman" w:hAnsi="Calibri" w:cs="Calibri"/>
                <w:color w:val="010C29"/>
                <w:sz w:val="24"/>
                <w:szCs w:val="24"/>
              </w:rPr>
              <w:t>Detailed Design &amp; Development</w:t>
            </w:r>
          </w:p>
        </w:tc>
      </w:tr>
      <w:tr w:rsidR="00F4299E" w:rsidRPr="00E50A3D" w14:paraId="5A90707B" w14:textId="77777777" w:rsidTr="0010627A">
        <w:trPr>
          <w:tblCellSpacing w:w="0" w:type="dxa"/>
        </w:trPr>
        <w:tc>
          <w:tcPr>
            <w:tcW w:w="0" w:type="auto"/>
            <w:shd w:val="clear" w:color="auto" w:fill="E6E6E6"/>
            <w:tcMar>
              <w:top w:w="48" w:type="dxa"/>
              <w:left w:w="120" w:type="dxa"/>
              <w:bottom w:w="48" w:type="dxa"/>
              <w:right w:w="48" w:type="dxa"/>
            </w:tcMar>
            <w:hideMark/>
          </w:tcPr>
          <w:p w14:paraId="2717DB51"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594581C6"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​Field Testing</w:t>
            </w:r>
          </w:p>
        </w:tc>
      </w:tr>
      <w:tr w:rsidR="00F4299E" w:rsidRPr="00E50A3D" w14:paraId="6815668D" w14:textId="77777777" w:rsidTr="0010627A">
        <w:trPr>
          <w:tblCellSpacing w:w="0" w:type="dxa"/>
        </w:trPr>
        <w:tc>
          <w:tcPr>
            <w:tcW w:w="0" w:type="auto"/>
            <w:tcMar>
              <w:top w:w="48" w:type="dxa"/>
              <w:left w:w="120" w:type="dxa"/>
              <w:bottom w:w="48" w:type="dxa"/>
              <w:right w:w="48" w:type="dxa"/>
            </w:tcMar>
            <w:hideMark/>
          </w:tcPr>
          <w:p w14:paraId="7237F992"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686E3C8A"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​Deployment</w:t>
            </w:r>
          </w:p>
        </w:tc>
      </w:tr>
      <w:tr w:rsidR="00F4299E" w:rsidRPr="00E50A3D" w14:paraId="1C5B19C1" w14:textId="77777777" w:rsidTr="0010627A">
        <w:trPr>
          <w:tblCellSpacing w:w="0" w:type="dxa"/>
        </w:trPr>
        <w:tc>
          <w:tcPr>
            <w:tcW w:w="0" w:type="auto"/>
            <w:shd w:val="clear" w:color="auto" w:fill="E6E6E6"/>
            <w:tcMar>
              <w:top w:w="48" w:type="dxa"/>
              <w:left w:w="120" w:type="dxa"/>
              <w:bottom w:w="48" w:type="dxa"/>
              <w:right w:w="48" w:type="dxa"/>
            </w:tcMar>
            <w:hideMark/>
          </w:tcPr>
          <w:p w14:paraId="180C290F"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258FE544"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b/>
                <w:bCs/>
                <w:color w:val="010C29"/>
                <w:sz w:val="24"/>
                <w:szCs w:val="24"/>
              </w:rPr>
              <w:t>​Post-Deployment</w:t>
            </w:r>
          </w:p>
        </w:tc>
      </w:tr>
    </w:tbl>
    <w:p w14:paraId="6DF7AF7E" w14:textId="77777777" w:rsidR="00F4299E" w:rsidRPr="00E50A3D" w:rsidRDefault="00F4299E" w:rsidP="00F4299E">
      <w:pPr>
        <w:spacing w:after="0" w:line="240" w:lineRule="auto"/>
        <w:rPr>
          <w:rFonts w:ascii="Calibri" w:eastAsia="Times New Roman" w:hAnsi="Calibri" w:cs="Calibri"/>
          <w:color w:val="010C29"/>
          <w:sz w:val="24"/>
          <w:szCs w:val="24"/>
        </w:rPr>
      </w:pPr>
      <w:r w:rsidRPr="00E50A3D">
        <w:rPr>
          <w:rFonts w:ascii="Calibri" w:eastAsia="Times New Roman" w:hAnsi="Calibri" w:cs="Calibri"/>
          <w:color w:val="010C29"/>
          <w:sz w:val="24"/>
          <w:szCs w:val="24"/>
        </w:rPr>
        <w:br/>
        <w:t xml:space="preserve">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F4299E" w:rsidRPr="00E50A3D" w14:paraId="7299B204" w14:textId="77777777" w:rsidTr="0010627A">
        <w:trPr>
          <w:tblCellSpacing w:w="0" w:type="dxa"/>
        </w:trPr>
        <w:tc>
          <w:tcPr>
            <w:tcW w:w="0" w:type="auto"/>
            <w:gridSpan w:val="2"/>
            <w:tcBorders>
              <w:top w:val="single" w:sz="6" w:space="0" w:color="0098CE"/>
              <w:bottom w:val="single" w:sz="6" w:space="0" w:color="0098CE"/>
            </w:tcBorders>
            <w:shd w:val="clear" w:color="auto" w:fill="0098CE"/>
            <w:hideMark/>
          </w:tcPr>
          <w:p w14:paraId="52145F52" w14:textId="77777777" w:rsidR="00F4299E" w:rsidRPr="00E50A3D" w:rsidRDefault="00F4299E" w:rsidP="0010627A">
            <w:pPr>
              <w:spacing w:after="0" w:line="343" w:lineRule="atLeast"/>
              <w:jc w:val="center"/>
              <w:rPr>
                <w:rFonts w:ascii="Calibri" w:eastAsia="Times New Roman" w:hAnsi="Calibri" w:cs="Calibri"/>
                <w:b/>
                <w:bCs/>
                <w:color w:val="010C29"/>
                <w:sz w:val="24"/>
                <w:szCs w:val="24"/>
              </w:rPr>
            </w:pPr>
            <w:r w:rsidRPr="00E50A3D">
              <w:rPr>
                <w:rFonts w:ascii="Calibri" w:eastAsia="Times New Roman" w:hAnsi="Calibri" w:cs="Calibri"/>
                <w:b/>
                <w:bCs/>
                <w:color w:val="010C29"/>
                <w:sz w:val="24"/>
                <w:szCs w:val="24"/>
              </w:rPr>
              <w:t>​Related Methods ​</w:t>
            </w:r>
          </w:p>
        </w:tc>
      </w:tr>
      <w:tr w:rsidR="00F4299E" w:rsidRPr="00E50A3D" w14:paraId="7563A34E" w14:textId="77777777" w:rsidTr="0010627A">
        <w:trPr>
          <w:tblCellSpacing w:w="0" w:type="dxa"/>
        </w:trPr>
        <w:tc>
          <w:tcPr>
            <w:tcW w:w="2205" w:type="dxa"/>
            <w:shd w:val="clear" w:color="auto" w:fill="E6E6E6"/>
            <w:tcMar>
              <w:top w:w="48" w:type="dxa"/>
              <w:left w:w="120" w:type="dxa"/>
              <w:bottom w:w="48" w:type="dxa"/>
              <w:right w:w="48" w:type="dxa"/>
            </w:tcMar>
            <w:hideMark/>
          </w:tcPr>
          <w:p w14:paraId="0D4F2C82"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316B1DD1"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w:t>
            </w:r>
          </w:p>
        </w:tc>
      </w:tr>
      <w:tr w:rsidR="00F4299E" w:rsidRPr="00E50A3D" w14:paraId="3372C40E" w14:textId="77777777" w:rsidTr="0010627A">
        <w:trPr>
          <w:tblCellSpacing w:w="0" w:type="dxa"/>
        </w:trPr>
        <w:tc>
          <w:tcPr>
            <w:tcW w:w="2205" w:type="dxa"/>
            <w:tcMar>
              <w:top w:w="48" w:type="dxa"/>
              <w:left w:w="120" w:type="dxa"/>
              <w:bottom w:w="48" w:type="dxa"/>
              <w:right w:w="48" w:type="dxa"/>
            </w:tcMar>
            <w:hideMark/>
          </w:tcPr>
          <w:p w14:paraId="0A7CD303"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71B7CE50"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w:t>
            </w:r>
            <w:hyperlink r:id="rId10" w:history="1">
              <w:r w:rsidRPr="00E50A3D">
                <w:rPr>
                  <w:rFonts w:ascii="Calibri" w:eastAsia="Times New Roman" w:hAnsi="Calibri" w:cs="Calibri"/>
                  <w:b/>
                  <w:bCs/>
                  <w:color w:val="00188F"/>
                  <w:sz w:val="24"/>
                  <w:szCs w:val="24"/>
                </w:rPr>
                <w:t xml:space="preserve"> --</w:t>
              </w:r>
            </w:hyperlink>
          </w:p>
        </w:tc>
      </w:tr>
      <w:tr w:rsidR="00F4299E" w:rsidRPr="00E50A3D" w14:paraId="4000E2C4" w14:textId="77777777" w:rsidTr="0010627A">
        <w:trPr>
          <w:tblCellSpacing w:w="0" w:type="dxa"/>
        </w:trPr>
        <w:tc>
          <w:tcPr>
            <w:tcW w:w="2205" w:type="dxa"/>
            <w:shd w:val="clear" w:color="auto" w:fill="E6E6E6"/>
            <w:tcMar>
              <w:top w:w="48" w:type="dxa"/>
              <w:left w:w="120" w:type="dxa"/>
              <w:bottom w:w="48" w:type="dxa"/>
              <w:right w:w="48" w:type="dxa"/>
            </w:tcMar>
            <w:hideMark/>
          </w:tcPr>
          <w:p w14:paraId="54D823A1"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02DBA977" w14:textId="77777777" w:rsidR="00F4299E" w:rsidRPr="00E50A3D" w:rsidRDefault="00F4299E" w:rsidP="0010627A">
            <w:pPr>
              <w:spacing w:before="100" w:beforeAutospacing="1" w:after="100" w:afterAutospacing="1"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Critical Decision Method</w:t>
            </w:r>
            <w:r w:rsidRPr="00E50A3D">
              <w:rPr>
                <w:rFonts w:ascii="Calibri" w:eastAsia="Times New Roman" w:hAnsi="Calibri" w:cs="Calibri"/>
                <w:color w:val="010C29"/>
                <w:sz w:val="24"/>
                <w:szCs w:val="24"/>
              </w:rPr>
              <w:br/>
              <w:t>Ethnographic Study</w:t>
            </w:r>
          </w:p>
        </w:tc>
      </w:tr>
      <w:tr w:rsidR="00F4299E" w:rsidRPr="00E50A3D" w14:paraId="5A0302FA" w14:textId="77777777" w:rsidTr="0010627A">
        <w:trPr>
          <w:tblCellSpacing w:w="0" w:type="dxa"/>
        </w:trPr>
        <w:tc>
          <w:tcPr>
            <w:tcW w:w="2205" w:type="dxa"/>
            <w:tcMar>
              <w:top w:w="48" w:type="dxa"/>
              <w:left w:w="120" w:type="dxa"/>
              <w:bottom w:w="48" w:type="dxa"/>
              <w:right w:w="48" w:type="dxa"/>
            </w:tcMar>
            <w:hideMark/>
          </w:tcPr>
          <w:p w14:paraId="7D085D4E"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44F083F4" w14:textId="77777777" w:rsidR="00F4299E" w:rsidRPr="00E50A3D" w:rsidRDefault="00F4299E" w:rsidP="0010627A">
            <w:pPr>
              <w:spacing w:before="100" w:beforeAutospacing="1" w:after="100" w:afterAutospacing="1"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 xml:space="preserve">Interaction Design </w:t>
            </w:r>
          </w:p>
        </w:tc>
      </w:tr>
    </w:tbl>
    <w:p w14:paraId="40961AC5" w14:textId="77777777" w:rsidR="00F4299E" w:rsidRPr="00E50A3D" w:rsidRDefault="00F4299E" w:rsidP="00F4299E">
      <w:pPr>
        <w:spacing w:after="0" w:line="240" w:lineRule="auto"/>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284"/>
        <w:gridCol w:w="60"/>
      </w:tblGrid>
      <w:tr w:rsidR="00F4299E" w:rsidRPr="00E50A3D" w14:paraId="2FBB9F0F" w14:textId="77777777" w:rsidTr="0010627A">
        <w:trPr>
          <w:tblCellSpacing w:w="0" w:type="dxa"/>
        </w:trPr>
        <w:tc>
          <w:tcPr>
            <w:tcW w:w="0" w:type="auto"/>
            <w:gridSpan w:val="2"/>
            <w:tcBorders>
              <w:top w:val="single" w:sz="6" w:space="0" w:color="0098CE"/>
              <w:bottom w:val="single" w:sz="6" w:space="0" w:color="0098CE"/>
            </w:tcBorders>
            <w:shd w:val="clear" w:color="auto" w:fill="0098CE"/>
            <w:hideMark/>
          </w:tcPr>
          <w:p w14:paraId="598DCB43" w14:textId="77777777" w:rsidR="00F4299E" w:rsidRPr="00E50A3D" w:rsidRDefault="00F4299E" w:rsidP="0010627A">
            <w:pPr>
              <w:spacing w:after="0" w:line="343" w:lineRule="atLeast"/>
              <w:jc w:val="center"/>
              <w:rPr>
                <w:rFonts w:ascii="Calibri" w:eastAsia="Times New Roman" w:hAnsi="Calibri" w:cs="Calibri"/>
                <w:b/>
                <w:bCs/>
                <w:color w:val="010C29"/>
                <w:sz w:val="24"/>
                <w:szCs w:val="24"/>
              </w:rPr>
            </w:pPr>
            <w:r w:rsidRPr="00E50A3D">
              <w:rPr>
                <w:rFonts w:ascii="Calibri" w:eastAsia="Times New Roman" w:hAnsi="Calibri" w:cs="Calibri"/>
                <w:b/>
                <w:bCs/>
                <w:color w:val="010C29"/>
                <w:sz w:val="24"/>
                <w:szCs w:val="24"/>
              </w:rPr>
              <w:t>​Lessons Learned​</w:t>
            </w:r>
          </w:p>
        </w:tc>
      </w:tr>
      <w:tr w:rsidR="00F4299E" w:rsidRPr="00E50A3D" w14:paraId="1167CB34" w14:textId="77777777" w:rsidTr="0010627A">
        <w:trPr>
          <w:tblCellSpacing w:w="0" w:type="dxa"/>
        </w:trPr>
        <w:tc>
          <w:tcPr>
            <w:tcW w:w="0" w:type="auto"/>
            <w:shd w:val="clear" w:color="auto" w:fill="E6E6E6"/>
            <w:tcMar>
              <w:top w:w="48" w:type="dxa"/>
              <w:left w:w="120" w:type="dxa"/>
              <w:bottom w:w="48" w:type="dxa"/>
              <w:right w:w="48" w:type="dxa"/>
            </w:tcMar>
            <w:hideMark/>
          </w:tcPr>
          <w:p w14:paraId="4BD1D47F" w14:textId="77777777" w:rsidR="00F4299E" w:rsidRPr="00E50A3D" w:rsidRDefault="00F4299E" w:rsidP="0010627A">
            <w:pPr>
              <w:spacing w:before="100" w:beforeAutospacing="1" w:after="100" w:afterAutospacing="1" w:line="343" w:lineRule="atLeast"/>
              <w:jc w:val="both"/>
              <w:outlineLvl w:val="1"/>
              <w:rPr>
                <w:rFonts w:ascii="Segoe UI Semibold" w:eastAsia="Times New Roman" w:hAnsi="Segoe UI Semibold" w:cs="Segoe UI Semibold"/>
                <w:b/>
                <w:bCs/>
                <w:color w:val="000000"/>
                <w:sz w:val="35"/>
                <w:szCs w:val="35"/>
              </w:rPr>
            </w:pPr>
            <w:hyperlink r:id="rId11" w:history="1">
              <w:r w:rsidRPr="00E50A3D">
                <w:rPr>
                  <w:rFonts w:ascii="Segoe UI Semibold" w:eastAsia="Times New Roman" w:hAnsi="Segoe UI Semibold" w:cs="Segoe UI Semibold"/>
                  <w:b/>
                  <w:bCs/>
                  <w:color w:val="00188F"/>
                  <w:sz w:val="35"/>
                  <w:szCs w:val="35"/>
                </w:rPr>
                <w:t>Lessons Learned Journal</w:t>
              </w:r>
            </w:hyperlink>
          </w:p>
          <w:tbl>
            <w:tblPr>
              <w:tblW w:w="5000" w:type="pct"/>
              <w:tblCellSpacing w:w="0" w:type="dxa"/>
              <w:tblCellMar>
                <w:left w:w="0" w:type="dxa"/>
                <w:right w:w="0" w:type="dxa"/>
              </w:tblCellMar>
              <w:tblLook w:val="04A0" w:firstRow="1" w:lastRow="0" w:firstColumn="1" w:lastColumn="0" w:noHBand="0" w:noVBand="1"/>
            </w:tblPr>
            <w:tblGrid>
              <w:gridCol w:w="9101"/>
            </w:tblGrid>
            <w:tr w:rsidR="00F4299E" w:rsidRPr="00E50A3D" w14:paraId="582DB431" w14:textId="77777777" w:rsidTr="0010627A">
              <w:trPr>
                <w:tblCellSpacing w:w="0" w:type="dxa"/>
              </w:trPr>
              <w:tc>
                <w:tcPr>
                  <w:tcW w:w="0" w:type="auto"/>
                  <w:tcMar>
                    <w:top w:w="48" w:type="dxa"/>
                    <w:left w:w="120" w:type="dxa"/>
                    <w:bottom w:w="48" w:type="dxa"/>
                    <w:right w:w="48" w:type="dxa"/>
                  </w:tcMar>
                  <w:hideMark/>
                </w:tcPr>
                <w:tbl>
                  <w:tblPr>
                    <w:tblW w:w="0" w:type="auto"/>
                    <w:tblCellSpacing w:w="0" w:type="dxa"/>
                    <w:tblCellMar>
                      <w:top w:w="15" w:type="dxa"/>
                      <w:left w:w="15" w:type="dxa"/>
                      <w:bottom w:w="15" w:type="dxa"/>
                      <w:right w:w="15" w:type="dxa"/>
                    </w:tblCellMar>
                    <w:tblLook w:val="04A0" w:firstRow="1" w:lastRow="0" w:firstColumn="1" w:lastColumn="0" w:noHBand="0" w:noVBand="1"/>
                    <w:tblDescription w:val="Lessons Learned Journal"/>
                  </w:tblPr>
                  <w:tblGrid>
                    <w:gridCol w:w="662"/>
                    <w:gridCol w:w="471"/>
                  </w:tblGrid>
                  <w:tr w:rsidR="00F4299E" w:rsidRPr="00E50A3D" w14:paraId="00547B49" w14:textId="77777777" w:rsidTr="0010627A">
                    <w:trPr>
                      <w:tblHeader/>
                      <w:tblCellSpacing w:w="0" w:type="dxa"/>
                    </w:trPr>
                    <w:tc>
                      <w:tcPr>
                        <w:tcW w:w="0" w:type="auto"/>
                        <w:hideMark/>
                      </w:tcPr>
                      <w:p w14:paraId="4BD1E201" w14:textId="77777777" w:rsidR="00F4299E" w:rsidRPr="00E50A3D" w:rsidRDefault="00F4299E" w:rsidP="0010627A">
                        <w:pPr>
                          <w:spacing w:after="0" w:line="240" w:lineRule="auto"/>
                          <w:jc w:val="center"/>
                          <w:rPr>
                            <w:rFonts w:ascii="Calibri" w:eastAsia="Times New Roman" w:hAnsi="Calibri" w:cs="Calibri"/>
                            <w:b/>
                            <w:bCs/>
                            <w:color w:val="010C29"/>
                            <w:sz w:val="24"/>
                            <w:szCs w:val="24"/>
                          </w:rPr>
                        </w:pPr>
                        <w:r w:rsidRPr="00E50A3D">
                          <w:rPr>
                            <w:rFonts w:ascii="Calibri" w:eastAsia="Times New Roman" w:hAnsi="Calibri" w:cs="Calibri"/>
                            <w:b/>
                            <w:bCs/>
                            <w:color w:val="010C29"/>
                            <w:sz w:val="24"/>
                            <w:szCs w:val="24"/>
                          </w:rPr>
                          <w:lastRenderedPageBreak/>
                          <w:t>Topics</w:t>
                        </w:r>
                        <w:r w:rsidRPr="00E50A3D">
                          <w:rPr>
                            <w:rFonts w:ascii="Calibri" w:eastAsia="Times New Roman" w:hAnsi="Calibri" w:cs="Calibri"/>
                            <w:b/>
                            <w:bCs/>
                            <w:noProof/>
                            <w:vanish/>
                            <w:color w:val="010C29"/>
                            <w:sz w:val="24"/>
                            <w:szCs w:val="24"/>
                          </w:rPr>
                          <w:drawing>
                            <wp:inline distT="0" distB="0" distL="0" distR="0" wp14:anchorId="6B5426C1" wp14:editId="165FB1A0">
                              <wp:extent cx="2581275" cy="2552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p>
                      <w:p w14:paraId="4DD82059" w14:textId="77777777" w:rsidR="00F4299E" w:rsidRPr="00E50A3D" w:rsidRDefault="00F4299E" w:rsidP="0010627A">
                        <w:pPr>
                          <w:spacing w:after="0" w:line="240" w:lineRule="auto"/>
                          <w:jc w:val="center"/>
                          <w:rPr>
                            <w:rFonts w:ascii="Calibri" w:eastAsia="Times New Roman" w:hAnsi="Calibri" w:cs="Calibri"/>
                            <w:b/>
                            <w:bCs/>
                            <w:color w:val="010C29"/>
                            <w:sz w:val="24"/>
                            <w:szCs w:val="24"/>
                          </w:rPr>
                        </w:pPr>
                        <w:r w:rsidRPr="00E50A3D">
                          <w:rPr>
                            <w:rFonts w:ascii="Calibri" w:eastAsia="Times New Roman" w:hAnsi="Calibri" w:cs="Calibri"/>
                            <w:b/>
                            <w:bCs/>
                            <w:noProof/>
                            <w:color w:val="00188F"/>
                            <w:sz w:val="24"/>
                            <w:szCs w:val="24"/>
                          </w:rPr>
                          <w:drawing>
                            <wp:inline distT="0" distB="0" distL="0" distR="0" wp14:anchorId="702E162C" wp14:editId="33158807">
                              <wp:extent cx="66675" cy="38100"/>
                              <wp:effectExtent l="0" t="0" r="9525" b="0"/>
                              <wp:docPr id="4" name="Picture 4">
                                <a:hlinkClick xmlns:a="http://schemas.openxmlformats.org/drawingml/2006/main" r:id="rId13" tooltip="&quot;Ope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tooltip="&quot;Open Menu&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38100"/>
                                      </a:xfrm>
                                      <a:prstGeom prst="rect">
                                        <a:avLst/>
                                      </a:prstGeom>
                                      <a:noFill/>
                                      <a:ln>
                                        <a:noFill/>
                                      </a:ln>
                                    </pic:spPr>
                                  </pic:pic>
                                </a:graphicData>
                              </a:graphic>
                            </wp:inline>
                          </w:drawing>
                        </w:r>
                      </w:p>
                    </w:tc>
                    <w:tc>
                      <w:tcPr>
                        <w:tcW w:w="0" w:type="auto"/>
                        <w:hideMark/>
                      </w:tcPr>
                      <w:p w14:paraId="775DC3F4" w14:textId="77777777" w:rsidR="00F4299E" w:rsidRPr="00E50A3D" w:rsidRDefault="00F4299E" w:rsidP="0010627A">
                        <w:pPr>
                          <w:spacing w:after="0" w:line="240" w:lineRule="auto"/>
                          <w:jc w:val="center"/>
                          <w:rPr>
                            <w:rFonts w:ascii="Calibri" w:eastAsia="Times New Roman" w:hAnsi="Calibri" w:cs="Calibri"/>
                            <w:b/>
                            <w:bCs/>
                            <w:color w:val="010C29"/>
                            <w:sz w:val="24"/>
                            <w:szCs w:val="24"/>
                          </w:rPr>
                        </w:pPr>
                        <w:hyperlink r:id="rId15" w:history="1">
                          <w:r w:rsidRPr="00E50A3D">
                            <w:rPr>
                              <w:rFonts w:ascii="Calibri" w:eastAsia="Times New Roman" w:hAnsi="Calibri" w:cs="Calibri"/>
                              <w:b/>
                              <w:bCs/>
                              <w:color w:val="00188F"/>
                              <w:sz w:val="24"/>
                              <w:szCs w:val="24"/>
                            </w:rPr>
                            <w:t>Title</w:t>
                          </w:r>
                        </w:hyperlink>
                        <w:r w:rsidRPr="00E50A3D">
                          <w:rPr>
                            <w:rFonts w:ascii="Calibri" w:eastAsia="Times New Roman" w:hAnsi="Calibri" w:cs="Calibri"/>
                            <w:b/>
                            <w:bCs/>
                            <w:noProof/>
                            <w:vanish/>
                            <w:color w:val="010C29"/>
                            <w:sz w:val="24"/>
                            <w:szCs w:val="24"/>
                          </w:rPr>
                          <w:drawing>
                            <wp:inline distT="0" distB="0" distL="0" distR="0" wp14:anchorId="5C1039B3" wp14:editId="75827AF7">
                              <wp:extent cx="258127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r w:rsidRPr="00E50A3D">
                          <w:rPr>
                            <w:rFonts w:ascii="Calibri" w:eastAsia="Times New Roman" w:hAnsi="Calibri" w:cs="Calibri"/>
                            <w:b/>
                            <w:bCs/>
                            <w:noProof/>
                            <w:vanish/>
                            <w:color w:val="010C29"/>
                            <w:sz w:val="24"/>
                            <w:szCs w:val="24"/>
                          </w:rPr>
                          <w:drawing>
                            <wp:inline distT="0" distB="0" distL="0" distR="0" wp14:anchorId="29B447FF" wp14:editId="043ADBA1">
                              <wp:extent cx="258127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p>
                      <w:p w14:paraId="63336EBC" w14:textId="77777777" w:rsidR="00F4299E" w:rsidRPr="00E50A3D" w:rsidRDefault="00F4299E" w:rsidP="0010627A">
                        <w:pPr>
                          <w:spacing w:after="0" w:line="375" w:lineRule="atLeast"/>
                          <w:jc w:val="center"/>
                          <w:rPr>
                            <w:rFonts w:ascii="Calibri" w:eastAsia="Times New Roman" w:hAnsi="Calibri" w:cs="Calibri"/>
                            <w:b/>
                            <w:bCs/>
                            <w:color w:val="010C29"/>
                            <w:sz w:val="24"/>
                            <w:szCs w:val="24"/>
                          </w:rPr>
                        </w:pPr>
                        <w:r w:rsidRPr="00E50A3D">
                          <w:rPr>
                            <w:rFonts w:ascii="Calibri" w:eastAsia="Times New Roman" w:hAnsi="Calibri" w:cs="Calibri"/>
                            <w:b/>
                            <w:bCs/>
                            <w:noProof/>
                            <w:color w:val="00188F"/>
                            <w:sz w:val="24"/>
                            <w:szCs w:val="24"/>
                          </w:rPr>
                          <w:drawing>
                            <wp:inline distT="0" distB="0" distL="0" distR="0" wp14:anchorId="610868BB" wp14:editId="1AA6C572">
                              <wp:extent cx="66675" cy="38100"/>
                              <wp:effectExtent l="0" t="0" r="9525" b="0"/>
                              <wp:docPr id="1" name="Picture 1" descr="Open Menu">
                                <a:hlinkClick xmlns:a="http://schemas.openxmlformats.org/drawingml/2006/main" r:id="rId13" tooltip="&quot;Ope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Menu">
                                        <a:hlinkClick r:id="rId13" tooltip="&quot;Open Menu&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38100"/>
                                      </a:xfrm>
                                      <a:prstGeom prst="rect">
                                        <a:avLst/>
                                      </a:prstGeom>
                                      <a:noFill/>
                                      <a:ln>
                                        <a:noFill/>
                                      </a:ln>
                                    </pic:spPr>
                                  </pic:pic>
                                </a:graphicData>
                              </a:graphic>
                            </wp:inline>
                          </w:drawing>
                        </w:r>
                      </w:p>
                      <w:p w14:paraId="472C0F51" w14:textId="77777777" w:rsidR="00F4299E" w:rsidRPr="00E50A3D" w:rsidRDefault="00F4299E" w:rsidP="0010627A">
                        <w:pPr>
                          <w:spacing w:after="0" w:line="240" w:lineRule="auto"/>
                          <w:rPr>
                            <w:rFonts w:ascii="Calibri" w:eastAsia="Times New Roman" w:hAnsi="Calibri" w:cs="Calibri"/>
                            <w:color w:val="010C29"/>
                            <w:sz w:val="24"/>
                            <w:szCs w:val="24"/>
                          </w:rPr>
                        </w:pPr>
                      </w:p>
                    </w:tc>
                  </w:tr>
                </w:tbl>
                <w:p w14:paraId="440A3F5D" w14:textId="77777777" w:rsidR="00F4299E" w:rsidRPr="00E50A3D" w:rsidRDefault="00F4299E" w:rsidP="0010627A">
                  <w:pPr>
                    <w:spacing w:after="0" w:line="240" w:lineRule="auto"/>
                    <w:rPr>
                      <w:rFonts w:ascii="Calibri" w:eastAsia="Times New Roman" w:hAnsi="Calibri" w:cs="Calibri"/>
                      <w:color w:val="010C29"/>
                      <w:sz w:val="24"/>
                      <w:szCs w:val="24"/>
                    </w:rPr>
                  </w:pPr>
                </w:p>
              </w:tc>
            </w:tr>
          </w:tbl>
          <w:p w14:paraId="6C66A91E" w14:textId="77777777" w:rsidR="00F4299E" w:rsidRPr="00E50A3D" w:rsidRDefault="00F4299E" w:rsidP="0010627A">
            <w:pPr>
              <w:spacing w:after="0" w:line="343" w:lineRule="atLeast"/>
              <w:rPr>
                <w:rFonts w:ascii="Calibri" w:eastAsia="Times New Roman" w:hAnsi="Calibri" w:cs="Calibri"/>
                <w:vanish/>
                <w:color w:val="010C29"/>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8"/>
            </w:tblGrid>
            <w:tr w:rsidR="00F4299E" w:rsidRPr="00E50A3D" w14:paraId="07B9AA5E" w14:textId="77777777" w:rsidTr="0010627A">
              <w:trPr>
                <w:tblCellSpacing w:w="15" w:type="dxa"/>
              </w:trPr>
              <w:tc>
                <w:tcPr>
                  <w:tcW w:w="0" w:type="auto"/>
                  <w:tcMar>
                    <w:top w:w="48" w:type="dxa"/>
                    <w:left w:w="120" w:type="dxa"/>
                    <w:bottom w:w="48" w:type="dxa"/>
                    <w:right w:w="48" w:type="dxa"/>
                  </w:tcMar>
                  <w:hideMark/>
                </w:tcPr>
                <w:p w14:paraId="3972E4A0" w14:textId="77777777" w:rsidR="00F4299E" w:rsidRPr="00E50A3D" w:rsidRDefault="00F4299E" w:rsidP="0010627A">
                  <w:pPr>
                    <w:spacing w:after="0" w:line="240" w:lineRule="auto"/>
                    <w:rPr>
                      <w:rFonts w:ascii="Calibri" w:eastAsia="Times New Roman" w:hAnsi="Calibri" w:cs="Calibri"/>
                      <w:color w:val="010C29"/>
                      <w:sz w:val="24"/>
                      <w:szCs w:val="24"/>
                    </w:rPr>
                  </w:pPr>
                  <w:r w:rsidRPr="00E50A3D">
                    <w:rPr>
                      <w:rFonts w:ascii="Calibri" w:eastAsia="Times New Roman" w:hAnsi="Calibri" w:cs="Calibri"/>
                      <w:color w:val="010C29"/>
                      <w:sz w:val="24"/>
                      <w:szCs w:val="24"/>
                    </w:rPr>
                    <w:t>There are no items to show in this view of the "Lessons Learned Journal" list.</w:t>
                  </w:r>
                </w:p>
              </w:tc>
            </w:tr>
          </w:tbl>
          <w:p w14:paraId="78C97C43" w14:textId="77777777" w:rsidR="00F4299E" w:rsidRPr="00E50A3D" w:rsidRDefault="00F4299E" w:rsidP="0010627A">
            <w:pPr>
              <w:spacing w:after="0" w:line="343" w:lineRule="atLeast"/>
              <w:rPr>
                <w:rFonts w:ascii="Calibri" w:eastAsia="Times New Roman" w:hAnsi="Calibri" w:cs="Calibri"/>
                <w:vanish/>
                <w:color w:val="010C29"/>
                <w:sz w:val="24"/>
                <w:szCs w:val="24"/>
              </w:rPr>
            </w:pPr>
          </w:p>
          <w:tbl>
            <w:tblPr>
              <w:tblW w:w="0" w:type="auto"/>
              <w:tblCellSpacing w:w="0" w:type="dxa"/>
              <w:tblCellMar>
                <w:left w:w="0" w:type="dxa"/>
                <w:right w:w="0" w:type="dxa"/>
              </w:tblCellMar>
              <w:tblLook w:val="04A0" w:firstRow="1" w:lastRow="0" w:firstColumn="1" w:lastColumn="0" w:noHBand="0" w:noVBand="1"/>
            </w:tblPr>
            <w:tblGrid>
              <w:gridCol w:w="174"/>
            </w:tblGrid>
            <w:tr w:rsidR="00F4299E" w:rsidRPr="00E50A3D" w14:paraId="762581FC" w14:textId="77777777" w:rsidTr="0010627A">
              <w:trPr>
                <w:tblCellSpacing w:w="0" w:type="dxa"/>
              </w:trPr>
              <w:tc>
                <w:tcPr>
                  <w:tcW w:w="0" w:type="auto"/>
                  <w:tcMar>
                    <w:top w:w="48" w:type="dxa"/>
                    <w:left w:w="120" w:type="dxa"/>
                    <w:bottom w:w="48" w:type="dxa"/>
                    <w:right w:w="48" w:type="dxa"/>
                  </w:tcMar>
                  <w:hideMark/>
                </w:tcPr>
                <w:p w14:paraId="64B1054F" w14:textId="77777777" w:rsidR="00F4299E" w:rsidRPr="00E50A3D" w:rsidRDefault="00F4299E" w:rsidP="0010627A">
                  <w:pPr>
                    <w:spacing w:after="0" w:line="343" w:lineRule="atLeast"/>
                    <w:rPr>
                      <w:rFonts w:ascii="Calibri" w:eastAsia="Times New Roman" w:hAnsi="Calibri" w:cs="Calibri"/>
                      <w:color w:val="010C29"/>
                      <w:sz w:val="24"/>
                      <w:szCs w:val="24"/>
                    </w:rPr>
                  </w:pPr>
                </w:p>
              </w:tc>
            </w:tr>
          </w:tbl>
          <w:p w14:paraId="17F89C08" w14:textId="77777777" w:rsidR="00F4299E" w:rsidRPr="00E50A3D" w:rsidRDefault="00F4299E" w:rsidP="0010627A">
            <w:pPr>
              <w:spacing w:after="0" w:line="343" w:lineRule="atLeast"/>
              <w:rPr>
                <w:rFonts w:ascii="Calibri" w:eastAsia="Times New Roman" w:hAnsi="Calibri" w:cs="Calibri"/>
                <w:color w:val="010C29"/>
                <w:sz w:val="24"/>
                <w:szCs w:val="24"/>
              </w:rPr>
            </w:pPr>
          </w:p>
          <w:p w14:paraId="37869F92"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 </w:t>
            </w:r>
          </w:p>
          <w:p w14:paraId="42A47483"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 </w:t>
            </w:r>
          </w:p>
        </w:tc>
        <w:tc>
          <w:tcPr>
            <w:tcW w:w="0" w:type="auto"/>
            <w:shd w:val="clear" w:color="auto" w:fill="E6E6E6"/>
            <w:vAlign w:val="center"/>
            <w:hideMark/>
          </w:tcPr>
          <w:p w14:paraId="3A16A294" w14:textId="77777777" w:rsidR="00F4299E" w:rsidRPr="00E50A3D" w:rsidRDefault="00F4299E" w:rsidP="0010627A">
            <w:pPr>
              <w:spacing w:after="0" w:line="343" w:lineRule="atLeast"/>
              <w:rPr>
                <w:rFonts w:ascii="Times New Roman" w:eastAsia="Times New Roman" w:hAnsi="Times New Roman" w:cs="Times New Roman"/>
                <w:sz w:val="20"/>
                <w:szCs w:val="20"/>
              </w:rPr>
            </w:pPr>
          </w:p>
        </w:tc>
      </w:tr>
    </w:tbl>
    <w:p w14:paraId="55EB4FA6" w14:textId="77777777" w:rsidR="00F4299E" w:rsidRPr="00E50A3D" w:rsidRDefault="00F4299E" w:rsidP="00F4299E">
      <w:pPr>
        <w:spacing w:after="0" w:line="240" w:lineRule="auto"/>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293"/>
        <w:gridCol w:w="51"/>
      </w:tblGrid>
      <w:tr w:rsidR="00F4299E" w:rsidRPr="00E50A3D" w14:paraId="32150F00" w14:textId="77777777" w:rsidTr="0010627A">
        <w:trPr>
          <w:tblCellSpacing w:w="0" w:type="dxa"/>
        </w:trPr>
        <w:tc>
          <w:tcPr>
            <w:tcW w:w="0" w:type="auto"/>
            <w:gridSpan w:val="2"/>
            <w:tcBorders>
              <w:top w:val="single" w:sz="6" w:space="0" w:color="0098CE"/>
              <w:bottom w:val="single" w:sz="6" w:space="0" w:color="0098CE"/>
            </w:tcBorders>
            <w:shd w:val="clear" w:color="auto" w:fill="0098CE"/>
            <w:hideMark/>
          </w:tcPr>
          <w:p w14:paraId="3F5B7144" w14:textId="77777777" w:rsidR="00F4299E" w:rsidRPr="00E50A3D" w:rsidRDefault="00F4299E" w:rsidP="0010627A">
            <w:pPr>
              <w:spacing w:after="0" w:line="343" w:lineRule="atLeast"/>
              <w:jc w:val="center"/>
              <w:rPr>
                <w:rFonts w:ascii="Calibri" w:eastAsia="Times New Roman" w:hAnsi="Calibri" w:cs="Calibri"/>
                <w:b/>
                <w:bCs/>
                <w:color w:val="010C29"/>
                <w:sz w:val="24"/>
                <w:szCs w:val="24"/>
              </w:rPr>
            </w:pPr>
            <w:r w:rsidRPr="00E50A3D">
              <w:rPr>
                <w:rFonts w:ascii="Calibri" w:eastAsia="Times New Roman" w:hAnsi="Calibri" w:cs="Calibri"/>
                <w:b/>
                <w:bCs/>
                <w:color w:val="010C29"/>
                <w:sz w:val="24"/>
                <w:szCs w:val="24"/>
              </w:rPr>
              <w:t>​Referenced on this page...</w:t>
            </w:r>
          </w:p>
        </w:tc>
      </w:tr>
      <w:tr w:rsidR="00F4299E" w:rsidRPr="00E50A3D" w14:paraId="70B50380" w14:textId="77777777" w:rsidTr="0010627A">
        <w:trPr>
          <w:tblCellSpacing w:w="0" w:type="dxa"/>
        </w:trPr>
        <w:tc>
          <w:tcPr>
            <w:tcW w:w="0" w:type="auto"/>
            <w:shd w:val="clear" w:color="auto" w:fill="E6E6E6"/>
            <w:tcMar>
              <w:top w:w="48" w:type="dxa"/>
              <w:left w:w="120" w:type="dxa"/>
              <w:bottom w:w="48" w:type="dxa"/>
              <w:right w:w="48" w:type="dxa"/>
            </w:tcMar>
            <w:hideMark/>
          </w:tcPr>
          <w:p w14:paraId="6CED4FE9"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 xml:space="preserve">Crandall, B., Klein, G. A., &amp; Hoffman, R. R. (2006). Working minds: A practitioner's guide to cognitive task analysis: </w:t>
            </w:r>
            <w:proofErr w:type="spellStart"/>
            <w:r w:rsidRPr="00E50A3D">
              <w:rPr>
                <w:rFonts w:ascii="Calibri" w:eastAsia="Times New Roman" w:hAnsi="Calibri" w:cs="Calibri"/>
                <w:color w:val="010C29"/>
                <w:sz w:val="24"/>
                <w:szCs w:val="24"/>
              </w:rPr>
              <w:t>Mit</w:t>
            </w:r>
            <w:proofErr w:type="spellEnd"/>
            <w:r w:rsidRPr="00E50A3D">
              <w:rPr>
                <w:rFonts w:ascii="Calibri" w:eastAsia="Times New Roman" w:hAnsi="Calibri" w:cs="Calibri"/>
                <w:color w:val="010C29"/>
                <w:sz w:val="24"/>
                <w:szCs w:val="24"/>
              </w:rPr>
              <w:t xml:space="preserve"> Press. </w:t>
            </w:r>
          </w:p>
          <w:p w14:paraId="671F8079" w14:textId="77777777" w:rsidR="00F4299E" w:rsidRPr="00E50A3D" w:rsidRDefault="00F4299E" w:rsidP="0010627A">
            <w:pPr>
              <w:spacing w:after="0" w:line="343" w:lineRule="atLeast"/>
              <w:rPr>
                <w:rFonts w:ascii="Calibri" w:eastAsia="Times New Roman" w:hAnsi="Calibri" w:cs="Calibri"/>
                <w:color w:val="010C29"/>
                <w:sz w:val="24"/>
                <w:szCs w:val="24"/>
              </w:rPr>
            </w:pPr>
          </w:p>
          <w:p w14:paraId="3E909246"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Hoffman, R. R., Crandall, B., &amp; Shadbolt, N. (1998). Use of the critical decision method to elicit expert knowledge: A case study in the methodology of cognitive task analysis. Human Factors, 40(2), 254-276.</w:t>
            </w:r>
          </w:p>
          <w:p w14:paraId="4B486BFC" w14:textId="77777777" w:rsidR="00F4299E" w:rsidRPr="00E50A3D" w:rsidRDefault="00F4299E" w:rsidP="0010627A">
            <w:pPr>
              <w:spacing w:after="0" w:line="343" w:lineRule="atLeast"/>
              <w:rPr>
                <w:rFonts w:ascii="Calibri" w:eastAsia="Times New Roman" w:hAnsi="Calibri" w:cs="Calibri"/>
                <w:color w:val="010C29"/>
                <w:sz w:val="24"/>
                <w:szCs w:val="24"/>
              </w:rPr>
            </w:pPr>
          </w:p>
          <w:p w14:paraId="3463733F"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 xml:space="preserve">Klein, G. A. (2017). Sources of power: How people make decisions: MIT </w:t>
            </w:r>
            <w:proofErr w:type="gramStart"/>
            <w:r w:rsidRPr="00E50A3D">
              <w:rPr>
                <w:rFonts w:ascii="Calibri" w:eastAsia="Times New Roman" w:hAnsi="Calibri" w:cs="Calibri"/>
                <w:color w:val="010C29"/>
                <w:sz w:val="24"/>
                <w:szCs w:val="24"/>
              </w:rPr>
              <w:t>press.​</w:t>
            </w:r>
            <w:proofErr w:type="gramEnd"/>
          </w:p>
          <w:p w14:paraId="6649036A" w14:textId="77777777" w:rsidR="00F4299E" w:rsidRPr="00E50A3D" w:rsidRDefault="00F4299E" w:rsidP="0010627A">
            <w:pPr>
              <w:spacing w:after="0" w:line="343" w:lineRule="atLeast"/>
              <w:rPr>
                <w:rFonts w:ascii="Calibri" w:eastAsia="Times New Roman" w:hAnsi="Calibri" w:cs="Calibri"/>
                <w:color w:val="010C29"/>
                <w:sz w:val="24"/>
                <w:szCs w:val="24"/>
              </w:rPr>
            </w:pPr>
          </w:p>
          <w:p w14:paraId="1A14D6F2" w14:textId="77777777" w:rsidR="00F4299E" w:rsidRPr="00E50A3D" w:rsidRDefault="00F4299E" w:rsidP="0010627A">
            <w:pPr>
              <w:spacing w:after="0" w:line="343" w:lineRule="atLeast"/>
              <w:rPr>
                <w:rFonts w:ascii="Calibri" w:eastAsia="Times New Roman" w:hAnsi="Calibri" w:cs="Calibri"/>
                <w:color w:val="010C29"/>
                <w:sz w:val="24"/>
                <w:szCs w:val="24"/>
              </w:rPr>
            </w:pPr>
            <w:proofErr w:type="spellStart"/>
            <w:r w:rsidRPr="00E50A3D">
              <w:rPr>
                <w:rFonts w:ascii="Calibri" w:eastAsia="Times New Roman" w:hAnsi="Calibri" w:cs="Calibri"/>
                <w:color w:val="010C29"/>
                <w:sz w:val="24"/>
                <w:szCs w:val="24"/>
              </w:rPr>
              <w:t>Militello</w:t>
            </w:r>
            <w:proofErr w:type="spellEnd"/>
            <w:r w:rsidRPr="00E50A3D">
              <w:rPr>
                <w:rFonts w:ascii="Calibri" w:eastAsia="Times New Roman" w:hAnsi="Calibri" w:cs="Calibri"/>
                <w:color w:val="010C29"/>
                <w:sz w:val="24"/>
                <w:szCs w:val="24"/>
              </w:rPr>
              <w:t xml:space="preserve">, L. G., Hutton, R. J., </w:t>
            </w:r>
            <w:proofErr w:type="spellStart"/>
            <w:r w:rsidRPr="00E50A3D">
              <w:rPr>
                <w:rFonts w:ascii="Calibri" w:eastAsia="Times New Roman" w:hAnsi="Calibri" w:cs="Calibri"/>
                <w:color w:val="010C29"/>
                <w:sz w:val="24"/>
                <w:szCs w:val="24"/>
              </w:rPr>
              <w:t>Pliske</w:t>
            </w:r>
            <w:proofErr w:type="spellEnd"/>
            <w:r w:rsidRPr="00E50A3D">
              <w:rPr>
                <w:rFonts w:ascii="Calibri" w:eastAsia="Times New Roman" w:hAnsi="Calibri" w:cs="Calibri"/>
                <w:color w:val="010C29"/>
                <w:sz w:val="24"/>
                <w:szCs w:val="24"/>
              </w:rPr>
              <w:t>, R. M., Knight, B. J., &amp; Klein, G., Randel, J. (1997). Applied cognitive task analysis (ACTA) methodology. Fairborn, OH: Klein Associates Inc. ​</w:t>
            </w:r>
          </w:p>
          <w:p w14:paraId="2C86C8CC" w14:textId="77777777" w:rsidR="00F4299E" w:rsidRPr="00E50A3D" w:rsidRDefault="00F4299E" w:rsidP="0010627A">
            <w:pPr>
              <w:spacing w:after="0" w:line="343" w:lineRule="atLeast"/>
              <w:rPr>
                <w:rFonts w:ascii="Calibri" w:eastAsia="Times New Roman" w:hAnsi="Calibri" w:cs="Calibri"/>
                <w:color w:val="010C29"/>
                <w:sz w:val="24"/>
                <w:szCs w:val="24"/>
              </w:rPr>
            </w:pPr>
          </w:p>
          <w:p w14:paraId="49D20D81" w14:textId="77777777" w:rsidR="00F4299E" w:rsidRPr="00E50A3D" w:rsidRDefault="00F4299E" w:rsidP="0010627A">
            <w:pPr>
              <w:spacing w:after="0" w:line="343" w:lineRule="atLeast"/>
              <w:rPr>
                <w:rFonts w:ascii="Calibri" w:eastAsia="Times New Roman" w:hAnsi="Calibri" w:cs="Calibri"/>
                <w:color w:val="010C29"/>
                <w:sz w:val="24"/>
                <w:szCs w:val="24"/>
              </w:rPr>
            </w:pPr>
            <w:proofErr w:type="spellStart"/>
            <w:r w:rsidRPr="00E50A3D">
              <w:rPr>
                <w:rFonts w:ascii="Calibri" w:eastAsia="Times New Roman" w:hAnsi="Calibri" w:cs="Calibri"/>
                <w:color w:val="010C29"/>
                <w:sz w:val="24"/>
                <w:szCs w:val="24"/>
              </w:rPr>
              <w:t>Militello</w:t>
            </w:r>
            <w:proofErr w:type="spellEnd"/>
            <w:r w:rsidRPr="00E50A3D">
              <w:rPr>
                <w:rFonts w:ascii="Calibri" w:eastAsia="Times New Roman" w:hAnsi="Calibri" w:cs="Calibri"/>
                <w:color w:val="010C29"/>
                <w:sz w:val="24"/>
                <w:szCs w:val="24"/>
              </w:rPr>
              <w:t>, L. G., &amp; Hutton, R. J. B. (1998). Applied cognitive task analysis (ACTA): a practitioner's toolkit for understanding cognitive task demands. Ergonomics, 41(11), 1618-1641. doi:10.1080/001401398186108​</w:t>
            </w:r>
          </w:p>
          <w:p w14:paraId="1A5CEE13" w14:textId="77777777" w:rsidR="00F4299E" w:rsidRPr="00E50A3D" w:rsidRDefault="00F4299E" w:rsidP="0010627A">
            <w:pPr>
              <w:spacing w:after="0" w:line="343" w:lineRule="atLeast"/>
              <w:rPr>
                <w:rFonts w:ascii="Calibri" w:eastAsia="Times New Roman" w:hAnsi="Calibri" w:cs="Calibri"/>
                <w:color w:val="010C29"/>
                <w:sz w:val="24"/>
                <w:szCs w:val="24"/>
              </w:rPr>
            </w:pPr>
          </w:p>
          <w:p w14:paraId="7A260B11" w14:textId="77777777" w:rsidR="00F4299E" w:rsidRPr="00E50A3D" w:rsidRDefault="00F4299E" w:rsidP="0010627A">
            <w:pPr>
              <w:spacing w:after="0" w:line="343" w:lineRule="atLeast"/>
              <w:rPr>
                <w:rFonts w:ascii="Calibri" w:eastAsia="Times New Roman" w:hAnsi="Calibri" w:cs="Calibri"/>
                <w:color w:val="010C29"/>
                <w:sz w:val="24"/>
                <w:szCs w:val="24"/>
              </w:rPr>
            </w:pPr>
            <w:r w:rsidRPr="00E50A3D">
              <w:rPr>
                <w:rFonts w:ascii="Calibri" w:eastAsia="Times New Roman" w:hAnsi="Calibri" w:cs="Calibri"/>
                <w:color w:val="010C29"/>
                <w:sz w:val="24"/>
                <w:szCs w:val="24"/>
              </w:rPr>
              <w:t xml:space="preserve">O’Hare, D., Wiggins, M., Williams, A., &amp; Wong, W. (2000). Cognitive task analysis for decision </w:t>
            </w:r>
            <w:proofErr w:type="spellStart"/>
            <w:r w:rsidRPr="00E50A3D">
              <w:rPr>
                <w:rFonts w:ascii="Calibri" w:eastAsia="Times New Roman" w:hAnsi="Calibri" w:cs="Calibri"/>
                <w:color w:val="010C29"/>
                <w:sz w:val="24"/>
                <w:szCs w:val="24"/>
              </w:rPr>
              <w:t>centred</w:t>
            </w:r>
            <w:proofErr w:type="spellEnd"/>
            <w:r w:rsidRPr="00E50A3D">
              <w:rPr>
                <w:rFonts w:ascii="Calibri" w:eastAsia="Times New Roman" w:hAnsi="Calibri" w:cs="Calibri"/>
                <w:color w:val="010C29"/>
                <w:sz w:val="24"/>
                <w:szCs w:val="24"/>
              </w:rPr>
              <w:t xml:space="preserve"> design and training. Task analysis, 170-</w:t>
            </w:r>
            <w:proofErr w:type="gramStart"/>
            <w:r w:rsidRPr="00E50A3D">
              <w:rPr>
                <w:rFonts w:ascii="Calibri" w:eastAsia="Times New Roman" w:hAnsi="Calibri" w:cs="Calibri"/>
                <w:color w:val="010C29"/>
                <w:sz w:val="24"/>
                <w:szCs w:val="24"/>
              </w:rPr>
              <w:t>190.​</w:t>
            </w:r>
            <w:proofErr w:type="gramEnd"/>
          </w:p>
        </w:tc>
        <w:tc>
          <w:tcPr>
            <w:tcW w:w="0" w:type="auto"/>
            <w:shd w:val="clear" w:color="auto" w:fill="E6E6E6"/>
            <w:vAlign w:val="center"/>
            <w:hideMark/>
          </w:tcPr>
          <w:p w14:paraId="208385E9" w14:textId="77777777" w:rsidR="00F4299E" w:rsidRPr="00E50A3D" w:rsidRDefault="00F4299E" w:rsidP="0010627A">
            <w:pPr>
              <w:spacing w:after="0" w:line="343" w:lineRule="atLeast"/>
              <w:rPr>
                <w:rFonts w:ascii="Times New Roman" w:eastAsia="Times New Roman" w:hAnsi="Times New Roman" w:cs="Times New Roman"/>
                <w:sz w:val="20"/>
                <w:szCs w:val="20"/>
              </w:rPr>
            </w:pPr>
          </w:p>
        </w:tc>
      </w:tr>
    </w:tbl>
    <w:p w14:paraId="128E8850" w14:textId="77777777" w:rsidR="00F4299E" w:rsidRDefault="00F4299E"/>
    <w:sectPr w:rsidR="00F4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C03"/>
    <w:multiLevelType w:val="multilevel"/>
    <w:tmpl w:val="799E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E3D56"/>
    <w:multiLevelType w:val="multilevel"/>
    <w:tmpl w:val="BB74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76FB3"/>
    <w:multiLevelType w:val="hybridMultilevel"/>
    <w:tmpl w:val="F0D4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E71FB"/>
    <w:multiLevelType w:val="multilevel"/>
    <w:tmpl w:val="E2F2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F30950"/>
    <w:multiLevelType w:val="hybridMultilevel"/>
    <w:tmpl w:val="0846CD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745F6"/>
    <w:multiLevelType w:val="hybridMultilevel"/>
    <w:tmpl w:val="4F22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E1248"/>
    <w:multiLevelType w:val="multilevel"/>
    <w:tmpl w:val="2176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012A85"/>
    <w:multiLevelType w:val="multilevel"/>
    <w:tmpl w:val="BFDE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BD21EB"/>
    <w:multiLevelType w:val="hybridMultilevel"/>
    <w:tmpl w:val="DB62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3"/>
  </w:num>
  <w:num w:numId="6">
    <w:abstractNumId w:val="4"/>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9C6"/>
    <w:rsid w:val="00325B38"/>
    <w:rsid w:val="00431AD8"/>
    <w:rsid w:val="00465DFC"/>
    <w:rsid w:val="004B2CB1"/>
    <w:rsid w:val="005B7C31"/>
    <w:rsid w:val="006B73B0"/>
    <w:rsid w:val="00780D99"/>
    <w:rsid w:val="00837F3B"/>
    <w:rsid w:val="008B32F6"/>
    <w:rsid w:val="009A0159"/>
    <w:rsid w:val="00B12720"/>
    <w:rsid w:val="00C87576"/>
    <w:rsid w:val="00D35168"/>
    <w:rsid w:val="00EA59C6"/>
    <w:rsid w:val="00EB2E24"/>
    <w:rsid w:val="00F4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E52A"/>
  <w15:chartTrackingRefBased/>
  <w15:docId w15:val="{7768D3D9-7DEE-4289-82E6-2A5D6672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59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59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9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59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59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59C6"/>
    <w:rPr>
      <w:color w:val="0000FF"/>
      <w:u w:val="single"/>
    </w:rPr>
  </w:style>
  <w:style w:type="paragraph" w:styleId="ListParagraph">
    <w:name w:val="List Paragraph"/>
    <w:basedOn w:val="Normal"/>
    <w:uiPriority w:val="34"/>
    <w:qFormat/>
    <w:rsid w:val="009A0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72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portal2.va.gov/sites/humanfactors/BoKContent/Cognitive%20Demands%20Table.jpg" TargetMode="External"/><Relationship Id="rId13"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https://vaww.portal2.va.gov/sites/humanfactors/BoKContent/Knowledge%20Audit%20of%20Search%20and%20rescue%20procedure%20with%20Fireground%20Commander.jp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aww.portal2.va.gov/sites/humanfactors/BoKContent/Process%20and%20Task%20Map.pdf" TargetMode="External"/><Relationship Id="rId11" Type="http://schemas.openxmlformats.org/officeDocument/2006/relationships/hyperlink" Target="https://vaww.portal2.va.gov/sites/humanfactors/Lists/LLJ" TargetMode="External"/><Relationship Id="rId5" Type="http://schemas.openxmlformats.org/officeDocument/2006/relationships/hyperlink" Target="https://www.researchgate.net/publication/235085712_Applied_Cognitive_Task_Analysis_ACTA_Methodology" TargetMode="External"/><Relationship Id="rId15" Type="http://schemas.openxmlformats.org/officeDocument/2006/relationships/hyperlink" Target="javascript:" TargetMode="External"/><Relationship Id="rId10" Type="http://schemas.openxmlformats.org/officeDocument/2006/relationships/hyperlink" Target="https://vaww.portal2.va.gov/sites/humanfactors/BoKSitePages/Methods/User%20Survey%20-%20Questionnaire.aspx" TargetMode="External"/><Relationship Id="rId4" Type="http://schemas.openxmlformats.org/officeDocument/2006/relationships/webSettings" Target="webSettings.xml"/><Relationship Id="rId9" Type="http://schemas.openxmlformats.org/officeDocument/2006/relationships/hyperlink" Target="https://vaww.portal2.va.gov/sites/humanfactors/_layouts/15/xlviewer.aspx?id=/sites/humanfactors/BoKContent/DJART%20table.xlsx&amp;Source=https%3A%2F%2Fvaww%2Eportal2%2Eva%2Egov%2Fsites%2Fhumanfactors%2FBoKContent%2FForms%2FAllItems%2E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Gajewski</dc:creator>
  <cp:keywords/>
  <dc:description/>
  <cp:lastModifiedBy>Dan Gajewski</cp:lastModifiedBy>
  <cp:revision>8</cp:revision>
  <dcterms:created xsi:type="dcterms:W3CDTF">2020-02-20T22:12:00Z</dcterms:created>
  <dcterms:modified xsi:type="dcterms:W3CDTF">2020-04-14T19:34:00Z</dcterms:modified>
</cp:coreProperties>
</file>