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C681C" w14:textId="77777777" w:rsidR="0091647D" w:rsidRDefault="0091647D" w:rsidP="0091647D">
      <w:pPr>
        <w:pStyle w:val="Heading1"/>
        <w:spacing w:before="0" w:beforeAutospacing="0" w:after="0" w:afterAutospacing="0"/>
        <w:rPr>
          <w:color w:val="205493"/>
          <w:sz w:val="43"/>
          <w:szCs w:val="43"/>
        </w:rPr>
      </w:pPr>
      <w:r>
        <w:rPr>
          <w:color w:val="205493"/>
          <w:sz w:val="43"/>
          <w:szCs w:val="43"/>
        </w:rPr>
        <w:t>Screen Consultation</w:t>
      </w:r>
    </w:p>
    <w:p w14:paraId="4272EA6A" w14:textId="77777777" w:rsidR="0091647D" w:rsidRDefault="0091647D" w:rsidP="0091647D">
      <w:pPr>
        <w:shd w:val="clear" w:color="auto" w:fill="FFFEED"/>
        <w:rPr>
          <w:rFonts w:ascii="Calibri" w:hAnsi="Calibri" w:cs="Calibri"/>
          <w:color w:val="003F72"/>
        </w:rPr>
      </w:pPr>
      <w:r>
        <w:rPr>
          <w:rFonts w:ascii="Calibri" w:hAnsi="Calibri" w:cs="Calibri"/>
          <w:color w:val="003F72"/>
        </w:rPr>
        <w:t>A UX practitioner reviewing and providing informal feedback on a small number of UI designs. This service is designed to support weekly sprint reviews for Agile development.</w:t>
      </w:r>
    </w:p>
    <w:p w14:paraId="4D97C218" w14:textId="77777777" w:rsidR="0091647D" w:rsidRDefault="0091647D" w:rsidP="0091647D">
      <w:pPr>
        <w:rPr>
          <w:rFonts w:ascii="Calibri" w:hAnsi="Calibri" w:cs="Calibri"/>
          <w:color w:val="010C29"/>
          <w:sz w:val="24"/>
          <w:szCs w:val="24"/>
        </w:rPr>
      </w:pPr>
      <w:r>
        <w:rPr>
          <w:rFonts w:ascii="Calibri" w:hAnsi="Calibri" w:cs="Calibri"/>
          <w:color w:val="010C29"/>
        </w:rPr>
        <w:t>Screen Consultations involve a UX practitioner reviewing and providing informal feedback on a small number of UI designs (screenshots or a functional prototype). This method relies on the experience of the UX practitioner, and not that of actual users.</w:t>
      </w:r>
    </w:p>
    <w:p w14:paraId="51FDE789" w14:textId="77777777" w:rsidR="0091647D" w:rsidRDefault="0091647D" w:rsidP="0091647D">
      <w:pPr>
        <w:rPr>
          <w:rFonts w:ascii="Calibri" w:hAnsi="Calibri" w:cs="Calibri"/>
          <w:color w:val="010C29"/>
        </w:rPr>
      </w:pPr>
      <w:r>
        <w:rPr>
          <w:rFonts w:ascii="Calibri" w:hAnsi="Calibri" w:cs="Calibri"/>
          <w:color w:val="010C29"/>
        </w:rPr>
        <w:t> </w:t>
      </w:r>
    </w:p>
    <w:p w14:paraId="14A8644A" w14:textId="77777777" w:rsidR="0091647D" w:rsidRDefault="0091647D" w:rsidP="0091647D">
      <w:pPr>
        <w:rPr>
          <w:rFonts w:ascii="Calibri" w:hAnsi="Calibri" w:cs="Calibri"/>
          <w:color w:val="010C29"/>
        </w:rPr>
      </w:pPr>
      <w:r>
        <w:rPr>
          <w:rFonts w:ascii="Calibri" w:hAnsi="Calibri" w:cs="Calibri"/>
          <w:color w:val="010C29"/>
        </w:rPr>
        <w:t>Less of a defined method, and more of an ad hoc consultation, this activity can be leveraged early in development to help avoid common design pitfalls before they develop into time-wasting usability gaffs. This service is designed to support weekly sprint reviews for Agile development.</w:t>
      </w:r>
    </w:p>
    <w:p w14:paraId="1B1C257B" w14:textId="77777777" w:rsidR="0091647D" w:rsidRDefault="0091647D" w:rsidP="0091647D">
      <w:pPr>
        <w:pStyle w:val="Heading2"/>
        <w:spacing w:before="0" w:beforeAutospacing="0" w:after="0" w:afterAutospacing="0"/>
        <w:rPr>
          <w:color w:val="205493"/>
          <w:sz w:val="34"/>
          <w:szCs w:val="34"/>
        </w:rPr>
      </w:pPr>
      <w:r>
        <w:rPr>
          <w:color w:val="205493"/>
          <w:sz w:val="34"/>
          <w:szCs w:val="34"/>
        </w:rPr>
        <w:t>Benefits</w:t>
      </w:r>
    </w:p>
    <w:p w14:paraId="21D694CF" w14:textId="77777777" w:rsidR="0091647D" w:rsidRDefault="0091647D" w:rsidP="009164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color w:val="010C29"/>
          <w:sz w:val="24"/>
          <w:szCs w:val="24"/>
        </w:rPr>
      </w:pPr>
      <w:r>
        <w:rPr>
          <w:rFonts w:ascii="Calibri" w:hAnsi="Calibri" w:cs="Calibri"/>
          <w:color w:val="010C29"/>
        </w:rPr>
        <w:t>Catches potential problems before they are committed to code.</w:t>
      </w:r>
    </w:p>
    <w:p w14:paraId="40179AB9" w14:textId="77777777" w:rsidR="0091647D" w:rsidRDefault="0091647D" w:rsidP="009164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color w:val="010C29"/>
        </w:rPr>
      </w:pPr>
      <w:r>
        <w:rPr>
          <w:rFonts w:ascii="Calibri" w:hAnsi="Calibri" w:cs="Calibri"/>
          <w:color w:val="010C29"/>
        </w:rPr>
        <w:t>Instills a user focus with developers early in the process and guide them to approaches that have been successful in other engagements.</w:t>
      </w:r>
    </w:p>
    <w:p w14:paraId="649776A8" w14:textId="77777777" w:rsidR="0091647D" w:rsidRDefault="0091647D" w:rsidP="0091647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" w:hAnsi="Calibri" w:cs="Calibri"/>
          <w:color w:val="010C29"/>
        </w:rPr>
      </w:pPr>
      <w:r>
        <w:rPr>
          <w:rFonts w:ascii="Calibri" w:hAnsi="Calibri" w:cs="Calibri"/>
          <w:color w:val="010C29"/>
        </w:rPr>
        <w:t>Sets the expectation that they UI will be tested further, and creates eagerness to work with HFE experts in the future.</w:t>
      </w:r>
    </w:p>
    <w:p w14:paraId="21B007DD" w14:textId="77777777" w:rsidR="0091647D" w:rsidRDefault="0091647D" w:rsidP="0091647D">
      <w:pPr>
        <w:pStyle w:val="Heading2"/>
        <w:spacing w:before="0" w:beforeAutospacing="0" w:after="0" w:afterAutospacing="0"/>
        <w:rPr>
          <w:color w:val="205493"/>
          <w:sz w:val="34"/>
          <w:szCs w:val="34"/>
        </w:rPr>
      </w:pPr>
      <w:r>
        <w:rPr>
          <w:color w:val="205493"/>
          <w:sz w:val="34"/>
          <w:szCs w:val="34"/>
        </w:rPr>
        <w:t>Limitations</w:t>
      </w:r>
    </w:p>
    <w:p w14:paraId="792A7449" w14:textId="77777777" w:rsidR="0091647D" w:rsidRDefault="0091647D" w:rsidP="009164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  <w:color w:val="010C29"/>
          <w:sz w:val="24"/>
          <w:szCs w:val="24"/>
        </w:rPr>
      </w:pPr>
      <w:r>
        <w:rPr>
          <w:rFonts w:ascii="Calibri" w:hAnsi="Calibri" w:cs="Calibri"/>
          <w:color w:val="010C29"/>
        </w:rPr>
        <w:t xml:space="preserve">Practitioners must either spend sufficient time understanding user and their needs before giving answers, or run the risk of giving bad advice. </w:t>
      </w:r>
    </w:p>
    <w:p w14:paraId="6CBC0DE7" w14:textId="77777777" w:rsidR="0091647D" w:rsidRDefault="0091647D" w:rsidP="0091647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" w:hAnsi="Calibri" w:cs="Calibri"/>
          <w:color w:val="010C29"/>
        </w:rPr>
      </w:pPr>
      <w:r>
        <w:rPr>
          <w:rFonts w:ascii="Calibri" w:hAnsi="Calibri" w:cs="Calibri"/>
          <w:color w:val="010C29"/>
        </w:rPr>
        <w:t xml:space="preserve">Appropriate advice for a specific consultation can sometimes not be applicable to other situations where it is not appropriate. </w:t>
      </w:r>
    </w:p>
    <w:p w14:paraId="056E3AA7" w14:textId="77777777" w:rsidR="0091647D" w:rsidRDefault="0091647D" w:rsidP="0091647D">
      <w:pPr>
        <w:pStyle w:val="Heading2"/>
        <w:spacing w:before="0" w:beforeAutospacing="0" w:after="0" w:afterAutospacing="0"/>
        <w:rPr>
          <w:color w:val="205493"/>
          <w:sz w:val="34"/>
          <w:szCs w:val="34"/>
        </w:rPr>
      </w:pPr>
      <w:r>
        <w:rPr>
          <w:color w:val="205493"/>
          <w:sz w:val="34"/>
          <w:szCs w:val="34"/>
        </w:rPr>
        <w:t>Study Execution</w:t>
      </w:r>
    </w:p>
    <w:tbl>
      <w:tblPr>
        <w:tblW w:w="5000" w:type="pct"/>
        <w:tblCellSpacing w:w="0" w:type="dxa"/>
        <w:tblBorders>
          <w:top w:val="single" w:sz="6" w:space="0" w:color="0098CE"/>
          <w:left w:val="single" w:sz="6" w:space="0" w:color="0098CE"/>
          <w:bottom w:val="single" w:sz="6" w:space="0" w:color="0098CE"/>
          <w:right w:val="single" w:sz="6" w:space="0" w:color="0098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7807"/>
      </w:tblGrid>
      <w:tr w:rsidR="0091647D" w14:paraId="70F18431" w14:textId="77777777" w:rsidTr="0091647D">
        <w:trPr>
          <w:tblCellSpacing w:w="0" w:type="dxa"/>
        </w:trPr>
        <w:tc>
          <w:tcPr>
            <w:tcW w:w="0" w:type="auto"/>
            <w:hideMark/>
          </w:tcPr>
          <w:p w14:paraId="70CCC326" w14:textId="77777777" w:rsidR="0091647D" w:rsidRDefault="0091647D">
            <w:pPr>
              <w:spacing w:line="343" w:lineRule="atLeast"/>
              <w:jc w:val="center"/>
              <w:rPr>
                <w:rFonts w:ascii="Calibri" w:hAnsi="Calibri" w:cs="Calibri"/>
                <w:b/>
                <w:bCs/>
                <w:color w:val="010C29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10C29"/>
              </w:rPr>
              <w:t>​Milestone</w:t>
            </w:r>
          </w:p>
        </w:tc>
        <w:tc>
          <w:tcPr>
            <w:tcW w:w="0" w:type="auto"/>
            <w:hideMark/>
          </w:tcPr>
          <w:p w14:paraId="7A6788A1" w14:textId="77777777" w:rsidR="0091647D" w:rsidRDefault="0091647D">
            <w:pPr>
              <w:spacing w:line="343" w:lineRule="atLeast"/>
              <w:jc w:val="center"/>
              <w:rPr>
                <w:rFonts w:ascii="Calibri" w:hAnsi="Calibri" w:cs="Calibri"/>
                <w:b/>
                <w:bCs/>
                <w:color w:val="010C29"/>
              </w:rPr>
            </w:pPr>
            <w:r>
              <w:rPr>
                <w:rFonts w:ascii="Calibri" w:hAnsi="Calibri" w:cs="Calibri"/>
                <w:b/>
                <w:bCs/>
                <w:color w:val="010C29"/>
              </w:rPr>
              <w:t>​Owner</w:t>
            </w:r>
          </w:p>
        </w:tc>
      </w:tr>
      <w:tr w:rsidR="0091647D" w14:paraId="5BF8ACBA" w14:textId="77777777" w:rsidTr="0091647D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7C6947CE" w14:textId="77777777" w:rsidR="0091647D" w:rsidRDefault="0091647D">
            <w:pPr>
              <w:spacing w:line="343" w:lineRule="atLeast"/>
              <w:rPr>
                <w:rFonts w:ascii="Calibri" w:hAnsi="Calibri" w:cs="Calibri"/>
                <w:color w:val="010C29"/>
              </w:rPr>
            </w:pPr>
            <w:r>
              <w:rPr>
                <w:rFonts w:ascii="Calibri" w:hAnsi="Calibri" w:cs="Calibri"/>
                <w:color w:val="010C29"/>
              </w:rPr>
              <w:t>Ad hoc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DF49B5A" w14:textId="77777777" w:rsidR="0091647D" w:rsidRDefault="0091647D">
            <w:pPr>
              <w:spacing w:line="343" w:lineRule="atLeast"/>
              <w:rPr>
                <w:rFonts w:ascii="Calibri" w:hAnsi="Calibri" w:cs="Calibri"/>
                <w:color w:val="010C29"/>
              </w:rPr>
            </w:pPr>
            <w:r>
              <w:rPr>
                <w:rFonts w:ascii="Calibri" w:hAnsi="Calibri" w:cs="Calibri"/>
                <w:color w:val="010C29"/>
              </w:rPr>
              <w:t>                                                                    Business Office</w:t>
            </w:r>
          </w:p>
        </w:tc>
      </w:tr>
    </w:tbl>
    <w:p w14:paraId="6E073E19" w14:textId="77777777" w:rsidR="0091647D" w:rsidRDefault="0091647D" w:rsidP="0091647D">
      <w:pPr>
        <w:rPr>
          <w:rFonts w:ascii="Calibri" w:hAnsi="Calibri" w:cs="Calibri"/>
          <w:color w:val="010C29"/>
        </w:rPr>
      </w:pPr>
      <w:r>
        <w:rPr>
          <w:rFonts w:ascii="Calibri" w:hAnsi="Calibri" w:cs="Calibri"/>
          <w:color w:val="010C29"/>
        </w:rPr>
        <w:t> </w:t>
      </w:r>
    </w:p>
    <w:p w14:paraId="26E63FD1" w14:textId="77777777" w:rsidR="0091647D" w:rsidRDefault="0091647D" w:rsidP="0091647D">
      <w:pPr>
        <w:pStyle w:val="Heading2"/>
        <w:spacing w:before="0" w:beforeAutospacing="0" w:after="0" w:afterAutospacing="0"/>
        <w:rPr>
          <w:color w:val="205493"/>
          <w:sz w:val="34"/>
          <w:szCs w:val="34"/>
        </w:rPr>
      </w:pPr>
      <w:r>
        <w:rPr>
          <w:color w:val="205493"/>
          <w:sz w:val="34"/>
          <w:szCs w:val="34"/>
        </w:rPr>
        <w:t>Outcomes</w:t>
      </w:r>
    </w:p>
    <w:p w14:paraId="535A31F7" w14:textId="0E3065EB" w:rsidR="00052C80" w:rsidRDefault="0091647D" w:rsidP="0091647D">
      <w:pPr>
        <w:rPr>
          <w:rFonts w:ascii="Calibri" w:hAnsi="Calibri" w:cs="Calibri"/>
          <w:color w:val="010C29"/>
        </w:rPr>
      </w:pPr>
      <w:r>
        <w:rPr>
          <w:rFonts w:ascii="Calibri" w:hAnsi="Calibri" w:cs="Calibri"/>
          <w:color w:val="010C29"/>
        </w:rPr>
        <w:t>• Advice, mockups, or other documentation.</w:t>
      </w:r>
    </w:p>
    <w:p w14:paraId="71C29301" w14:textId="508E74C3" w:rsidR="0091647D" w:rsidRDefault="0091647D" w:rsidP="0091647D">
      <w:pPr>
        <w:rPr>
          <w:rFonts w:ascii="Calibri" w:hAnsi="Calibri" w:cs="Calibri"/>
          <w:color w:val="010C29"/>
        </w:rPr>
      </w:pPr>
    </w:p>
    <w:p w14:paraId="04225029" w14:textId="3369D6EA" w:rsidR="0091647D" w:rsidRDefault="0091647D" w:rsidP="0091647D">
      <w:pPr>
        <w:rPr>
          <w:rFonts w:ascii="Calibri" w:hAnsi="Calibri" w:cs="Calibri"/>
          <w:color w:val="010C29"/>
        </w:rPr>
      </w:pPr>
    </w:p>
    <w:tbl>
      <w:tblPr>
        <w:tblW w:w="5000" w:type="pct"/>
        <w:tblCellSpacing w:w="0" w:type="dxa"/>
        <w:tblBorders>
          <w:top w:val="single" w:sz="6" w:space="0" w:color="0098CE"/>
          <w:left w:val="single" w:sz="6" w:space="0" w:color="0098CE"/>
          <w:bottom w:val="single" w:sz="6" w:space="0" w:color="0098CE"/>
          <w:right w:val="single" w:sz="6" w:space="0" w:color="0098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8112"/>
      </w:tblGrid>
      <w:tr w:rsidR="0091647D" w:rsidRPr="0091647D" w14:paraId="4975F723" w14:textId="77777777" w:rsidTr="0091647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98CE"/>
              <w:bottom w:val="single" w:sz="6" w:space="0" w:color="0098CE"/>
            </w:tcBorders>
            <w:shd w:val="clear" w:color="auto" w:fill="0098CE"/>
            <w:hideMark/>
          </w:tcPr>
          <w:p w14:paraId="4A841DBF" w14:textId="77777777" w:rsidR="0091647D" w:rsidRPr="0091647D" w:rsidRDefault="0091647D" w:rsidP="0091647D">
            <w:pPr>
              <w:spacing w:after="0" w:line="343" w:lineRule="atLeast"/>
              <w:jc w:val="center"/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Phase of Development​</w:t>
            </w:r>
          </w:p>
        </w:tc>
      </w:tr>
      <w:tr w:rsidR="0091647D" w:rsidRPr="0091647D" w14:paraId="1CE838BA" w14:textId="77777777" w:rsidTr="0091647D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4D96CFE2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lastRenderedPageBreak/>
              <w:t>​</w:t>
            </w:r>
            <w:r w:rsidRPr="0091647D">
              <w:rPr>
                <w:rFonts w:ascii="Segoe UI Emoji" w:eastAsia="Times New Roman" w:hAnsi="Segoe UI Emoji" w:cs="Segoe UI Emoji"/>
                <w:b/>
                <w:bCs/>
                <w:color w:val="010C29"/>
                <w:sz w:val="24"/>
                <w:szCs w:val="24"/>
              </w:rPr>
              <w:t>✔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2DB1E699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​Planning, Scoping &amp; Definition</w:t>
            </w:r>
          </w:p>
        </w:tc>
      </w:tr>
      <w:tr w:rsidR="0091647D" w:rsidRPr="0091647D" w14:paraId="724B490C" w14:textId="77777777" w:rsidTr="0091647D">
        <w:trPr>
          <w:tblCellSpacing w:w="0" w:type="dxa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13D4F371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</w:t>
            </w:r>
            <w:r w:rsidRPr="0091647D">
              <w:rPr>
                <w:rFonts w:ascii="Segoe UI Emoji" w:eastAsia="Times New Roman" w:hAnsi="Segoe UI Emoji" w:cs="Segoe UI Emoji"/>
                <w:b/>
                <w:bCs/>
                <w:color w:val="010C29"/>
                <w:sz w:val="24"/>
                <w:szCs w:val="24"/>
              </w:rPr>
              <w:t>✔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B8BEE8B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​Requirements Gathering</w:t>
            </w:r>
          </w:p>
        </w:tc>
      </w:tr>
      <w:tr w:rsidR="0091647D" w:rsidRPr="0091647D" w14:paraId="7F44EE65" w14:textId="77777777" w:rsidTr="0091647D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4D3E499E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Segoe UI Emoji" w:eastAsia="Times New Roman" w:hAnsi="Segoe UI Emoji" w:cs="Segoe UI Emoji"/>
                <w:b/>
                <w:bCs/>
                <w:color w:val="010C29"/>
                <w:sz w:val="24"/>
                <w:szCs w:val="24"/>
              </w:rPr>
              <w:t>✔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99B20C4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​Early Design</w:t>
            </w:r>
          </w:p>
        </w:tc>
      </w:tr>
      <w:tr w:rsidR="0091647D" w:rsidRPr="0091647D" w14:paraId="301F3A7A" w14:textId="77777777" w:rsidTr="0091647D">
        <w:trPr>
          <w:tblCellSpacing w:w="0" w:type="dxa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127A87D0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</w:t>
            </w:r>
            <w:r w:rsidRPr="0091647D">
              <w:rPr>
                <w:rFonts w:ascii="Segoe UI Emoji" w:eastAsia="Times New Roman" w:hAnsi="Segoe UI Emoji" w:cs="Segoe UI Emoji"/>
                <w:b/>
                <w:bCs/>
                <w:color w:val="010C29"/>
                <w:sz w:val="24"/>
                <w:szCs w:val="24"/>
              </w:rPr>
              <w:t>✔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01B8F86E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​Detailed Design &amp; Development</w:t>
            </w:r>
          </w:p>
        </w:tc>
      </w:tr>
      <w:tr w:rsidR="0091647D" w:rsidRPr="0091647D" w14:paraId="20C96602" w14:textId="77777777" w:rsidTr="0091647D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39131BBC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2D1BDBBB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​Field Testing</w:t>
            </w:r>
          </w:p>
        </w:tc>
      </w:tr>
      <w:tr w:rsidR="0091647D" w:rsidRPr="0091647D" w14:paraId="6BF86DBE" w14:textId="77777777" w:rsidTr="0091647D">
        <w:trPr>
          <w:tblCellSpacing w:w="0" w:type="dxa"/>
        </w:trPr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95B22BB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68504F20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​Deployment</w:t>
            </w:r>
          </w:p>
        </w:tc>
      </w:tr>
      <w:tr w:rsidR="0091647D" w:rsidRPr="0091647D" w14:paraId="1DE7A741" w14:textId="77777777" w:rsidTr="0091647D">
        <w:trPr>
          <w:tblCellSpacing w:w="0" w:type="dxa"/>
        </w:trPr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3496FA2D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</w:t>
            </w:r>
            <w:r w:rsidRPr="0091647D">
              <w:rPr>
                <w:rFonts w:ascii="Segoe UI Emoji" w:eastAsia="Times New Roman" w:hAnsi="Segoe UI Emoji" w:cs="Segoe UI Emoji"/>
                <w:b/>
                <w:bCs/>
                <w:color w:val="010C29"/>
                <w:sz w:val="24"/>
                <w:szCs w:val="24"/>
              </w:rPr>
              <w:t>✔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1F085668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​Post-Deployment</w:t>
            </w:r>
          </w:p>
        </w:tc>
      </w:tr>
    </w:tbl>
    <w:p w14:paraId="5B08296D" w14:textId="77777777" w:rsidR="0091647D" w:rsidRPr="0091647D" w:rsidRDefault="0091647D" w:rsidP="0091647D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10C29"/>
          <w:sz w:val="24"/>
          <w:szCs w:val="24"/>
        </w:rPr>
      </w:pPr>
      <w:r w:rsidRPr="0091647D">
        <w:rPr>
          <w:rFonts w:ascii="Calibri" w:eastAsia="Times New Roman" w:hAnsi="Calibri" w:cs="Calibri"/>
          <w:color w:val="010C29"/>
          <w:sz w:val="24"/>
          <w:szCs w:val="24"/>
        </w:rPr>
        <w:t> </w:t>
      </w:r>
    </w:p>
    <w:tbl>
      <w:tblPr>
        <w:tblW w:w="5000" w:type="pct"/>
        <w:tblCellSpacing w:w="0" w:type="dxa"/>
        <w:tblBorders>
          <w:top w:val="single" w:sz="6" w:space="0" w:color="0098CE"/>
          <w:left w:val="single" w:sz="6" w:space="0" w:color="0098CE"/>
          <w:bottom w:val="single" w:sz="6" w:space="0" w:color="0098CE"/>
          <w:right w:val="single" w:sz="6" w:space="0" w:color="0098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7349"/>
      </w:tblGrid>
      <w:tr w:rsidR="0091647D" w:rsidRPr="0091647D" w14:paraId="610E3678" w14:textId="77777777" w:rsidTr="0091647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98CE"/>
              <w:bottom w:val="single" w:sz="6" w:space="0" w:color="0098CE"/>
            </w:tcBorders>
            <w:shd w:val="clear" w:color="auto" w:fill="0098CE"/>
            <w:hideMark/>
          </w:tcPr>
          <w:p w14:paraId="632A1901" w14:textId="77777777" w:rsidR="0091647D" w:rsidRPr="0091647D" w:rsidRDefault="0091647D" w:rsidP="0091647D">
            <w:pPr>
              <w:spacing w:after="0" w:line="343" w:lineRule="atLeast"/>
              <w:jc w:val="center"/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​Study Characteristics ​</w:t>
            </w:r>
          </w:p>
        </w:tc>
      </w:tr>
      <w:tr w:rsidR="0091647D" w:rsidRPr="0091647D" w14:paraId="5E3B5FB8" w14:textId="77777777" w:rsidTr="0091647D">
        <w:trPr>
          <w:tblCellSpacing w:w="0" w:type="dxa"/>
        </w:trPr>
        <w:tc>
          <w:tcPr>
            <w:tcW w:w="1995" w:type="dxa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794C8423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</w:t>
            </w: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Timeframe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07763E29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As needed</w:t>
            </w:r>
          </w:p>
        </w:tc>
      </w:tr>
      <w:tr w:rsidR="0091647D" w:rsidRPr="0091647D" w14:paraId="06BAEF1C" w14:textId="77777777" w:rsidTr="0091647D">
        <w:trPr>
          <w:tblCellSpacing w:w="0" w:type="dxa"/>
        </w:trPr>
        <w:tc>
          <w:tcPr>
            <w:tcW w:w="1995" w:type="dxa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26D3F1DC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​Level of Effort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2BF23A7F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Med</w:t>
            </w:r>
          </w:p>
        </w:tc>
      </w:tr>
      <w:tr w:rsidR="0091647D" w:rsidRPr="0091647D" w14:paraId="7F1CF24D" w14:textId="77777777" w:rsidTr="0091647D">
        <w:trPr>
          <w:tblCellSpacing w:w="0" w:type="dxa"/>
        </w:trPr>
        <w:tc>
          <w:tcPr>
            <w:tcW w:w="1995" w:type="dxa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4C73B7E6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</w:t>
            </w: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Data Collection</w:t>
            </w:r>
          </w:p>
        </w:tc>
        <w:tc>
          <w:tcPr>
            <w:tcW w:w="0" w:type="auto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0E62CB46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N/A</w:t>
            </w:r>
          </w:p>
        </w:tc>
      </w:tr>
      <w:tr w:rsidR="0091647D" w:rsidRPr="0091647D" w14:paraId="72F2F15C" w14:textId="77777777" w:rsidTr="0091647D">
        <w:trPr>
          <w:tblCellSpacing w:w="0" w:type="dxa"/>
        </w:trPr>
        <w:tc>
          <w:tcPr>
            <w:tcW w:w="1995" w:type="dxa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148864D1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</w:t>
            </w: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Data Reporting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4F906EAE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N/A</w:t>
            </w:r>
          </w:p>
        </w:tc>
      </w:tr>
    </w:tbl>
    <w:p w14:paraId="6D2242B1" w14:textId="77777777" w:rsidR="0091647D" w:rsidRPr="0091647D" w:rsidRDefault="0091647D" w:rsidP="0091647D">
      <w:pPr>
        <w:spacing w:after="0" w:line="240" w:lineRule="auto"/>
        <w:rPr>
          <w:rFonts w:ascii="Calibri" w:eastAsia="Times New Roman" w:hAnsi="Calibri" w:cs="Calibri"/>
          <w:color w:val="010C29"/>
          <w:sz w:val="24"/>
          <w:szCs w:val="24"/>
        </w:rPr>
      </w:pPr>
      <w:r w:rsidRPr="0091647D">
        <w:rPr>
          <w:rFonts w:ascii="Calibri" w:eastAsia="Times New Roman" w:hAnsi="Calibri" w:cs="Calibri"/>
          <w:color w:val="010C29"/>
          <w:sz w:val="24"/>
          <w:szCs w:val="24"/>
        </w:rPr>
        <w:t xml:space="preserve">   </w:t>
      </w:r>
    </w:p>
    <w:tbl>
      <w:tblPr>
        <w:tblW w:w="5000" w:type="pct"/>
        <w:tblCellSpacing w:w="0" w:type="dxa"/>
        <w:tblBorders>
          <w:top w:val="single" w:sz="6" w:space="0" w:color="0098CE"/>
          <w:left w:val="single" w:sz="6" w:space="0" w:color="0098CE"/>
          <w:bottom w:val="single" w:sz="6" w:space="0" w:color="0098CE"/>
          <w:right w:val="single" w:sz="6" w:space="0" w:color="0098C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0"/>
        <w:gridCol w:w="5884"/>
      </w:tblGrid>
      <w:tr w:rsidR="0091647D" w:rsidRPr="0091647D" w14:paraId="0BF78988" w14:textId="77777777" w:rsidTr="0091647D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0098CE"/>
              <w:bottom w:val="single" w:sz="6" w:space="0" w:color="0098CE"/>
            </w:tcBorders>
            <w:shd w:val="clear" w:color="auto" w:fill="0098CE"/>
            <w:hideMark/>
          </w:tcPr>
          <w:p w14:paraId="56656C45" w14:textId="77777777" w:rsidR="0091647D" w:rsidRPr="0091647D" w:rsidRDefault="0091647D" w:rsidP="0091647D">
            <w:pPr>
              <w:spacing w:after="0" w:line="343" w:lineRule="atLeast"/>
              <w:jc w:val="center"/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​Related Methods ​</w:t>
            </w:r>
          </w:p>
        </w:tc>
      </w:tr>
      <w:tr w:rsidR="0091647D" w:rsidRPr="0091647D" w14:paraId="6E2F4996" w14:textId="77777777" w:rsidTr="0091647D">
        <w:trPr>
          <w:tblCellSpacing w:w="0" w:type="dxa"/>
        </w:trPr>
        <w:tc>
          <w:tcPr>
            <w:tcW w:w="2205" w:type="dxa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3263E08D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Derived from</w:t>
            </w:r>
          </w:p>
        </w:tc>
        <w:tc>
          <w:tcPr>
            <w:tcW w:w="3750" w:type="dxa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3CAA5944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​N/A</w:t>
            </w:r>
          </w:p>
        </w:tc>
      </w:tr>
      <w:tr w:rsidR="0091647D" w:rsidRPr="0091647D" w14:paraId="7CFAC5C6" w14:textId="77777777" w:rsidTr="0091647D">
        <w:trPr>
          <w:tblCellSpacing w:w="0" w:type="dxa"/>
        </w:trPr>
        <w:tc>
          <w:tcPr>
            <w:tcW w:w="2205" w:type="dxa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2726EF10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​Complimentary Methods</w:t>
            </w:r>
          </w:p>
        </w:tc>
        <w:tc>
          <w:tcPr>
            <w:tcW w:w="3750" w:type="dxa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1BADFE20" w14:textId="77777777" w:rsidR="0091647D" w:rsidRPr="0091647D" w:rsidRDefault="0091647D" w:rsidP="0091647D">
            <w:pPr>
              <w:spacing w:before="100" w:beforeAutospacing="1" w:after="100" w:afterAutospacing="1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hyperlink r:id="rId5" w:history="1">
              <w:r w:rsidRPr="0091647D">
                <w:rPr>
                  <w:rFonts w:ascii="Calibri" w:eastAsia="Times New Roman" w:hAnsi="Calibri" w:cs="Calibri"/>
                  <w:b/>
                  <w:bCs/>
                  <w:color w:val="00188F"/>
                  <w:sz w:val="24"/>
                  <w:szCs w:val="24"/>
                </w:rPr>
                <w:t>All</w:t>
              </w:r>
            </w:hyperlink>
          </w:p>
        </w:tc>
      </w:tr>
      <w:tr w:rsidR="0091647D" w:rsidRPr="0091647D" w14:paraId="7B2F16CD" w14:textId="77777777" w:rsidTr="0091647D">
        <w:trPr>
          <w:tblCellSpacing w:w="0" w:type="dxa"/>
        </w:trPr>
        <w:tc>
          <w:tcPr>
            <w:tcW w:w="2205" w:type="dxa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3B8226F4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​Similar Methods</w:t>
            </w:r>
          </w:p>
        </w:tc>
        <w:tc>
          <w:tcPr>
            <w:tcW w:w="3750" w:type="dxa"/>
            <w:shd w:val="clear" w:color="auto" w:fill="E6E6E6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0B1D3962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N/A</w:t>
            </w:r>
          </w:p>
        </w:tc>
      </w:tr>
      <w:tr w:rsidR="0091647D" w:rsidRPr="0091647D" w14:paraId="1955E06B" w14:textId="77777777" w:rsidTr="0091647D">
        <w:trPr>
          <w:tblCellSpacing w:w="0" w:type="dxa"/>
        </w:trPr>
        <w:tc>
          <w:tcPr>
            <w:tcW w:w="2205" w:type="dxa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588AAB23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b/>
                <w:bCs/>
                <w:color w:val="010C29"/>
                <w:sz w:val="24"/>
                <w:szCs w:val="24"/>
              </w:rPr>
              <w:t>​Follow-Up</w:t>
            </w:r>
          </w:p>
        </w:tc>
        <w:tc>
          <w:tcPr>
            <w:tcW w:w="0" w:type="auto"/>
            <w:tcMar>
              <w:top w:w="48" w:type="dxa"/>
              <w:left w:w="120" w:type="dxa"/>
              <w:bottom w:w="48" w:type="dxa"/>
              <w:right w:w="48" w:type="dxa"/>
            </w:tcMar>
            <w:hideMark/>
          </w:tcPr>
          <w:p w14:paraId="5AD43082" w14:textId="77777777" w:rsidR="0091647D" w:rsidRPr="0091647D" w:rsidRDefault="0091647D" w:rsidP="0091647D">
            <w:pPr>
              <w:spacing w:after="0" w:line="343" w:lineRule="atLeast"/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</w:pPr>
            <w:r w:rsidRPr="0091647D">
              <w:rPr>
                <w:rFonts w:ascii="Calibri" w:eastAsia="Times New Roman" w:hAnsi="Calibri" w:cs="Calibri"/>
                <w:color w:val="010C29"/>
                <w:sz w:val="24"/>
                <w:szCs w:val="24"/>
              </w:rPr>
              <w:t>N/A</w:t>
            </w:r>
          </w:p>
        </w:tc>
      </w:tr>
    </w:tbl>
    <w:p w14:paraId="7E669450" w14:textId="77777777" w:rsidR="0091647D" w:rsidRPr="00BC4E87" w:rsidRDefault="0091647D" w:rsidP="0091647D">
      <w:bookmarkStart w:id="0" w:name="_GoBack"/>
      <w:bookmarkEnd w:id="0"/>
    </w:p>
    <w:sectPr w:rsidR="0091647D" w:rsidRPr="00BC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1094"/>
    <w:multiLevelType w:val="multilevel"/>
    <w:tmpl w:val="6D361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27E13"/>
    <w:multiLevelType w:val="multilevel"/>
    <w:tmpl w:val="F21E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37975"/>
    <w:multiLevelType w:val="multilevel"/>
    <w:tmpl w:val="BEEE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77BCA"/>
    <w:multiLevelType w:val="multilevel"/>
    <w:tmpl w:val="8160E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D085B"/>
    <w:multiLevelType w:val="multilevel"/>
    <w:tmpl w:val="9C3E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E4F2B"/>
    <w:multiLevelType w:val="multilevel"/>
    <w:tmpl w:val="F3E0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F0AD0"/>
    <w:multiLevelType w:val="multilevel"/>
    <w:tmpl w:val="F782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D45AE"/>
    <w:multiLevelType w:val="multilevel"/>
    <w:tmpl w:val="F446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04F6D"/>
    <w:multiLevelType w:val="multilevel"/>
    <w:tmpl w:val="793E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B0227"/>
    <w:multiLevelType w:val="multilevel"/>
    <w:tmpl w:val="A29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213A1"/>
    <w:multiLevelType w:val="multilevel"/>
    <w:tmpl w:val="8942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8F4AD1"/>
    <w:multiLevelType w:val="multilevel"/>
    <w:tmpl w:val="15F0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E5D93"/>
    <w:multiLevelType w:val="multilevel"/>
    <w:tmpl w:val="3810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97262"/>
    <w:multiLevelType w:val="multilevel"/>
    <w:tmpl w:val="D086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D4BE8"/>
    <w:multiLevelType w:val="multilevel"/>
    <w:tmpl w:val="A888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AE14CF"/>
    <w:multiLevelType w:val="multilevel"/>
    <w:tmpl w:val="0CA4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FF3863"/>
    <w:multiLevelType w:val="multilevel"/>
    <w:tmpl w:val="E976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571BEF"/>
    <w:multiLevelType w:val="multilevel"/>
    <w:tmpl w:val="AED2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B04F6"/>
    <w:multiLevelType w:val="multilevel"/>
    <w:tmpl w:val="040E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320E7"/>
    <w:multiLevelType w:val="multilevel"/>
    <w:tmpl w:val="08F4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1"/>
  </w:num>
  <w:num w:numId="4">
    <w:abstractNumId w:val="14"/>
  </w:num>
  <w:num w:numId="5">
    <w:abstractNumId w:val="16"/>
  </w:num>
  <w:num w:numId="6">
    <w:abstractNumId w:val="3"/>
  </w:num>
  <w:num w:numId="7">
    <w:abstractNumId w:val="13"/>
  </w:num>
  <w:num w:numId="8">
    <w:abstractNumId w:val="6"/>
  </w:num>
  <w:num w:numId="9">
    <w:abstractNumId w:val="15"/>
  </w:num>
  <w:num w:numId="10">
    <w:abstractNumId w:val="12"/>
  </w:num>
  <w:num w:numId="11">
    <w:abstractNumId w:val="8"/>
  </w:num>
  <w:num w:numId="12">
    <w:abstractNumId w:val="9"/>
  </w:num>
  <w:num w:numId="13">
    <w:abstractNumId w:val="17"/>
  </w:num>
  <w:num w:numId="14">
    <w:abstractNumId w:val="1"/>
  </w:num>
  <w:num w:numId="15">
    <w:abstractNumId w:val="7"/>
  </w:num>
  <w:num w:numId="16">
    <w:abstractNumId w:val="4"/>
  </w:num>
  <w:num w:numId="17">
    <w:abstractNumId w:val="0"/>
  </w:num>
  <w:num w:numId="18">
    <w:abstractNumId w:val="10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5E"/>
    <w:rsid w:val="0001405E"/>
    <w:rsid w:val="00052C80"/>
    <w:rsid w:val="001C2C60"/>
    <w:rsid w:val="002E243C"/>
    <w:rsid w:val="00316274"/>
    <w:rsid w:val="00455B5B"/>
    <w:rsid w:val="004C481B"/>
    <w:rsid w:val="005E03C8"/>
    <w:rsid w:val="006174B9"/>
    <w:rsid w:val="0091647D"/>
    <w:rsid w:val="00BC4E87"/>
    <w:rsid w:val="00D45FFF"/>
    <w:rsid w:val="00DC7742"/>
    <w:rsid w:val="00EB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E8A5"/>
  <w15:chartTrackingRefBased/>
  <w15:docId w15:val="{B07FF66A-5F2B-4EE6-8F16-EC096E15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03C8"/>
    <w:pPr>
      <w:spacing w:before="100" w:beforeAutospacing="1" w:after="100" w:afterAutospacing="1" w:line="240" w:lineRule="auto"/>
      <w:outlineLvl w:val="0"/>
    </w:pPr>
    <w:rPr>
      <w:rFonts w:ascii="Segoe UI Semibold" w:eastAsia="Times New Roman" w:hAnsi="Segoe UI Semibold" w:cs="Segoe UI Semibold"/>
      <w:b/>
      <w:bCs/>
      <w:color w:val="636363"/>
      <w:kern w:val="36"/>
      <w:sz w:val="55"/>
      <w:szCs w:val="55"/>
    </w:rPr>
  </w:style>
  <w:style w:type="paragraph" w:styleId="Heading2">
    <w:name w:val="heading 2"/>
    <w:basedOn w:val="Normal"/>
    <w:link w:val="Heading2Char"/>
    <w:uiPriority w:val="9"/>
    <w:qFormat/>
    <w:rsid w:val="005E03C8"/>
    <w:pPr>
      <w:spacing w:before="100" w:beforeAutospacing="1" w:after="100" w:afterAutospacing="1" w:line="240" w:lineRule="auto"/>
      <w:outlineLvl w:val="1"/>
    </w:pPr>
    <w:rPr>
      <w:rFonts w:ascii="Segoe UI Semibold" w:eastAsia="Times New Roman" w:hAnsi="Segoe UI Semibold" w:cs="Segoe UI Semibold"/>
      <w:b/>
      <w:bCs/>
      <w:color w:val="000000"/>
      <w:sz w:val="35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C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3C8"/>
    <w:rPr>
      <w:rFonts w:ascii="Segoe UI Semibold" w:eastAsia="Times New Roman" w:hAnsi="Segoe UI Semibold" w:cs="Segoe UI Semibold"/>
      <w:b/>
      <w:bCs/>
      <w:color w:val="636363"/>
      <w:kern w:val="36"/>
      <w:sz w:val="55"/>
      <w:szCs w:val="55"/>
    </w:rPr>
  </w:style>
  <w:style w:type="character" w:customStyle="1" w:styleId="Heading2Char">
    <w:name w:val="Heading 2 Char"/>
    <w:basedOn w:val="DefaultParagraphFont"/>
    <w:link w:val="Heading2"/>
    <w:uiPriority w:val="9"/>
    <w:rsid w:val="005E03C8"/>
    <w:rPr>
      <w:rFonts w:ascii="Segoe UI Semibold" w:eastAsia="Times New Roman" w:hAnsi="Segoe UI Semibold" w:cs="Segoe UI Semibold"/>
      <w:b/>
      <w:bCs/>
      <w:color w:val="000000"/>
      <w:sz w:val="35"/>
      <w:szCs w:val="35"/>
    </w:rPr>
  </w:style>
  <w:style w:type="character" w:styleId="Hyperlink">
    <w:name w:val="Hyperlink"/>
    <w:basedOn w:val="DefaultParagraphFont"/>
    <w:uiPriority w:val="99"/>
    <w:semiHidden/>
    <w:unhideWhenUsed/>
    <w:rsid w:val="005E03C8"/>
    <w:rPr>
      <w:b/>
      <w:bCs/>
      <w:strike w:val="0"/>
      <w:dstrike w:val="0"/>
      <w:color w:val="00188F"/>
      <w:u w:val="none"/>
      <w:effect w:val="none"/>
    </w:rPr>
  </w:style>
  <w:style w:type="paragraph" w:customStyle="1" w:styleId="ms-rteelement-p">
    <w:name w:val="ms-rteelement-p"/>
    <w:basedOn w:val="Normal"/>
    <w:rsid w:val="005E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E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3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C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0401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7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2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7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1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6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787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7957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0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05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00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7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03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79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54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105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26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230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1620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1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22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53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1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18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439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60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0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32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0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2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87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61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7011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2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5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3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12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95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13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1073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single" w:sz="6" w:space="12" w:color="0098CE"/>
                                                        <w:left w:val="single" w:sz="6" w:space="12" w:color="0098CE"/>
                                                        <w:bottom w:val="single" w:sz="6" w:space="12" w:color="0098CE"/>
                                                        <w:right w:val="single" w:sz="6" w:space="12" w:color="0098CE"/>
                                                      </w:divBdr>
                                                      <w:divsChild>
                                                        <w:div w:id="867644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3387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47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91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58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0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3395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22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580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563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24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9329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47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4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18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8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63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19319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single" w:sz="6" w:space="12" w:color="0098CE"/>
                                                        <w:left w:val="single" w:sz="6" w:space="12" w:color="0098CE"/>
                                                        <w:bottom w:val="single" w:sz="6" w:space="12" w:color="0098CE"/>
                                                        <w:right w:val="single" w:sz="6" w:space="12" w:color="0098CE"/>
                                                      </w:divBdr>
                                                    </w:div>
                                                    <w:div w:id="68015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01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91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5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89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8477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81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9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048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487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8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14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39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59137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single" w:sz="6" w:space="12" w:color="0098CE"/>
                                                        <w:left w:val="single" w:sz="6" w:space="12" w:color="0098CE"/>
                                                        <w:bottom w:val="single" w:sz="6" w:space="12" w:color="0098CE"/>
                                                        <w:right w:val="single" w:sz="6" w:space="12" w:color="0098CE"/>
                                                      </w:divBdr>
                                                    </w:div>
                                                    <w:div w:id="168088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87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26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02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161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43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76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95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713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606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13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030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98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4938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5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898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6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9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58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12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8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17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40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607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5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1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426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9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9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96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99974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single" w:sz="6" w:space="12" w:color="0098CE"/>
                                                        <w:left w:val="single" w:sz="6" w:space="12" w:color="0098CE"/>
                                                        <w:bottom w:val="single" w:sz="6" w:space="12" w:color="0098CE"/>
                                                        <w:right w:val="single" w:sz="6" w:space="12" w:color="0098CE"/>
                                                      </w:divBdr>
                                                    </w:div>
                                                    <w:div w:id="108102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777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055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8434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73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622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3918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74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3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3212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0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1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1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57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6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1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616740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5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3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1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37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67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9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90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44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04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87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09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8868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360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8019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4323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2879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1386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37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221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604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4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96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9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046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32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1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336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8579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single" w:sz="6" w:space="12" w:color="0098CE"/>
                                                        <w:left w:val="single" w:sz="6" w:space="12" w:color="0098CE"/>
                                                        <w:bottom w:val="single" w:sz="6" w:space="12" w:color="0098CE"/>
                                                        <w:right w:val="single" w:sz="6" w:space="12" w:color="0098CE"/>
                                                      </w:divBdr>
                                                    </w:div>
                                                    <w:div w:id="58892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54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5075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4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05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40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50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59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57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14417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single" w:sz="6" w:space="12" w:color="0098CE"/>
                                                        <w:left w:val="single" w:sz="6" w:space="12" w:color="0098CE"/>
                                                        <w:bottom w:val="single" w:sz="6" w:space="12" w:color="0098CE"/>
                                                        <w:right w:val="single" w:sz="6" w:space="12" w:color="0098CE"/>
                                                      </w:divBdr>
                                                      <w:divsChild>
                                                        <w:div w:id="115645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757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97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16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389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6209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64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61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345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1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792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4723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41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13534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5" w:color="EEEEEE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94916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9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73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72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2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1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4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69539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single" w:sz="6" w:space="12" w:color="0098CE"/>
                                                        <w:left w:val="single" w:sz="6" w:space="12" w:color="0098CE"/>
                                                        <w:bottom w:val="single" w:sz="6" w:space="12" w:color="0098CE"/>
                                                        <w:right w:val="single" w:sz="6" w:space="12" w:color="0098CE"/>
                                                      </w:divBdr>
                                                      <w:divsChild>
                                                        <w:div w:id="73381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038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0194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140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33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267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6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454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02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07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980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47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64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48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172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13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9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377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8731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50620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2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47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8179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0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8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07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33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70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12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7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27868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single" w:sz="6" w:space="12" w:color="0098CE"/>
                                                        <w:left w:val="single" w:sz="6" w:space="12" w:color="0098CE"/>
                                                        <w:bottom w:val="single" w:sz="6" w:space="12" w:color="0098CE"/>
                                                        <w:right w:val="single" w:sz="6" w:space="12" w:color="0098CE"/>
                                                      </w:divBdr>
                                                      <w:divsChild>
                                                        <w:div w:id="232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8927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42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819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426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7004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458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51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24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985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65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17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5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7370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62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04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5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94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9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2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7075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8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82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44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34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24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07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66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740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717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423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63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9664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314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7889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760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405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31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820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3104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3077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5453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8142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6082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89675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5794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249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2533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5020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030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306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800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51721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40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9341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4185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037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941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5051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5734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3875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8392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1107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8052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613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4846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888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3884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5229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0985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4103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6775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7622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8430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0030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82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890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4498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64131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49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961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8825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699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10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9422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1177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715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4856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0364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9988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6148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1451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352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19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5837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9148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3680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4470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086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0153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626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833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3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3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0914">
                      <w:marLeft w:val="3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86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31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3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8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18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ww.portal2.va.gov/sites/humanfactors/HFBoK/SitePages/Formative%20Usability%20Tes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Veterans Affairs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Gajewski</dc:creator>
  <cp:keywords/>
  <dc:description/>
  <cp:lastModifiedBy>Daniel Gajewski</cp:lastModifiedBy>
  <cp:revision>9</cp:revision>
  <dcterms:created xsi:type="dcterms:W3CDTF">2020-04-15T17:36:00Z</dcterms:created>
  <dcterms:modified xsi:type="dcterms:W3CDTF">2020-04-15T18:23:00Z</dcterms:modified>
</cp:coreProperties>
</file>