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0EBE" w:rsidRPr="00870EBE" w:rsidRDefault="00870EBE" w:rsidP="00995B2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bCs/>
          <w:sz w:val="24"/>
          <w:szCs w:val="24"/>
        </w:rPr>
        <w:t xml:space="preserve">En la imagen donde dice Puente Unión pusiste 250-28 y esta sección se refiere a la instalación del puente de Unión y la Sección 250-24 b) dice que para un sistema puesto a tierra </w:t>
      </w:r>
      <w:r w:rsidRPr="00870EBE">
        <w:rPr>
          <w:rFonts w:ascii="Arial" w:hAnsi="Arial" w:cs="Arial"/>
          <w:b/>
          <w:bCs/>
          <w:color w:val="00B0F0"/>
          <w:sz w:val="24"/>
          <w:szCs w:val="24"/>
        </w:rPr>
        <w:t>se debe</w:t>
      </w:r>
      <w:r w:rsidRPr="00870EBE">
        <w:rPr>
          <w:rFonts w:ascii="Arial" w:hAnsi="Arial" w:cs="Arial"/>
          <w:bCs/>
          <w:color w:val="00B0F0"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utilizar un PUENTE DE UNION PRINCIPAL.</w:t>
      </w:r>
    </w:p>
    <w:p w:rsidR="00EA31FF" w:rsidRPr="00450376" w:rsidRDefault="00EA31FF" w:rsidP="00995B2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i/>
          <w:sz w:val="24"/>
          <w:szCs w:val="24"/>
          <w:u w:val="single"/>
        </w:rPr>
      </w:pPr>
      <w:r w:rsidRPr="00450376">
        <w:rPr>
          <w:rFonts w:ascii="Arial" w:hAnsi="Arial" w:cs="Arial"/>
          <w:b/>
          <w:bCs/>
          <w:i/>
          <w:sz w:val="24"/>
          <w:szCs w:val="24"/>
          <w:u w:val="single"/>
        </w:rPr>
        <w:t>NOM-001-SEDE-2012</w:t>
      </w:r>
    </w:p>
    <w:p w:rsidR="00EA31FF" w:rsidRPr="00995B29" w:rsidRDefault="00EA31FF" w:rsidP="00995B2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95B29">
        <w:rPr>
          <w:rFonts w:ascii="Arial" w:hAnsi="Arial" w:cs="Arial"/>
          <w:b/>
          <w:bCs/>
          <w:sz w:val="24"/>
          <w:szCs w:val="24"/>
        </w:rPr>
        <w:t>250-24. Puesta a tierra de sistemas de corriente alterna alimentados por una acometida.</w:t>
      </w:r>
    </w:p>
    <w:p w:rsidR="00EA31FF" w:rsidRPr="00995B29" w:rsidRDefault="00EA31FF" w:rsidP="00995B2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95B29">
        <w:rPr>
          <w:rFonts w:ascii="Arial" w:hAnsi="Arial" w:cs="Arial"/>
          <w:b/>
          <w:bCs/>
          <w:sz w:val="24"/>
          <w:szCs w:val="24"/>
        </w:rPr>
        <w:t xml:space="preserve">a) Conexiones de puesta a tierra del sistema. </w:t>
      </w:r>
      <w:r w:rsidRPr="00995B29">
        <w:rPr>
          <w:rFonts w:ascii="Arial" w:hAnsi="Arial" w:cs="Arial"/>
          <w:sz w:val="24"/>
          <w:szCs w:val="24"/>
        </w:rPr>
        <w:t>Un sistema de alambrado de inmuebles, que es</w:t>
      </w:r>
      <w:r w:rsidR="00443EFD">
        <w:rPr>
          <w:rFonts w:ascii="Arial" w:hAnsi="Arial" w:cs="Arial"/>
          <w:sz w:val="24"/>
          <w:szCs w:val="24"/>
        </w:rPr>
        <w:t xml:space="preserve"> </w:t>
      </w:r>
      <w:r w:rsidRPr="00995B29">
        <w:rPr>
          <w:rFonts w:ascii="Arial" w:hAnsi="Arial" w:cs="Arial"/>
          <w:sz w:val="24"/>
          <w:szCs w:val="24"/>
        </w:rPr>
        <w:t>alimentado por una acometida de corriente alterna que está puesta a tierra, debe tener un conductor del</w:t>
      </w:r>
      <w:r w:rsidR="00450376">
        <w:rPr>
          <w:rFonts w:ascii="Arial" w:hAnsi="Arial" w:cs="Arial"/>
          <w:sz w:val="24"/>
          <w:szCs w:val="24"/>
        </w:rPr>
        <w:t xml:space="preserve"> </w:t>
      </w:r>
      <w:r w:rsidRPr="00995B29">
        <w:rPr>
          <w:rFonts w:ascii="Arial" w:hAnsi="Arial" w:cs="Arial"/>
          <w:sz w:val="24"/>
          <w:szCs w:val="24"/>
        </w:rPr>
        <w:t>electrodo de puesta a tierra conectado al conductor puesto a tierra de acometida, para cada servicio, según</w:t>
      </w:r>
      <w:r w:rsidR="00450376">
        <w:rPr>
          <w:rFonts w:ascii="Arial" w:hAnsi="Arial" w:cs="Arial"/>
          <w:sz w:val="24"/>
          <w:szCs w:val="24"/>
        </w:rPr>
        <w:t xml:space="preserve"> </w:t>
      </w:r>
      <w:r w:rsidRPr="00995B29">
        <w:rPr>
          <w:rFonts w:ascii="Arial" w:hAnsi="Arial" w:cs="Arial"/>
          <w:sz w:val="24"/>
          <w:szCs w:val="24"/>
        </w:rPr>
        <w:t>(1) hasta (5) siguientes:</w:t>
      </w:r>
    </w:p>
    <w:p w:rsidR="0064624D" w:rsidRPr="00995B29" w:rsidRDefault="00EA31FF" w:rsidP="0045037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95B29">
        <w:rPr>
          <w:rFonts w:ascii="Arial" w:hAnsi="Arial" w:cs="Arial"/>
          <w:b/>
          <w:bCs/>
          <w:sz w:val="24"/>
          <w:szCs w:val="24"/>
        </w:rPr>
        <w:t xml:space="preserve">1) Generalidades. </w:t>
      </w:r>
      <w:r w:rsidRPr="00995B29">
        <w:rPr>
          <w:rFonts w:ascii="Arial" w:hAnsi="Arial" w:cs="Arial"/>
          <w:sz w:val="24"/>
          <w:szCs w:val="24"/>
        </w:rPr>
        <w:t>La conexión del conductor del electrodo de puesta a tierra se debe hacer en cualquier</w:t>
      </w:r>
      <w:r w:rsidR="00450376">
        <w:rPr>
          <w:rFonts w:ascii="Arial" w:hAnsi="Arial" w:cs="Arial"/>
          <w:sz w:val="24"/>
          <w:szCs w:val="24"/>
        </w:rPr>
        <w:t xml:space="preserve"> </w:t>
      </w:r>
      <w:r w:rsidRPr="00995B29">
        <w:rPr>
          <w:rFonts w:ascii="Arial" w:hAnsi="Arial" w:cs="Arial"/>
          <w:sz w:val="24"/>
          <w:szCs w:val="24"/>
        </w:rPr>
        <w:t>punto accesible desde el lado carga de la acometida hasta e incluyendo, la terminal o barra en la cual está</w:t>
      </w:r>
      <w:r w:rsidR="00450376">
        <w:rPr>
          <w:rFonts w:ascii="Arial" w:hAnsi="Arial" w:cs="Arial"/>
          <w:sz w:val="24"/>
          <w:szCs w:val="24"/>
        </w:rPr>
        <w:t xml:space="preserve"> </w:t>
      </w:r>
      <w:r w:rsidRPr="00995B29">
        <w:rPr>
          <w:rFonts w:ascii="Arial" w:hAnsi="Arial" w:cs="Arial"/>
          <w:sz w:val="24"/>
          <w:szCs w:val="24"/>
        </w:rPr>
        <w:t>conectado el conductor puesto a tierra de acometida a los medios de desconexión de acometida.</w:t>
      </w:r>
    </w:p>
    <w:p w:rsidR="00EA31FF" w:rsidRDefault="00EA31FF" w:rsidP="0045037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B0F0"/>
          <w:sz w:val="24"/>
          <w:szCs w:val="24"/>
        </w:rPr>
      </w:pPr>
      <w:r w:rsidRPr="00450376">
        <w:rPr>
          <w:rFonts w:ascii="Arial" w:hAnsi="Arial" w:cs="Arial"/>
          <w:b/>
          <w:bCs/>
          <w:i/>
          <w:color w:val="FF0000"/>
          <w:sz w:val="24"/>
          <w:szCs w:val="24"/>
        </w:rPr>
        <w:t>b) Puente de unión principal</w:t>
      </w:r>
      <w:r w:rsidRPr="00450376">
        <w:rPr>
          <w:rFonts w:ascii="Arial" w:hAnsi="Arial" w:cs="Arial"/>
          <w:bCs/>
          <w:color w:val="00B0F0"/>
          <w:sz w:val="24"/>
          <w:szCs w:val="24"/>
        </w:rPr>
        <w:t xml:space="preserve">. </w:t>
      </w:r>
      <w:r w:rsidRPr="00450376">
        <w:rPr>
          <w:rFonts w:ascii="Arial" w:hAnsi="Arial" w:cs="Arial"/>
          <w:color w:val="00B0F0"/>
          <w:sz w:val="24"/>
          <w:szCs w:val="24"/>
        </w:rPr>
        <w:t xml:space="preserve">Para un sistema puesto a tierra, </w:t>
      </w:r>
      <w:r w:rsidRPr="00450376">
        <w:rPr>
          <w:rFonts w:ascii="Arial" w:hAnsi="Arial" w:cs="Arial"/>
          <w:b/>
          <w:i/>
          <w:color w:val="FF0000"/>
          <w:sz w:val="24"/>
          <w:szCs w:val="24"/>
        </w:rPr>
        <w:t>se debe</w:t>
      </w:r>
      <w:r w:rsidRPr="00450376">
        <w:rPr>
          <w:rFonts w:ascii="Arial" w:hAnsi="Arial" w:cs="Arial"/>
          <w:color w:val="FF0000"/>
          <w:sz w:val="24"/>
          <w:szCs w:val="24"/>
        </w:rPr>
        <w:t xml:space="preserve"> </w:t>
      </w:r>
      <w:r w:rsidRPr="00450376">
        <w:rPr>
          <w:rFonts w:ascii="Arial" w:hAnsi="Arial" w:cs="Arial"/>
          <w:color w:val="00B0F0"/>
          <w:sz w:val="24"/>
          <w:szCs w:val="24"/>
        </w:rPr>
        <w:t xml:space="preserve">utilizar un </w:t>
      </w:r>
      <w:r w:rsidRPr="00450376">
        <w:rPr>
          <w:rFonts w:ascii="Arial" w:hAnsi="Arial" w:cs="Arial"/>
          <w:color w:val="00B0F0"/>
          <w:sz w:val="24"/>
          <w:szCs w:val="24"/>
          <w:u w:val="single"/>
        </w:rPr>
        <w:t>puente de unión</w:t>
      </w:r>
      <w:r w:rsidR="00450376" w:rsidRPr="00450376">
        <w:rPr>
          <w:rFonts w:ascii="Arial" w:hAnsi="Arial" w:cs="Arial"/>
          <w:color w:val="00B0F0"/>
          <w:sz w:val="24"/>
          <w:szCs w:val="24"/>
          <w:u w:val="single"/>
        </w:rPr>
        <w:t xml:space="preserve"> </w:t>
      </w:r>
      <w:r w:rsidRPr="00450376">
        <w:rPr>
          <w:rFonts w:ascii="Arial" w:hAnsi="Arial" w:cs="Arial"/>
          <w:color w:val="00B0F0"/>
          <w:sz w:val="24"/>
          <w:szCs w:val="24"/>
          <w:u w:val="single"/>
        </w:rPr>
        <w:t>principal</w:t>
      </w:r>
      <w:r w:rsidRPr="00450376">
        <w:rPr>
          <w:rFonts w:ascii="Arial" w:hAnsi="Arial" w:cs="Arial"/>
          <w:color w:val="00B0F0"/>
          <w:sz w:val="24"/>
          <w:szCs w:val="24"/>
        </w:rPr>
        <w:t xml:space="preserve"> sin empalmes para conectar el (los) conductor(es) de puesta a tierra de equipos y la envolvente del</w:t>
      </w:r>
      <w:r w:rsidR="00450376" w:rsidRPr="00450376">
        <w:rPr>
          <w:rFonts w:ascii="Arial" w:hAnsi="Arial" w:cs="Arial"/>
          <w:color w:val="00B0F0"/>
          <w:sz w:val="24"/>
          <w:szCs w:val="24"/>
        </w:rPr>
        <w:t xml:space="preserve"> </w:t>
      </w:r>
      <w:r w:rsidRPr="00450376">
        <w:rPr>
          <w:rFonts w:ascii="Arial" w:hAnsi="Arial" w:cs="Arial"/>
          <w:color w:val="00B0F0"/>
          <w:sz w:val="24"/>
          <w:szCs w:val="24"/>
        </w:rPr>
        <w:t>medio de desconexión de acometida, al conductor puesto a tierra dentro de la envolvente, para cada medio de</w:t>
      </w:r>
      <w:r w:rsidR="00450376" w:rsidRPr="00450376">
        <w:rPr>
          <w:rFonts w:ascii="Arial" w:hAnsi="Arial" w:cs="Arial"/>
          <w:color w:val="00B0F0"/>
          <w:sz w:val="24"/>
          <w:szCs w:val="24"/>
        </w:rPr>
        <w:t xml:space="preserve"> </w:t>
      </w:r>
      <w:r w:rsidRPr="00450376">
        <w:rPr>
          <w:rFonts w:ascii="Arial" w:hAnsi="Arial" w:cs="Arial"/>
          <w:color w:val="00B0F0"/>
          <w:sz w:val="24"/>
          <w:szCs w:val="24"/>
        </w:rPr>
        <w:t xml:space="preserve">desconexión de acometida, </w:t>
      </w:r>
      <w:proofErr w:type="gramStart"/>
      <w:r w:rsidRPr="00450376">
        <w:rPr>
          <w:rFonts w:ascii="Arial" w:hAnsi="Arial" w:cs="Arial"/>
          <w:color w:val="00B0F0"/>
          <w:sz w:val="24"/>
          <w:szCs w:val="24"/>
        </w:rPr>
        <w:t>de acuerdo a</w:t>
      </w:r>
      <w:proofErr w:type="gramEnd"/>
      <w:r w:rsidRPr="00450376">
        <w:rPr>
          <w:rFonts w:ascii="Arial" w:hAnsi="Arial" w:cs="Arial"/>
          <w:color w:val="00B0F0"/>
          <w:sz w:val="24"/>
          <w:szCs w:val="24"/>
        </w:rPr>
        <w:t xml:space="preserve"> 250-28.</w:t>
      </w:r>
    </w:p>
    <w:p w:rsidR="00450376" w:rsidRDefault="00450376" w:rsidP="0045037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50376">
        <w:rPr>
          <w:rFonts w:ascii="Arial" w:hAnsi="Arial" w:cs="Arial"/>
          <w:b/>
          <w:bCs/>
          <w:sz w:val="24"/>
          <w:szCs w:val="24"/>
        </w:rPr>
        <w:t xml:space="preserve">c) Conductor puesto a tierra llevado al equipo de acometida. </w:t>
      </w:r>
      <w:r w:rsidRPr="00450376">
        <w:rPr>
          <w:rFonts w:ascii="Arial" w:hAnsi="Arial" w:cs="Arial"/>
          <w:sz w:val="24"/>
          <w:szCs w:val="24"/>
        </w:rPr>
        <w:t>Cuando un sistema de corriente alterna</w:t>
      </w:r>
      <w:r>
        <w:rPr>
          <w:rFonts w:ascii="Arial" w:hAnsi="Arial" w:cs="Arial"/>
          <w:sz w:val="24"/>
          <w:szCs w:val="24"/>
        </w:rPr>
        <w:t xml:space="preserve"> </w:t>
      </w:r>
      <w:r w:rsidRPr="00450376">
        <w:rPr>
          <w:rFonts w:ascii="Arial" w:hAnsi="Arial" w:cs="Arial"/>
          <w:sz w:val="24"/>
          <w:szCs w:val="24"/>
        </w:rPr>
        <w:t>operando a menos de 1000 volts está puesto a tierra en cualquier punto, el conductor puesto a tierra debe</w:t>
      </w:r>
      <w:r>
        <w:rPr>
          <w:rFonts w:ascii="Arial" w:hAnsi="Arial" w:cs="Arial"/>
          <w:sz w:val="24"/>
          <w:szCs w:val="24"/>
        </w:rPr>
        <w:t xml:space="preserve"> </w:t>
      </w:r>
      <w:r w:rsidRPr="00450376">
        <w:rPr>
          <w:rFonts w:ascii="Arial" w:hAnsi="Arial" w:cs="Arial"/>
          <w:sz w:val="24"/>
          <w:szCs w:val="24"/>
        </w:rPr>
        <w:t>tenderse junto con los conductores de fase hasta cada medio de desconexión de acometida, y se debe conectar</w:t>
      </w:r>
      <w:r>
        <w:rPr>
          <w:rFonts w:ascii="Arial" w:hAnsi="Arial" w:cs="Arial"/>
          <w:sz w:val="24"/>
          <w:szCs w:val="24"/>
        </w:rPr>
        <w:t xml:space="preserve"> </w:t>
      </w:r>
      <w:r w:rsidRPr="00450376">
        <w:rPr>
          <w:rFonts w:ascii="Arial" w:hAnsi="Arial" w:cs="Arial"/>
          <w:sz w:val="24"/>
          <w:szCs w:val="24"/>
        </w:rPr>
        <w:t>a cada terminal o barra del conductor puesto a tierra de cada medio de desconexión. Un puente de unión</w:t>
      </w:r>
      <w:r>
        <w:rPr>
          <w:rFonts w:ascii="Arial" w:hAnsi="Arial" w:cs="Arial"/>
          <w:sz w:val="24"/>
          <w:szCs w:val="24"/>
        </w:rPr>
        <w:t xml:space="preserve"> </w:t>
      </w:r>
      <w:r w:rsidRPr="00450376">
        <w:rPr>
          <w:rFonts w:ascii="Arial" w:hAnsi="Arial" w:cs="Arial"/>
          <w:sz w:val="24"/>
          <w:szCs w:val="24"/>
        </w:rPr>
        <w:t>principal debe conectar el conductor puesto a tierra a cada envolvente de los medios de desconexión de cada</w:t>
      </w:r>
      <w:r>
        <w:rPr>
          <w:rFonts w:ascii="Arial" w:hAnsi="Arial" w:cs="Arial"/>
          <w:sz w:val="24"/>
          <w:szCs w:val="24"/>
        </w:rPr>
        <w:t xml:space="preserve"> </w:t>
      </w:r>
      <w:r w:rsidRPr="00450376">
        <w:rPr>
          <w:rFonts w:ascii="Arial" w:hAnsi="Arial" w:cs="Arial"/>
          <w:sz w:val="24"/>
          <w:szCs w:val="24"/>
        </w:rPr>
        <w:t>acometida. El conductor puesto a tierra se debe instalar de acuerdo de (1) a (4) siguientes:</w:t>
      </w:r>
    </w:p>
    <w:p w:rsidR="00450376" w:rsidRPr="00450376" w:rsidRDefault="00450376" w:rsidP="0045037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B0F0"/>
          <w:sz w:val="24"/>
          <w:szCs w:val="24"/>
        </w:rPr>
      </w:pPr>
    </w:p>
    <w:p w:rsidR="00EA31FF" w:rsidRPr="00995B29" w:rsidRDefault="00EA31FF" w:rsidP="00995B2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95B29">
        <w:rPr>
          <w:rFonts w:ascii="Arial" w:hAnsi="Arial" w:cs="Arial"/>
          <w:b/>
          <w:bCs/>
          <w:sz w:val="24"/>
          <w:szCs w:val="24"/>
        </w:rPr>
        <w:t xml:space="preserve">250-28. Puente de unión principal y puente de unión del sistema. </w:t>
      </w:r>
      <w:r w:rsidRPr="00995B29">
        <w:rPr>
          <w:rFonts w:ascii="Arial" w:hAnsi="Arial" w:cs="Arial"/>
          <w:sz w:val="24"/>
          <w:szCs w:val="24"/>
        </w:rPr>
        <w:t>Para un sistema puesto a tierra, los</w:t>
      </w:r>
      <w:r w:rsidR="00450376">
        <w:rPr>
          <w:rFonts w:ascii="Arial" w:hAnsi="Arial" w:cs="Arial"/>
          <w:sz w:val="24"/>
          <w:szCs w:val="24"/>
        </w:rPr>
        <w:t xml:space="preserve"> </w:t>
      </w:r>
      <w:r w:rsidRPr="00995B29">
        <w:rPr>
          <w:rFonts w:ascii="Arial" w:hAnsi="Arial" w:cs="Arial"/>
          <w:sz w:val="24"/>
          <w:szCs w:val="24"/>
        </w:rPr>
        <w:t>puentes de unión principal y los puentes de unión del sistema se deben instalar de la siguiente manera:</w:t>
      </w:r>
    </w:p>
    <w:p w:rsidR="00EA31FF" w:rsidRPr="00995B29" w:rsidRDefault="00EA31FF" w:rsidP="00995B2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95B29">
        <w:rPr>
          <w:rFonts w:ascii="Arial" w:hAnsi="Arial" w:cs="Arial"/>
          <w:b/>
          <w:bCs/>
          <w:sz w:val="24"/>
          <w:szCs w:val="24"/>
        </w:rPr>
        <w:t xml:space="preserve">a) Material. </w:t>
      </w:r>
      <w:r w:rsidRPr="00995B29">
        <w:rPr>
          <w:rFonts w:ascii="Arial" w:hAnsi="Arial" w:cs="Arial"/>
          <w:sz w:val="24"/>
          <w:szCs w:val="24"/>
        </w:rPr>
        <w:t>Los puentes de unión principales y los puentes de unión del sistema deben ser de cobre u otro</w:t>
      </w:r>
      <w:r w:rsidR="00450376">
        <w:rPr>
          <w:rFonts w:ascii="Arial" w:hAnsi="Arial" w:cs="Arial"/>
          <w:sz w:val="24"/>
          <w:szCs w:val="24"/>
        </w:rPr>
        <w:t xml:space="preserve"> </w:t>
      </w:r>
      <w:r w:rsidRPr="00995B29">
        <w:rPr>
          <w:rFonts w:ascii="Arial" w:hAnsi="Arial" w:cs="Arial"/>
          <w:sz w:val="24"/>
          <w:szCs w:val="24"/>
        </w:rPr>
        <w:t>material resistente a la corrosión. Un puente de unión principal y un puente de unión del sistema deberán ser</w:t>
      </w:r>
      <w:r w:rsidR="00450376">
        <w:rPr>
          <w:rFonts w:ascii="Arial" w:hAnsi="Arial" w:cs="Arial"/>
          <w:sz w:val="24"/>
          <w:szCs w:val="24"/>
        </w:rPr>
        <w:t xml:space="preserve"> </w:t>
      </w:r>
      <w:r w:rsidRPr="00995B29">
        <w:rPr>
          <w:rFonts w:ascii="Arial" w:hAnsi="Arial" w:cs="Arial"/>
          <w:sz w:val="24"/>
          <w:szCs w:val="24"/>
        </w:rPr>
        <w:t>un conductor, una barra, un tornillo o un conductor similar adecuado.</w:t>
      </w:r>
    </w:p>
    <w:p w:rsidR="00EA31FF" w:rsidRPr="00995B29" w:rsidRDefault="00EA31FF" w:rsidP="0045037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95B29">
        <w:rPr>
          <w:rFonts w:ascii="Arial" w:hAnsi="Arial" w:cs="Arial"/>
          <w:b/>
          <w:bCs/>
          <w:sz w:val="24"/>
          <w:szCs w:val="24"/>
        </w:rPr>
        <w:t xml:space="preserve">b) Construcción. </w:t>
      </w:r>
      <w:r w:rsidRPr="00995B29">
        <w:rPr>
          <w:rFonts w:ascii="Arial" w:hAnsi="Arial" w:cs="Arial"/>
          <w:sz w:val="24"/>
          <w:szCs w:val="24"/>
        </w:rPr>
        <w:t>Cuando un puente de unión principal o un puente de unión del sistema es solamente un</w:t>
      </w:r>
      <w:r w:rsidR="00450376">
        <w:rPr>
          <w:rFonts w:ascii="Arial" w:hAnsi="Arial" w:cs="Arial"/>
          <w:sz w:val="24"/>
          <w:szCs w:val="24"/>
        </w:rPr>
        <w:t xml:space="preserve"> </w:t>
      </w:r>
      <w:r w:rsidRPr="00995B29">
        <w:rPr>
          <w:rFonts w:ascii="Arial" w:hAnsi="Arial" w:cs="Arial"/>
          <w:sz w:val="24"/>
          <w:szCs w:val="24"/>
        </w:rPr>
        <w:t>tornillo, este tornillo se debe identificar con un acabado verde que sea visible una vez instalado el tornillo.</w:t>
      </w:r>
    </w:p>
    <w:p w:rsidR="00EA31FF" w:rsidRPr="00995B29" w:rsidRDefault="00EA31FF" w:rsidP="00995B2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95B29">
        <w:rPr>
          <w:rFonts w:ascii="Arial" w:hAnsi="Arial" w:cs="Arial"/>
          <w:b/>
          <w:bCs/>
          <w:sz w:val="24"/>
          <w:szCs w:val="24"/>
        </w:rPr>
        <w:t xml:space="preserve">c) Fijación. </w:t>
      </w:r>
      <w:r w:rsidRPr="00995B29">
        <w:rPr>
          <w:rFonts w:ascii="Arial" w:hAnsi="Arial" w:cs="Arial"/>
          <w:sz w:val="24"/>
          <w:szCs w:val="24"/>
        </w:rPr>
        <w:t>Los puentes de unión principales y los puentes de unión del sistema se deben conectar de la</w:t>
      </w:r>
      <w:r w:rsidR="00450376">
        <w:rPr>
          <w:rFonts w:ascii="Arial" w:hAnsi="Arial" w:cs="Arial"/>
          <w:sz w:val="24"/>
          <w:szCs w:val="24"/>
        </w:rPr>
        <w:t xml:space="preserve"> </w:t>
      </w:r>
      <w:r w:rsidRPr="00995B29">
        <w:rPr>
          <w:rFonts w:ascii="Arial" w:hAnsi="Arial" w:cs="Arial"/>
          <w:sz w:val="24"/>
          <w:szCs w:val="24"/>
        </w:rPr>
        <w:t>manera especificada en las disposiciones aplicables de 250-8.</w:t>
      </w:r>
    </w:p>
    <w:p w:rsidR="00EA31FF" w:rsidRPr="00995B29" w:rsidRDefault="00EA31FF" w:rsidP="0045037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95B29">
        <w:rPr>
          <w:rFonts w:ascii="Arial" w:hAnsi="Arial" w:cs="Arial"/>
          <w:b/>
          <w:bCs/>
          <w:sz w:val="24"/>
          <w:szCs w:val="24"/>
        </w:rPr>
        <w:t xml:space="preserve">d) Tamaño. </w:t>
      </w:r>
      <w:r w:rsidRPr="00995B29">
        <w:rPr>
          <w:rFonts w:ascii="Arial" w:hAnsi="Arial" w:cs="Arial"/>
          <w:sz w:val="24"/>
          <w:szCs w:val="24"/>
        </w:rPr>
        <w:t>Los tamaños de los puentes de unión principales y los puentes de unión del sistema se deben</w:t>
      </w:r>
      <w:r w:rsidR="00450376">
        <w:rPr>
          <w:rFonts w:ascii="Arial" w:hAnsi="Arial" w:cs="Arial"/>
          <w:sz w:val="24"/>
          <w:szCs w:val="24"/>
        </w:rPr>
        <w:t xml:space="preserve"> </w:t>
      </w:r>
      <w:r w:rsidRPr="00995B29">
        <w:rPr>
          <w:rFonts w:ascii="Arial" w:hAnsi="Arial" w:cs="Arial"/>
          <w:sz w:val="24"/>
          <w:szCs w:val="24"/>
        </w:rPr>
        <w:t>determinar según 250-28(d)(1) hasta (d)(3) siguientes.</w:t>
      </w:r>
    </w:p>
    <w:p w:rsidR="00EA31FF" w:rsidRDefault="00EA31FF" w:rsidP="00EA31FF"/>
    <w:p w:rsidR="00EA31FF" w:rsidRPr="00450376" w:rsidRDefault="00EA31FF" w:rsidP="00EA31FF">
      <w:pPr>
        <w:rPr>
          <w:rFonts w:ascii="Arial" w:hAnsi="Arial" w:cs="Arial"/>
          <w:b/>
          <w:i/>
          <w:sz w:val="24"/>
          <w:szCs w:val="24"/>
          <w:u w:val="single"/>
        </w:rPr>
      </w:pPr>
      <w:r w:rsidRPr="00450376">
        <w:rPr>
          <w:rFonts w:ascii="Arial" w:hAnsi="Arial" w:cs="Arial"/>
          <w:b/>
          <w:i/>
          <w:sz w:val="24"/>
          <w:szCs w:val="24"/>
          <w:u w:val="single"/>
        </w:rPr>
        <w:t>NOM-001-SEDE-2018 (PROYECTO)</w:t>
      </w:r>
    </w:p>
    <w:p w:rsidR="00EA31FF" w:rsidRPr="00995B29" w:rsidRDefault="00EA31FF" w:rsidP="00995B29">
      <w:pPr>
        <w:jc w:val="both"/>
        <w:rPr>
          <w:rFonts w:ascii="Arial" w:hAnsi="Arial" w:cs="Arial"/>
          <w:sz w:val="24"/>
          <w:szCs w:val="24"/>
        </w:rPr>
      </w:pPr>
      <w:r w:rsidRPr="00995B29">
        <w:rPr>
          <w:rFonts w:ascii="Arial" w:hAnsi="Arial" w:cs="Arial"/>
          <w:b/>
          <w:bCs/>
          <w:sz w:val="24"/>
          <w:szCs w:val="24"/>
        </w:rPr>
        <w:lastRenderedPageBreak/>
        <w:t>250-24. Puesta a tierra de sistemas de corriente alterna alimentados por una acometida.</w:t>
      </w:r>
    </w:p>
    <w:p w:rsidR="00EA31FF" w:rsidRPr="00995B29" w:rsidRDefault="00EA31FF" w:rsidP="00995B29">
      <w:pPr>
        <w:jc w:val="both"/>
        <w:rPr>
          <w:rFonts w:ascii="Arial" w:hAnsi="Arial" w:cs="Arial"/>
          <w:sz w:val="24"/>
          <w:szCs w:val="24"/>
        </w:rPr>
      </w:pPr>
      <w:r w:rsidRPr="00995B29">
        <w:rPr>
          <w:rFonts w:ascii="Arial" w:hAnsi="Arial" w:cs="Arial"/>
          <w:b/>
          <w:bCs/>
          <w:sz w:val="24"/>
          <w:szCs w:val="24"/>
        </w:rPr>
        <w:t xml:space="preserve">1) Generalidades. </w:t>
      </w:r>
      <w:r w:rsidRPr="00995B29">
        <w:rPr>
          <w:rFonts w:ascii="Arial" w:hAnsi="Arial" w:cs="Arial"/>
          <w:sz w:val="24"/>
          <w:szCs w:val="24"/>
        </w:rPr>
        <w:t>La conexión del conductor del electrodo de puesta a tierra se debe hacer en cualquier punto accesible desde el lado carga de los conductores de la acometida aérea, bajada de la acometida, conductores de acometida subterránea o acometida lateral hasta e incluyendo, la terminal o barra en la cual está conectado el conductor puesto a tierra de acometida a los medios de desconexión de acometida.</w:t>
      </w:r>
    </w:p>
    <w:p w:rsidR="00EA31FF" w:rsidRPr="00995B29" w:rsidRDefault="00EA31FF" w:rsidP="00995B29">
      <w:pPr>
        <w:jc w:val="both"/>
        <w:rPr>
          <w:rFonts w:ascii="Arial" w:hAnsi="Arial" w:cs="Arial"/>
          <w:b/>
          <w:color w:val="FF0000"/>
          <w:sz w:val="24"/>
          <w:szCs w:val="24"/>
        </w:rPr>
      </w:pPr>
      <w:r w:rsidRPr="00995B29">
        <w:rPr>
          <w:rFonts w:ascii="Arial" w:hAnsi="Arial" w:cs="Arial"/>
          <w:b/>
          <w:bCs/>
          <w:i/>
          <w:color w:val="00B0F0"/>
          <w:sz w:val="24"/>
          <w:szCs w:val="24"/>
          <w:u w:val="single"/>
        </w:rPr>
        <w:t>b) Puente de unión principal.</w:t>
      </w:r>
      <w:r w:rsidRPr="00995B29">
        <w:rPr>
          <w:rFonts w:ascii="Arial" w:hAnsi="Arial" w:cs="Arial"/>
          <w:b/>
          <w:bCs/>
          <w:color w:val="00B0F0"/>
          <w:sz w:val="24"/>
          <w:szCs w:val="24"/>
        </w:rPr>
        <w:t xml:space="preserve"> </w:t>
      </w:r>
      <w:r w:rsidRPr="00995B29">
        <w:rPr>
          <w:rFonts w:ascii="Arial" w:hAnsi="Arial" w:cs="Arial"/>
          <w:b/>
          <w:color w:val="FF0000"/>
          <w:sz w:val="24"/>
          <w:szCs w:val="24"/>
        </w:rPr>
        <w:t xml:space="preserve">Para un sistema puesto a tierra, </w:t>
      </w:r>
      <w:r w:rsidRPr="00995B29">
        <w:rPr>
          <w:rFonts w:ascii="Arial" w:hAnsi="Arial" w:cs="Arial"/>
          <w:b/>
          <w:i/>
          <w:color w:val="00B0F0"/>
          <w:sz w:val="24"/>
          <w:szCs w:val="24"/>
          <w:u w:val="single"/>
        </w:rPr>
        <w:t>se debe</w:t>
      </w:r>
      <w:r w:rsidRPr="00995B29">
        <w:rPr>
          <w:rFonts w:ascii="Arial" w:hAnsi="Arial" w:cs="Arial"/>
          <w:b/>
          <w:color w:val="00B0F0"/>
          <w:sz w:val="24"/>
          <w:szCs w:val="24"/>
        </w:rPr>
        <w:t xml:space="preserve"> </w:t>
      </w:r>
      <w:r w:rsidRPr="00995B29">
        <w:rPr>
          <w:rFonts w:ascii="Arial" w:hAnsi="Arial" w:cs="Arial"/>
          <w:b/>
          <w:color w:val="FF0000"/>
          <w:sz w:val="24"/>
          <w:szCs w:val="24"/>
        </w:rPr>
        <w:t xml:space="preserve">utilizar </w:t>
      </w:r>
      <w:r w:rsidRPr="00450376">
        <w:rPr>
          <w:rFonts w:ascii="Arial" w:hAnsi="Arial" w:cs="Arial"/>
          <w:b/>
          <w:color w:val="FF0000"/>
          <w:sz w:val="24"/>
          <w:szCs w:val="24"/>
          <w:u w:val="single"/>
        </w:rPr>
        <w:t>un puente de unión principal</w:t>
      </w:r>
      <w:r w:rsidRPr="00995B29">
        <w:rPr>
          <w:rFonts w:ascii="Arial" w:hAnsi="Arial" w:cs="Arial"/>
          <w:b/>
          <w:color w:val="FF0000"/>
          <w:sz w:val="24"/>
          <w:szCs w:val="24"/>
        </w:rPr>
        <w:t xml:space="preserve"> sin empalmes para conectar el (los) conductor(es) de puesta a tierra de equipos y la envolvente del medio de desconexión de acometida, al conductor puesto a tierra dentro de la envolvente, para cada medio de desconexión de acometida, </w:t>
      </w:r>
      <w:proofErr w:type="gramStart"/>
      <w:r w:rsidRPr="00995B29">
        <w:rPr>
          <w:rFonts w:ascii="Arial" w:hAnsi="Arial" w:cs="Arial"/>
          <w:b/>
          <w:color w:val="FF0000"/>
          <w:sz w:val="24"/>
          <w:szCs w:val="24"/>
        </w:rPr>
        <w:t>de acuerdo a</w:t>
      </w:r>
      <w:proofErr w:type="gramEnd"/>
      <w:r w:rsidRPr="00995B29">
        <w:rPr>
          <w:rFonts w:ascii="Arial" w:hAnsi="Arial" w:cs="Arial"/>
          <w:b/>
          <w:color w:val="FF0000"/>
          <w:sz w:val="24"/>
          <w:szCs w:val="24"/>
        </w:rPr>
        <w:t xml:space="preserve"> 250-28.</w:t>
      </w:r>
    </w:p>
    <w:p w:rsidR="00995B29" w:rsidRDefault="00995B29" w:rsidP="00995B29">
      <w:pPr>
        <w:jc w:val="both"/>
        <w:rPr>
          <w:rFonts w:ascii="Arial" w:hAnsi="Arial" w:cs="Arial"/>
          <w:sz w:val="24"/>
          <w:szCs w:val="24"/>
        </w:rPr>
      </w:pPr>
      <w:r w:rsidRPr="00995B29">
        <w:rPr>
          <w:rFonts w:ascii="Arial" w:hAnsi="Arial" w:cs="Arial"/>
          <w:b/>
          <w:bCs/>
          <w:sz w:val="24"/>
          <w:szCs w:val="24"/>
        </w:rPr>
        <w:t xml:space="preserve">c) Conductor puesto a tierra llevado al equipo de acometida. </w:t>
      </w:r>
      <w:r w:rsidRPr="00995B29">
        <w:rPr>
          <w:rFonts w:ascii="Arial" w:hAnsi="Arial" w:cs="Arial"/>
          <w:sz w:val="24"/>
          <w:szCs w:val="24"/>
        </w:rPr>
        <w:t>Cuando un sistema de corriente alterna operando a 1000 volts o menos está puesto a tierra en cualquier punto, el conductor puesto a tierra debe tenderse junto con los conductores de fase hasta cada medio de desconexión de acometida, y se debe conectar a cada terminal o barra del conductor puesto a tierra de cada medio de desconexión. Un puente de unión principal debe conectar el conductor puesto a tierra a cada envolvente de los medios de desconexión de cada acometida. El conductor puesto a tierra se debe instalar de acuerdo de (1) a (4) siguientes:</w:t>
      </w:r>
    </w:p>
    <w:p w:rsidR="006106D8" w:rsidRPr="006106D8" w:rsidRDefault="006106D8" w:rsidP="006106D8">
      <w:pPr>
        <w:pStyle w:val="Default"/>
        <w:jc w:val="both"/>
      </w:pPr>
      <w:r w:rsidRPr="006106D8">
        <w:rPr>
          <w:b/>
          <w:bCs/>
        </w:rPr>
        <w:t xml:space="preserve">250-28. Puente de unión principal y puente de unión del sistema. </w:t>
      </w:r>
      <w:r w:rsidRPr="006106D8">
        <w:t xml:space="preserve">Para un sistema puesto a tierra, los puentes de unión principal y los puentes de unión del sistema </w:t>
      </w:r>
      <w:r w:rsidRPr="006106D8">
        <w:rPr>
          <w:b/>
          <w:i/>
          <w:color w:val="FF0000"/>
        </w:rPr>
        <w:t>se deben instalar</w:t>
      </w:r>
      <w:r w:rsidRPr="006106D8">
        <w:rPr>
          <w:color w:val="FF0000"/>
        </w:rPr>
        <w:t xml:space="preserve"> </w:t>
      </w:r>
      <w:r w:rsidRPr="006106D8">
        <w:t xml:space="preserve">de la siguiente manera: </w:t>
      </w:r>
    </w:p>
    <w:p w:rsidR="006106D8" w:rsidRPr="006106D8" w:rsidRDefault="006106D8" w:rsidP="006106D8">
      <w:pPr>
        <w:pStyle w:val="Default"/>
        <w:jc w:val="both"/>
      </w:pPr>
      <w:r w:rsidRPr="006106D8">
        <w:rPr>
          <w:b/>
          <w:bCs/>
        </w:rPr>
        <w:t xml:space="preserve">a) Material. </w:t>
      </w:r>
      <w:r w:rsidRPr="006106D8">
        <w:t xml:space="preserve">Los puentes de unión principales y los puentes de unión del sistema deben ser de cobre u otro material resistente a la corrosión. Un puente de unión principal y un puente de unión del sistema deberán ser un conductor, una barra, un tornillo o un conductor similar adecuado. </w:t>
      </w:r>
    </w:p>
    <w:p w:rsidR="006106D8" w:rsidRPr="006106D8" w:rsidRDefault="006106D8" w:rsidP="006106D8">
      <w:pPr>
        <w:pStyle w:val="Default"/>
        <w:jc w:val="both"/>
      </w:pPr>
      <w:r w:rsidRPr="006106D8">
        <w:rPr>
          <w:b/>
          <w:bCs/>
        </w:rPr>
        <w:t xml:space="preserve">b) Construcción. </w:t>
      </w:r>
      <w:r w:rsidRPr="006106D8">
        <w:t xml:space="preserve">Cuando un puente de unión principal o un puente de unión del sistema es solamente un tornillo, este tornillo se debe identificar con un acabado verde que sea visible una vez instalado el tornillo. </w:t>
      </w:r>
    </w:p>
    <w:p w:rsidR="006106D8" w:rsidRPr="006106D8" w:rsidRDefault="006106D8" w:rsidP="006106D8">
      <w:pPr>
        <w:pStyle w:val="Default"/>
        <w:jc w:val="both"/>
      </w:pPr>
      <w:r w:rsidRPr="006106D8">
        <w:rPr>
          <w:b/>
          <w:bCs/>
        </w:rPr>
        <w:t xml:space="preserve">c) Fijación. </w:t>
      </w:r>
      <w:r w:rsidRPr="006106D8">
        <w:t xml:space="preserve">Los puentes de unión principales y los puentes de unión del sistema se deben conectar de la manera especificada en las disposiciones aplicables de 250-8. </w:t>
      </w:r>
    </w:p>
    <w:p w:rsidR="006106D8" w:rsidRPr="006106D8" w:rsidRDefault="006106D8" w:rsidP="006106D8">
      <w:pPr>
        <w:jc w:val="both"/>
        <w:rPr>
          <w:rFonts w:ascii="Arial" w:hAnsi="Arial" w:cs="Arial"/>
          <w:sz w:val="24"/>
          <w:szCs w:val="24"/>
        </w:rPr>
      </w:pPr>
      <w:r w:rsidRPr="006106D8">
        <w:rPr>
          <w:rFonts w:ascii="Arial" w:hAnsi="Arial" w:cs="Arial"/>
          <w:b/>
          <w:bCs/>
          <w:color w:val="FF0000"/>
          <w:sz w:val="24"/>
          <w:szCs w:val="24"/>
        </w:rPr>
        <w:t>d) Tamaño</w:t>
      </w:r>
      <w:r w:rsidRPr="006106D8">
        <w:rPr>
          <w:rFonts w:ascii="Arial" w:hAnsi="Arial" w:cs="Arial"/>
          <w:b/>
          <w:bCs/>
          <w:sz w:val="24"/>
          <w:szCs w:val="24"/>
        </w:rPr>
        <w:t xml:space="preserve">. </w:t>
      </w:r>
      <w:r w:rsidRPr="006106D8">
        <w:rPr>
          <w:rFonts w:ascii="Arial" w:hAnsi="Arial" w:cs="Arial"/>
          <w:sz w:val="24"/>
          <w:szCs w:val="24"/>
        </w:rPr>
        <w:t>Los tamaños de los puentes de unión principales y los puentes de unión del sistema se deben determinar según 250-28(d)(1) hasta (d)(3) siguientes.</w:t>
      </w:r>
    </w:p>
    <w:p w:rsidR="00450376" w:rsidRPr="00995B29" w:rsidRDefault="006106D8" w:rsidP="00995B2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612130" cy="516763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16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0376" w:rsidRPr="00995B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623DBE"/>
    <w:multiLevelType w:val="hybridMultilevel"/>
    <w:tmpl w:val="AC18B0BE"/>
    <w:lvl w:ilvl="0" w:tplc="51E06BD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1FF"/>
    <w:rsid w:val="00443EFD"/>
    <w:rsid w:val="00450376"/>
    <w:rsid w:val="006106D8"/>
    <w:rsid w:val="0064624D"/>
    <w:rsid w:val="006F4CB8"/>
    <w:rsid w:val="00870EBE"/>
    <w:rsid w:val="00995B29"/>
    <w:rsid w:val="00E15D9F"/>
    <w:rsid w:val="00EA3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69F50E-D504-4B6A-B4D2-19C22AA69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A31FF"/>
    <w:pPr>
      <w:ind w:left="720"/>
      <w:contextualSpacing/>
    </w:pPr>
  </w:style>
  <w:style w:type="paragraph" w:customStyle="1" w:styleId="Default">
    <w:name w:val="Default"/>
    <w:rsid w:val="006106D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851</Words>
  <Characters>4681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</dc:creator>
  <cp:keywords/>
  <dc:description/>
  <cp:lastModifiedBy>Jose Luis</cp:lastModifiedBy>
  <cp:revision>2</cp:revision>
  <dcterms:created xsi:type="dcterms:W3CDTF">2020-02-13T04:12:00Z</dcterms:created>
  <dcterms:modified xsi:type="dcterms:W3CDTF">2020-02-13T04:12:00Z</dcterms:modified>
</cp:coreProperties>
</file>