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33DFA" w14:textId="77777777" w:rsidR="00D102BC" w:rsidRPr="00D102BC" w:rsidRDefault="00D102BC" w:rsidP="00D102BC"/>
    <w:p/>
    <w:p/>
    <w:p/>
    <w:p/>
    <w:p/>
    <w:p/>
    <w:p/>
    <w:p>
      <w:r>
        <w:t>February 24, 2021</w:t>
      </w:r>
    </w:p>
    <w:p/>
    <w:p>
      <w:r>
        <w:t>Mr. John Deer</w:t>
      </w:r>
    </w:p>
    <w:p>
      <w:r>
        <w:t>ABC Client Company</w:t>
      </w:r>
    </w:p>
    <w:p>
      <w:r>
        <w:t>123 Client Lane</w:t>
      </w:r>
    </w:p>
    <w:p>
      <w:r>
        <w:t>Clientville, Michigan 48xxx</w:t>
      </w:r>
    </w:p>
    <w:p/>
    <w:p>
      <w:pPr>
        <w:tabs>
          <w:tab w:pos="720" w:val="left"/>
        </w:tabs>
      </w:pPr>
      <w:r>
        <w:t>RE:</w:t>
        <w:tab/>
        <w:t>Proposal for Construction Engineering Services</w:t>
      </w:r>
    </w:p>
    <w:p>
      <w:pPr>
        <w:tabs>
          <w:tab w:pos="720" w:val="left"/>
        </w:tabs>
      </w:pPr>
      <w:r>
        <w:tab/>
        <w:t>Proposed Commercial Building Project</w:t>
      </w:r>
    </w:p>
    <w:p>
      <w:pPr>
        <w:tabs>
          <w:tab w:pos="720" w:val="left"/>
        </w:tabs>
      </w:pPr>
      <w:r>
        <w:tab/>
        <w:t>5534 Project Street</w:t>
      </w:r>
    </w:p>
    <w:p>
      <w:pPr>
        <w:tabs>
          <w:tab w:pos="720" w:val="left"/>
        </w:tabs>
      </w:pPr>
      <w:r>
        <w:tab/>
        <w:t>Pretendville, Michigan 48xxx</w:t>
      </w:r>
    </w:p>
    <w:p/>
    <w:p>
      <w:r>
        <w:t>Dear Mr. Deer:</w:t>
      </w:r>
    </w:p>
    <w:p/>
    <w:p>
      <w:r>
        <w:t xml:space="preserve">In accordance with your request, we present our Proposal for Construction Engineering Services for the Proposed Commercial Building Project project in Pretendville, Michigan.  We understand the project will consist of </w:t>
      </w:r>
      <w:r>
        <w:t>the construction of a pretend building that does not exist and will never exist.</w:t>
      </w:r>
    </w:p>
    <w:p/>
    <w:p>
      <w:r>
        <w:t>Based on our review of the drawings, we anticipate special inspection services will include earthwork operations and underground utilities, foundation construction, site concrete, masonry, structural steel, and bituminous paving operations inspection.</w:t>
      </w:r>
    </w:p>
    <w:p>
      <w:pPr>
        <w:pStyle w:val="Heading1"/>
      </w:pPr>
      <w:r>
        <w:t>PERSONNEL</w:t>
      </w:r>
    </w:p>
    <w:p>
      <w:r>
        <w:t xml:space="preserve">Our field representatives are trained through various governmental and technical training programs.  Concrete testing training is obtained from completing a Grade 1 course provided by the American Concrete Institute (ACI), as well as certifications from the International Code Council (ICC).  Density testing training is obtained at density course provided by Ferris State University/Lawrence Tech in association with MDOT.  Structural steel and masonry certification is obtained through the ICC.  Radiation safety training for use and transport of nuclear moisture/density gauges is obtained from approved training entities.  </w:t>
      </w:r>
    </w:p>
    <w:p>
      <w:pPr>
        <w:pStyle w:val="Heading1"/>
      </w:pPr>
      <w:r>
        <w:t>SCOPE OF SERVICES</w:t>
      </w:r>
    </w:p>
    <w:p>
      <w:r>
        <w:t>Our construction engineering services will consist of observing construction activities and advising the contractor on conformance with project specifications.  We anticipate the scope of our services shall include, as appropriate, the following items:</w:t>
      </w:r>
    </w:p>
    <w:p>
      <w:pPr>
        <w:pStyle w:val="Heading1"/>
      </w:pPr>
      <w:r>
        <w:t>Earthwork Operations and Underground Utilities</w:t>
      </w:r>
    </w:p>
    <w:p>
      <w:pPr>
        <w:pStyle w:val="ListBullet"/>
      </w:pPr>
      <w:r>
        <w:t>Our field representative will observe subgrade preparation, including placement and compaction of engineered fill, subbase, and aggregate base materials.  We will observe proof roll operations and make recommendations for stabilizing unsuitable subgrade soils.  We will observe trench excavation operations, preparation of the trench bottom, placement of bedding layers, and placement and compaction of trench backfill, as necessary.</w:t>
      </w:r>
    </w:p>
    <w:p>
      <w:pPr>
        <w:pStyle w:val="ListBullet"/>
      </w:pPr>
      <w:r>
        <w:t>Our field representative will sample and evaluate fill soils and determine the moisture content and in-place dry density of engineered fill and backfill materials.  We will obtain representative samples of fill and backfill materials for laboratory testing.  Retained samples will be evaluated for grain size distribution, maximum dry density, and optimum moisture content, as necessary for use in compaction control.</w:t>
      </w:r>
    </w:p>
    <w:p>
      <w:pPr>
        <w:pStyle w:val="ListBullet"/>
      </w:pPr>
      <w:r>
        <w:t>In order to expedite testing operations and to minimize delays to the contractor, our field representative will use a nuclear moisture/density gauge to observe compliance of fill materials with compaction specifications.</w:t>
      </w:r>
    </w:p>
    <w:p>
      <w:pPr>
        <w:pStyle w:val="Heading1"/>
      </w:pPr>
      <w:r>
        <w:t>Foundation Construction</w:t>
      </w:r>
    </w:p>
    <w:p>
      <w:pPr>
        <w:pStyle w:val="ListBullet"/>
      </w:pPr>
      <w:r>
        <w:t>We will perform appropriate field tests and make observations to document building foundations have been placed on the recommended bearing soils at the design bearing elevation.  Also, the design dimensions of the foundations will be verified and the bearing surface observed to confirm the foundation excavation has been properly cleaned and prepared prior to placement of cast-in-place concrete.</w:t>
      </w:r>
    </w:p>
    <w:p>
      <w:pPr>
        <w:pStyle w:val="Heading1"/>
      </w:pPr>
      <w:r>
        <w:t>Cast-In-Place Concrete and Site Concrete Work</w:t>
      </w:r>
    </w:p>
    <w:p>
      <w:pPr>
        <w:pStyle w:val="ListBullet"/>
      </w:pPr>
      <w:r>
        <w:t>Our field representative will observe concrete placement operations, perform appropriate field testing (temperature, slump, air content, unit weight, and yield), mold compression test cylinders, and observe concrete finishing and curing operations.</w:t>
      </w:r>
    </w:p>
    <w:p>
      <w:pPr>
        <w:pStyle w:val="ListBullet"/>
      </w:pPr>
      <w:r>
        <w:t>Laboratory testing will principally consist of testing concrete cylinders for compressive strength.</w:t>
      </w:r>
    </w:p>
    <w:p>
      <w:pPr>
        <w:pStyle w:val="Heading1"/>
      </w:pPr>
      <w:r>
        <w:t>Structural Masonry Operations</w:t>
      </w:r>
    </w:p>
    <w:p>
      <w:pPr>
        <w:pStyle w:val="ListBullet"/>
      </w:pPr>
      <w:r>
        <w:t>A field representative will observe construction methods implemented by the contractor during structural masonry construction operations per Level 1 inspection requirements.  Appropriateness of the construction methods will be observed in accordance with applicable ASTM and Masonry Institute of Michigan standards.</w:t>
      </w:r>
    </w:p>
    <w:p>
      <w:pPr>
        <w:pStyle w:val="ListBullet"/>
      </w:pPr>
      <w:r>
        <w:t>During construction, frequent samples of the masonry construction materials, including mortar, grout, and masonry block, will be obtained and tested in accordance with applicable standards.</w:t>
      </w:r>
    </w:p>
    <w:p>
      <w:pPr>
        <w:pStyle w:val="Heading1"/>
      </w:pPr>
      <w:r>
        <w:t>Structural Steel and Miscellaneous Steel Construction</w:t>
      </w:r>
    </w:p>
    <w:p>
      <w:pPr>
        <w:pStyle w:val="ListBullet"/>
      </w:pPr>
      <w:r>
        <w:t>We are prepared to provide field quality control/quality assurance testing of all structural steel and steel decking to be placed in accordance with project specifications. Our testing services are not for fabrication, but are for verification and evaluation at the point of erection and installation.</w:t>
      </w:r>
    </w:p>
    <w:p>
      <w:pPr>
        <w:pStyle w:val="ListBullet"/>
      </w:pPr>
      <w:r>
        <w:t>We will provide on-site observation during steel erection operations including structural steel, steel joists, bolted connections, field welding, metal decking and metal framing.  Specifically, we will test bolt installation at mechanical connections using a torque-wrench and/or turn-of-nut method.  Our personnel will assist in obtaining and providing certified test reports from the steel supplier for shop welds.  We will also perform periodic visual inspection of light-gage metal framing to observe materials are in compliance with the applicable project specifications.</w:t>
      </w:r>
    </w:p>
    <w:p>
      <w:pPr>
        <w:pStyle w:val="ListBullet"/>
      </w:pPr>
      <w:r>
        <w:t>Any full penetration field welds will be evaluated by ultrasonic examination in accordance with Structural Welding Code of the American Welding Society AWS D1.1.</w:t>
      </w:r>
    </w:p>
    <w:p>
      <w:pPr>
        <w:pStyle w:val="Heading1"/>
      </w:pPr>
      <w:r>
        <w:t>Bituminous Paving Operations</w:t>
      </w:r>
    </w:p>
    <w:p>
      <w:pPr>
        <w:pStyle w:val="ListBullet"/>
      </w:pPr>
      <w:r>
        <w:t>At your request, we will review bituminous mix designs submitted by the contractor and make recommendations for approval or modification.  Plant inspections will also be provided upon request.</w:t>
      </w:r>
    </w:p>
    <w:p>
      <w:pPr>
        <w:pStyle w:val="ListBullet"/>
      </w:pPr>
      <w:r>
        <w:t>During paving operations, we will check surface preparation and observe bituminous mixture placement and compaction operations.  These services will include visual evaluation of the bituminous mixture delivered to the site, observing the pavement layer thickness, mix temperature, rolling procedures, and density of finished pavement.</w:t>
      </w:r>
    </w:p>
    <w:p>
      <w:pPr>
        <w:pStyle w:val="Heading1"/>
      </w:pPr>
      <w:r>
        <w:t>PROFESSIONAL FEES</w:t>
      </w:r>
    </w:p>
    <w:p>
      <w:r>
        <w:t xml:space="preserve">Our staff has extensive experience providing construction observation and quality control testing services for similar commercial projects.  In general, we charge fees for our field services as outlined above based on a </w:t>
      </w:r>
      <w:r>
        <w:rPr>
          <w:b/>
        </w:rPr>
        <w:t>daily rate of $700.00 (up to 8 hours portal to portal) or half day rate of $500.00 (up to 4 hours portal to portal)</w:t>
      </w:r>
      <w:r>
        <w:t>.  Overtime hours (in excess of 8 hours) will be charged at a rate of $100 per hour.  Weekends and holidays will be charged at a 50 percent premium.</w:t>
      </w:r>
    </w:p>
    <w:p>
      <w:r>
        <w:t>Our daily rate includes the costs for the project as follows:</w:t>
      </w:r>
    </w:p>
    <w:p>
      <w:pPr>
        <w:pStyle w:val="ListBullet"/>
      </w:pPr>
      <w:r>
        <w:t>On site observation and testing services by our field engineer</w:t>
      </w:r>
    </w:p>
    <w:p>
      <w:pPr>
        <w:pStyle w:val="ListBullet"/>
      </w:pPr>
      <w:r>
        <w:t>Project management time (excluding special meetings)</w:t>
      </w:r>
    </w:p>
    <w:p>
      <w:pPr>
        <w:pStyle w:val="ListBullet"/>
      </w:pPr>
      <w:r>
        <w:t>Administrative fees for processing written observation and test reports</w:t>
      </w:r>
    </w:p>
    <w:p>
      <w:pPr>
        <w:pStyle w:val="ListBullet"/>
      </w:pPr>
      <w:r>
        <w:t>Engineering review of test reports</w:t>
      </w:r>
    </w:p>
    <w:p>
      <w:pPr>
        <w:pStyle w:val="ListBullet"/>
      </w:pPr>
      <w:r>
        <w:t>Equipment and material charges</w:t>
      </w:r>
    </w:p>
    <w:p>
      <w:r>
        <w:t>We charge for laboratory tests according to the rate schedule provided below:</w:t>
      </w:r>
    </w:p>
    <w:p/>
    <w:tbl>
      <w:tblPr>
        <w:tblStyle w:val="GridTable1Light-Accent1"/>
        <w:tblW w:type="auto" w:w="0"/>
        <w:tblLook w:firstColumn="1" w:firstRow="1" w:lastColumn="0" w:lastRow="0" w:noHBand="0" w:noVBand="1" w:val="04A0"/>
      </w:tblPr>
      <w:tblGrid>
        <w:gridCol w:w="5112"/>
        <w:gridCol w:w="5112"/>
      </w:tblGrid>
      <w:tr>
        <w:tc>
          <w:tcPr>
            <w:tcW w:type="dxa" w:w="9000"/>
          </w:tcPr>
          <w:p>
            <w:r>
              <w:t>Laboratory Test</w:t>
            </w:r>
          </w:p>
        </w:tc>
        <w:tc>
          <w:tcPr>
            <w:tcW w:type="dxa" w:w="1800"/>
          </w:tcPr>
          <w:p>
            <w:r>
              <w:t>Rate (per test)</w:t>
            </w:r>
          </w:p>
        </w:tc>
      </w:tr>
      <w:tr>
        <w:tc>
          <w:tcPr>
            <w:tcW w:type="dxa" w:w="9000"/>
          </w:tcPr>
          <w:p>
            <w:r>
              <w:rPr>
                <w:b w:val="0"/>
              </w:rPr>
              <w:t xml:space="preserve">Compressive Strength of Concrete Cylinders (ASTM C 39) </w:t>
            </w:r>
          </w:p>
        </w:tc>
        <w:tc>
          <w:tcPr>
            <w:tcW w:type="dxa" w:w="1800"/>
          </w:tcPr>
          <w:p>
            <w:pPr>
              <w:jc w:val="right"/>
            </w:pPr>
            <w:r>
              <w:t>$14.00</w:t>
            </w:r>
          </w:p>
        </w:tc>
      </w:tr>
      <w:tr>
        <w:tc>
          <w:tcPr>
            <w:tcW w:type="dxa" w:w="9000"/>
          </w:tcPr>
          <w:p>
            <w:r>
              <w:rPr>
                <w:b w:val="0"/>
              </w:rPr>
              <w:t>Compressive Strength of Grout Specimens</w:t>
            </w:r>
          </w:p>
        </w:tc>
        <w:tc>
          <w:tcPr>
            <w:tcW w:type="dxa" w:w="1800"/>
          </w:tcPr>
          <w:p>
            <w:pPr>
              <w:jc w:val="right"/>
            </w:pPr>
            <w:r>
              <w:t>$25.00</w:t>
            </w:r>
          </w:p>
        </w:tc>
      </w:tr>
      <w:tr>
        <w:tc>
          <w:tcPr>
            <w:tcW w:type="dxa" w:w="9000"/>
          </w:tcPr>
          <w:p>
            <w:r>
              <w:rPr>
                <w:b w:val="0"/>
              </w:rPr>
              <w:t>Modified Proctor Compaction Test - sand (ASTM D 1557)</w:t>
            </w:r>
          </w:p>
        </w:tc>
        <w:tc>
          <w:tcPr>
            <w:tcW w:type="dxa" w:w="1800"/>
          </w:tcPr>
          <w:p>
            <w:pPr>
              <w:jc w:val="right"/>
            </w:pPr>
            <w:r>
              <w:t>$225.00</w:t>
            </w:r>
          </w:p>
        </w:tc>
      </w:tr>
      <w:tr>
        <w:tc>
          <w:tcPr>
            <w:tcW w:type="dxa" w:w="9000"/>
          </w:tcPr>
          <w:p>
            <w:r>
              <w:rPr>
                <w:b w:val="0"/>
              </w:rPr>
              <w:t>Modified Proctor Compaction Test - clay (ASTM D 1557)</w:t>
            </w:r>
          </w:p>
        </w:tc>
        <w:tc>
          <w:tcPr>
            <w:tcW w:type="dxa" w:w="1800"/>
          </w:tcPr>
          <w:p>
            <w:pPr>
              <w:jc w:val="right"/>
            </w:pPr>
            <w:r>
              <w:t>$275.00</w:t>
            </w:r>
          </w:p>
        </w:tc>
      </w:tr>
      <w:tr>
        <w:tc>
          <w:tcPr>
            <w:tcW w:type="dxa" w:w="9000"/>
          </w:tcPr>
          <w:p>
            <w:r>
              <w:rPr>
                <w:b w:val="0"/>
              </w:rPr>
              <w:t>Grain Size Analysis (ASTM D 422)</w:t>
            </w:r>
          </w:p>
        </w:tc>
        <w:tc>
          <w:tcPr>
            <w:tcW w:type="dxa" w:w="1800"/>
          </w:tcPr>
          <w:p>
            <w:pPr>
              <w:jc w:val="right"/>
            </w:pPr>
            <w:r>
              <w:t>$85.00</w:t>
            </w:r>
          </w:p>
        </w:tc>
      </w:tr>
      <w:tr>
        <w:tc>
          <w:tcPr>
            <w:tcW w:type="dxa" w:w="9000"/>
          </w:tcPr>
          <w:p>
            <w:r>
              <w:rPr>
                <w:b w:val="0"/>
              </w:rPr>
              <w:t>Mortar Proportions (ASTM D 780)</w:t>
            </w:r>
          </w:p>
        </w:tc>
        <w:tc>
          <w:tcPr>
            <w:tcW w:type="dxa" w:w="1800"/>
          </w:tcPr>
          <w:p>
            <w:pPr>
              <w:jc w:val="right"/>
            </w:pPr>
            <w:r>
              <w:t>$275.00</w:t>
            </w:r>
          </w:p>
        </w:tc>
      </w:tr>
    </w:tbl>
    <w:p/>
    <w:p>
      <w:r>
        <w:t>Based on our review of the drawings, following is an estimate of our fees for construction observation and testing services:</w:t>
      </w:r>
    </w:p>
    <w:p/>
    <w:tbl>
      <w:tblPr>
        <w:tblStyle w:val="GridTable1Light-Accent1"/>
        <w:tblW w:type="auto" w:w="0"/>
        <w:tblLook w:firstColumn="1" w:firstRow="1" w:lastColumn="0" w:lastRow="0" w:noHBand="0" w:noVBand="1" w:val="04A0"/>
      </w:tblPr>
      <w:tblGrid>
        <w:gridCol w:w="2045"/>
        <w:gridCol w:w="2045"/>
        <w:gridCol w:w="2045"/>
        <w:gridCol w:w="2045"/>
        <w:gridCol w:w="2045"/>
      </w:tblGrid>
      <w:tr>
        <w:tc>
          <w:tcPr>
            <w:tcW w:type="dxa" w:w="2880"/>
          </w:tcPr>
          <w:p>
            <w:r>
              <w:t>Work Item</w:t>
            </w:r>
          </w:p>
        </w:tc>
        <w:tc>
          <w:tcPr>
            <w:tcW w:type="dxa" w:w="2880"/>
          </w:tcPr>
          <w:p>
            <w:r>
              <w:t>Unit</w:t>
            </w:r>
          </w:p>
        </w:tc>
        <w:tc>
          <w:tcPr>
            <w:tcW w:type="dxa" w:w="1440"/>
          </w:tcPr>
          <w:p>
            <w:r>
              <w:t>Quantity</w:t>
            </w:r>
          </w:p>
        </w:tc>
        <w:tc>
          <w:tcPr>
            <w:tcW w:type="dxa" w:w="1440"/>
          </w:tcPr>
          <w:p>
            <w:r>
              <w:t>Unit Price</w:t>
            </w:r>
          </w:p>
        </w:tc>
        <w:tc>
          <w:tcPr>
            <w:tcW w:type="dxa" w:w="1440"/>
          </w:tcPr>
          <w:p>
            <w:r>
              <w:t>Total Price</w:t>
            </w:r>
          </w:p>
        </w:tc>
      </w:tr>
      <w:tr>
        <w:tc>
          <w:tcPr>
            <w:tcW w:type="dxa" w:w="2880"/>
          </w:tcPr>
          <w:p>
            <w:r>
              <w:t>Earthwork/grading</w:t>
            </w:r>
          </w:p>
        </w:tc>
        <w:tc>
          <w:tcPr>
            <w:tcW w:type="dxa" w:w="2880"/>
          </w:tcPr>
          <w:p>
            <w:r>
              <w:t>Full Day</w:t>
            </w:r>
          </w:p>
        </w:tc>
        <w:tc>
          <w:tcPr>
            <w:tcW w:type="dxa" w:w="1440"/>
          </w:tcPr>
          <w:p>
            <w:pPr>
              <w:jc w:val="right"/>
            </w:pPr>
            <w:r>
              <w:t>8</w:t>
            </w:r>
          </w:p>
        </w:tc>
        <w:tc>
          <w:tcPr>
            <w:tcW w:type="dxa" w:w="1440"/>
          </w:tcPr>
          <w:p>
            <w:pPr>
              <w:jc w:val="right"/>
            </w:pPr>
            <w:r>
              <w:t>$650.00</w:t>
            </w:r>
          </w:p>
        </w:tc>
        <w:tc>
          <w:tcPr>
            <w:tcW w:type="dxa" w:w="1440"/>
          </w:tcPr>
          <w:p>
            <w:pPr>
              <w:jc w:val="right"/>
            </w:pPr>
            <w:r>
              <w:t>$5200.00</w:t>
            </w:r>
          </w:p>
        </w:tc>
      </w:tr>
      <w:tr>
        <w:tc>
          <w:tcPr>
            <w:tcW w:type="dxa" w:w="2880"/>
          </w:tcPr>
          <w:p>
            <w:r>
              <w:t>Proofroll</w:t>
            </w:r>
          </w:p>
        </w:tc>
        <w:tc>
          <w:tcPr>
            <w:tcW w:type="dxa" w:w="2880"/>
          </w:tcPr>
          <w:p>
            <w:r>
              <w:t>Half Day</w:t>
            </w:r>
          </w:p>
        </w:tc>
        <w:tc>
          <w:tcPr>
            <w:tcW w:type="dxa" w:w="1440"/>
          </w:tcPr>
          <w:p>
            <w:pPr>
              <w:jc w:val="right"/>
            </w:pPr>
            <w:r>
              <w:t>3</w:t>
            </w:r>
          </w:p>
        </w:tc>
        <w:tc>
          <w:tcPr>
            <w:tcW w:type="dxa" w:w="1440"/>
          </w:tcPr>
          <w:p>
            <w:pPr>
              <w:jc w:val="right"/>
            </w:pPr>
            <w:r>
              <w:t>$400.00</w:t>
            </w:r>
          </w:p>
        </w:tc>
        <w:tc>
          <w:tcPr>
            <w:tcW w:type="dxa" w:w="1440"/>
          </w:tcPr>
          <w:p>
            <w:pPr>
              <w:jc w:val="right"/>
            </w:pPr>
            <w:r>
              <w:t>$1200.00</w:t>
            </w:r>
          </w:p>
        </w:tc>
      </w:tr>
      <w:tr>
        <w:tc>
          <w:tcPr>
            <w:tcW w:type="dxa" w:w="2880"/>
          </w:tcPr>
          <w:p>
            <w:r>
              <w:t>Utilities</w:t>
            </w:r>
          </w:p>
        </w:tc>
        <w:tc>
          <w:tcPr>
            <w:tcW w:type="dxa" w:w="2880"/>
          </w:tcPr>
          <w:p>
            <w:r>
              <w:t>Full Day</w:t>
            </w:r>
          </w:p>
        </w:tc>
        <w:tc>
          <w:tcPr>
            <w:tcW w:type="dxa" w:w="1440"/>
          </w:tcPr>
          <w:p>
            <w:pPr>
              <w:jc w:val="right"/>
            </w:pPr>
            <w:r>
              <w:t>6</w:t>
            </w:r>
          </w:p>
        </w:tc>
        <w:tc>
          <w:tcPr>
            <w:tcW w:type="dxa" w:w="1440"/>
          </w:tcPr>
          <w:p>
            <w:pPr>
              <w:jc w:val="right"/>
            </w:pPr>
            <w:r>
              <w:t>$650.00</w:t>
            </w:r>
          </w:p>
        </w:tc>
        <w:tc>
          <w:tcPr>
            <w:tcW w:type="dxa" w:w="1440"/>
          </w:tcPr>
          <w:p>
            <w:pPr>
              <w:jc w:val="right"/>
            </w:pPr>
            <w:r>
              <w:t>$3900.00</w:t>
            </w:r>
          </w:p>
        </w:tc>
      </w:tr>
      <w:tr>
        <w:tc>
          <w:tcPr>
            <w:tcW w:type="dxa" w:w="2880"/>
          </w:tcPr>
          <w:p>
            <w:r>
              <w:t>Foundations/undercuts</w:t>
            </w:r>
          </w:p>
        </w:tc>
        <w:tc>
          <w:tcPr>
            <w:tcW w:type="dxa" w:w="2880"/>
          </w:tcPr>
          <w:p>
            <w:r>
              <w:t>Full Day</w:t>
            </w:r>
          </w:p>
        </w:tc>
        <w:tc>
          <w:tcPr>
            <w:tcW w:type="dxa" w:w="1440"/>
          </w:tcPr>
          <w:p>
            <w:pPr>
              <w:jc w:val="right"/>
            </w:pPr>
            <w:r>
              <w:t>4</w:t>
            </w:r>
          </w:p>
        </w:tc>
        <w:tc>
          <w:tcPr>
            <w:tcW w:type="dxa" w:w="1440"/>
          </w:tcPr>
          <w:p>
            <w:pPr>
              <w:jc w:val="right"/>
            </w:pPr>
            <w:r>
              <w:t>$650.00</w:t>
            </w:r>
          </w:p>
        </w:tc>
        <w:tc>
          <w:tcPr>
            <w:tcW w:type="dxa" w:w="1440"/>
          </w:tcPr>
          <w:p>
            <w:pPr>
              <w:jc w:val="right"/>
            </w:pPr>
            <w:r>
              <w:t>$2600.00</w:t>
            </w:r>
          </w:p>
        </w:tc>
      </w:tr>
      <w:tr>
        <w:tc>
          <w:tcPr>
            <w:tcW w:type="dxa" w:w="2880"/>
          </w:tcPr>
          <w:p/>
        </w:tc>
        <w:tc>
          <w:tcPr>
            <w:tcW w:type="dxa" w:w="2880"/>
          </w:tcPr>
          <w:p>
            <w:r>
              <w:t>Half Day</w:t>
            </w:r>
          </w:p>
        </w:tc>
        <w:tc>
          <w:tcPr>
            <w:tcW w:type="dxa" w:w="1440"/>
          </w:tcPr>
          <w:p>
            <w:pPr>
              <w:jc w:val="right"/>
            </w:pPr>
            <w:r>
              <w:t>2</w:t>
            </w:r>
          </w:p>
        </w:tc>
        <w:tc>
          <w:tcPr>
            <w:tcW w:type="dxa" w:w="1440"/>
          </w:tcPr>
          <w:p>
            <w:pPr>
              <w:jc w:val="right"/>
            </w:pPr>
            <w:r>
              <w:t>$400.00</w:t>
            </w:r>
          </w:p>
        </w:tc>
        <w:tc>
          <w:tcPr>
            <w:tcW w:type="dxa" w:w="1440"/>
          </w:tcPr>
          <w:p>
            <w:pPr>
              <w:jc w:val="right"/>
            </w:pPr>
            <w:r>
              <w:t>$800.00</w:t>
            </w:r>
          </w:p>
        </w:tc>
      </w:tr>
      <w:tr>
        <w:tc>
          <w:tcPr>
            <w:tcW w:type="dxa" w:w="2880"/>
          </w:tcPr>
          <w:p>
            <w:r>
              <w:t>Structural Steel</w:t>
            </w:r>
          </w:p>
        </w:tc>
        <w:tc>
          <w:tcPr>
            <w:tcW w:type="dxa" w:w="2880"/>
          </w:tcPr>
          <w:p>
            <w:r>
              <w:t>Half Day</w:t>
            </w:r>
          </w:p>
        </w:tc>
        <w:tc>
          <w:tcPr>
            <w:tcW w:type="dxa" w:w="1440"/>
          </w:tcPr>
          <w:p>
            <w:pPr>
              <w:jc w:val="right"/>
            </w:pPr>
            <w:r>
              <w:t>1</w:t>
            </w:r>
          </w:p>
        </w:tc>
        <w:tc>
          <w:tcPr>
            <w:tcW w:type="dxa" w:w="1440"/>
          </w:tcPr>
          <w:p>
            <w:pPr>
              <w:jc w:val="right"/>
            </w:pPr>
            <w:r>
              <w:t>$400.00</w:t>
            </w:r>
          </w:p>
        </w:tc>
        <w:tc>
          <w:tcPr>
            <w:tcW w:type="dxa" w:w="1440"/>
          </w:tcPr>
          <w:p>
            <w:pPr>
              <w:jc w:val="right"/>
            </w:pPr>
            <w:r>
              <w:t>$400.00</w:t>
            </w:r>
          </w:p>
        </w:tc>
      </w:tr>
      <w:tr>
        <w:tc>
          <w:tcPr>
            <w:tcW w:type="dxa" w:w="2880"/>
          </w:tcPr>
          <w:p>
            <w:r>
              <w:t>Masonry</w:t>
            </w:r>
          </w:p>
        </w:tc>
        <w:tc>
          <w:tcPr>
            <w:tcW w:type="dxa" w:w="2880"/>
          </w:tcPr>
          <w:p>
            <w:r>
              <w:t>Half Day</w:t>
            </w:r>
          </w:p>
        </w:tc>
        <w:tc>
          <w:tcPr>
            <w:tcW w:type="dxa" w:w="1440"/>
          </w:tcPr>
          <w:p>
            <w:pPr>
              <w:jc w:val="right"/>
            </w:pPr>
            <w:r>
              <w:t>1</w:t>
            </w:r>
          </w:p>
        </w:tc>
        <w:tc>
          <w:tcPr>
            <w:tcW w:type="dxa" w:w="1440"/>
          </w:tcPr>
          <w:p>
            <w:pPr>
              <w:jc w:val="right"/>
            </w:pPr>
            <w:r>
              <w:t>$400.00</w:t>
            </w:r>
          </w:p>
        </w:tc>
        <w:tc>
          <w:tcPr>
            <w:tcW w:type="dxa" w:w="1440"/>
          </w:tcPr>
          <w:p>
            <w:pPr>
              <w:jc w:val="right"/>
            </w:pPr>
            <w:r>
              <w:t>$400.00</w:t>
            </w:r>
          </w:p>
        </w:tc>
      </w:tr>
      <w:tr>
        <w:tc>
          <w:tcPr>
            <w:tcW w:type="dxa" w:w="2880"/>
          </w:tcPr>
          <w:p>
            <w:r>
              <w:t>Floor Slab/slab on deck</w:t>
            </w:r>
          </w:p>
        </w:tc>
        <w:tc>
          <w:tcPr>
            <w:tcW w:type="dxa" w:w="2880"/>
          </w:tcPr>
          <w:p>
            <w:r>
              <w:t>Full Day</w:t>
            </w:r>
          </w:p>
        </w:tc>
        <w:tc>
          <w:tcPr>
            <w:tcW w:type="dxa" w:w="1440"/>
          </w:tcPr>
          <w:p>
            <w:pPr>
              <w:jc w:val="right"/>
            </w:pPr>
            <w:r>
              <w:t>2</w:t>
            </w:r>
          </w:p>
        </w:tc>
        <w:tc>
          <w:tcPr>
            <w:tcW w:type="dxa" w:w="1440"/>
          </w:tcPr>
          <w:p>
            <w:pPr>
              <w:jc w:val="right"/>
            </w:pPr>
            <w:r>
              <w:t>$650.00</w:t>
            </w:r>
          </w:p>
        </w:tc>
        <w:tc>
          <w:tcPr>
            <w:tcW w:type="dxa" w:w="1440"/>
          </w:tcPr>
          <w:p>
            <w:pPr>
              <w:jc w:val="right"/>
            </w:pPr>
            <w:r>
              <w:t>$1300.00</w:t>
            </w:r>
          </w:p>
        </w:tc>
      </w:tr>
      <w:tr>
        <w:tc>
          <w:tcPr>
            <w:tcW w:type="dxa" w:w="2880"/>
          </w:tcPr>
          <w:p>
            <w:r>
              <w:t>Site Concrete</w:t>
            </w:r>
          </w:p>
        </w:tc>
        <w:tc>
          <w:tcPr>
            <w:tcW w:type="dxa" w:w="2880"/>
          </w:tcPr>
          <w:p>
            <w:r>
              <w:t>Full Day</w:t>
            </w:r>
          </w:p>
        </w:tc>
        <w:tc>
          <w:tcPr>
            <w:tcW w:type="dxa" w:w="1440"/>
          </w:tcPr>
          <w:p>
            <w:pPr>
              <w:jc w:val="right"/>
            </w:pPr>
            <w:r>
              <w:t>4</w:t>
            </w:r>
          </w:p>
        </w:tc>
        <w:tc>
          <w:tcPr>
            <w:tcW w:type="dxa" w:w="1440"/>
          </w:tcPr>
          <w:p>
            <w:pPr>
              <w:jc w:val="right"/>
            </w:pPr>
            <w:r>
              <w:t>$650.00</w:t>
            </w:r>
          </w:p>
        </w:tc>
        <w:tc>
          <w:tcPr>
            <w:tcW w:type="dxa" w:w="1440"/>
          </w:tcPr>
          <w:p>
            <w:pPr>
              <w:jc w:val="right"/>
            </w:pPr>
            <w:r>
              <w:t>$2600.00</w:t>
            </w:r>
          </w:p>
        </w:tc>
      </w:tr>
      <w:tr>
        <w:tc>
          <w:tcPr>
            <w:tcW w:type="dxa" w:w="2880"/>
          </w:tcPr>
          <w:p/>
        </w:tc>
        <w:tc>
          <w:tcPr>
            <w:tcW w:type="dxa" w:w="2880"/>
          </w:tcPr>
          <w:p>
            <w:r>
              <w:t>Half Day</w:t>
            </w:r>
          </w:p>
        </w:tc>
        <w:tc>
          <w:tcPr>
            <w:tcW w:type="dxa" w:w="1440"/>
          </w:tcPr>
          <w:p>
            <w:pPr>
              <w:jc w:val="right"/>
            </w:pPr>
            <w:r>
              <w:t>4</w:t>
            </w:r>
          </w:p>
        </w:tc>
        <w:tc>
          <w:tcPr>
            <w:tcW w:type="dxa" w:w="1440"/>
          </w:tcPr>
          <w:p>
            <w:pPr>
              <w:jc w:val="right"/>
            </w:pPr>
            <w:r>
              <w:t>$400.00</w:t>
            </w:r>
          </w:p>
        </w:tc>
        <w:tc>
          <w:tcPr>
            <w:tcW w:type="dxa" w:w="1440"/>
          </w:tcPr>
          <w:p>
            <w:pPr>
              <w:jc w:val="right"/>
            </w:pPr>
            <w:r>
              <w:t>$1600.00</w:t>
            </w:r>
          </w:p>
        </w:tc>
      </w:tr>
      <w:tr>
        <w:tc>
          <w:tcPr>
            <w:tcW w:type="dxa" w:w="2880"/>
          </w:tcPr>
          <w:p>
            <w:r>
              <w:t>Aggregate Base</w:t>
            </w:r>
          </w:p>
        </w:tc>
        <w:tc>
          <w:tcPr>
            <w:tcW w:type="dxa" w:w="2880"/>
          </w:tcPr>
          <w:p>
            <w:r>
              <w:t>Half Day</w:t>
            </w:r>
          </w:p>
        </w:tc>
        <w:tc>
          <w:tcPr>
            <w:tcW w:type="dxa" w:w="1440"/>
          </w:tcPr>
          <w:p>
            <w:pPr>
              <w:jc w:val="right"/>
            </w:pPr>
            <w:r>
              <w:t>2</w:t>
            </w:r>
          </w:p>
        </w:tc>
        <w:tc>
          <w:tcPr>
            <w:tcW w:type="dxa" w:w="1440"/>
          </w:tcPr>
          <w:p>
            <w:pPr>
              <w:jc w:val="right"/>
            </w:pPr>
            <w:r>
              <w:t>$400.00</w:t>
            </w:r>
          </w:p>
        </w:tc>
        <w:tc>
          <w:tcPr>
            <w:tcW w:type="dxa" w:w="1440"/>
          </w:tcPr>
          <w:p>
            <w:pPr>
              <w:jc w:val="right"/>
            </w:pPr>
            <w:r>
              <w:t>$800.00</w:t>
            </w:r>
          </w:p>
        </w:tc>
      </w:tr>
      <w:tr>
        <w:tc>
          <w:tcPr>
            <w:tcW w:type="dxa" w:w="2880"/>
          </w:tcPr>
          <w:p>
            <w:r>
              <w:t>Asphalt Paving</w:t>
            </w:r>
          </w:p>
        </w:tc>
        <w:tc>
          <w:tcPr>
            <w:tcW w:type="dxa" w:w="2880"/>
          </w:tcPr>
          <w:p>
            <w:r>
              <w:t>Full Day</w:t>
            </w:r>
          </w:p>
        </w:tc>
        <w:tc>
          <w:tcPr>
            <w:tcW w:type="dxa" w:w="1440"/>
          </w:tcPr>
          <w:p>
            <w:pPr>
              <w:jc w:val="right"/>
            </w:pPr>
            <w:r>
              <w:t>6</w:t>
            </w:r>
          </w:p>
        </w:tc>
        <w:tc>
          <w:tcPr>
            <w:tcW w:type="dxa" w:w="1440"/>
          </w:tcPr>
          <w:p>
            <w:pPr>
              <w:jc w:val="right"/>
            </w:pPr>
            <w:r>
              <w:t>$650.00</w:t>
            </w:r>
          </w:p>
        </w:tc>
        <w:tc>
          <w:tcPr>
            <w:tcW w:type="dxa" w:w="1440"/>
          </w:tcPr>
          <w:p>
            <w:pPr>
              <w:jc w:val="right"/>
            </w:pPr>
            <w:r>
              <w:t>$3900.00</w:t>
            </w:r>
          </w:p>
        </w:tc>
      </w:tr>
      <w:tr>
        <w:tc>
          <w:tcPr>
            <w:tcW w:type="dxa" w:w="2880"/>
          </w:tcPr>
          <w:p/>
        </w:tc>
        <w:tc>
          <w:tcPr>
            <w:tcW w:type="dxa" w:w="2880"/>
          </w:tcPr>
          <w:p>
            <w:r>
              <w:t>Overtime Hour</w:t>
            </w:r>
          </w:p>
        </w:tc>
        <w:tc>
          <w:tcPr>
            <w:tcW w:type="dxa" w:w="1440"/>
          </w:tcPr>
          <w:p>
            <w:pPr>
              <w:jc w:val="right"/>
            </w:pPr>
            <w:r>
              <w:t>12</w:t>
            </w:r>
          </w:p>
        </w:tc>
        <w:tc>
          <w:tcPr>
            <w:tcW w:type="dxa" w:w="1440"/>
          </w:tcPr>
          <w:p>
            <w:pPr>
              <w:jc w:val="right"/>
            </w:pPr>
            <w:r>
              <w:t>$95.00</w:t>
            </w:r>
          </w:p>
        </w:tc>
        <w:tc>
          <w:tcPr>
            <w:tcW w:type="dxa" w:w="1440"/>
          </w:tcPr>
          <w:p>
            <w:pPr>
              <w:jc w:val="right"/>
            </w:pPr>
            <w:r>
              <w:t>$1140.00</w:t>
            </w:r>
          </w:p>
        </w:tc>
      </w:tr>
      <w:tr>
        <w:tc>
          <w:tcPr>
            <w:tcW w:type="dxa" w:w="2880"/>
          </w:tcPr>
          <w:p>
            <w:r>
              <w:t>Laboratory</w:t>
            </w:r>
          </w:p>
        </w:tc>
        <w:tc>
          <w:tcPr>
            <w:tcW w:type="dxa" w:w="2880"/>
          </w:tcPr>
          <w:p>
            <w:r>
              <w:t>Concrete Cylinder</w:t>
            </w:r>
          </w:p>
        </w:tc>
        <w:tc>
          <w:tcPr>
            <w:tcW w:type="dxa" w:w="1440"/>
          </w:tcPr>
          <w:p>
            <w:pPr>
              <w:jc w:val="right"/>
            </w:pPr>
            <w:r>
              <w:t>115</w:t>
            </w:r>
          </w:p>
        </w:tc>
        <w:tc>
          <w:tcPr>
            <w:tcW w:type="dxa" w:w="1440"/>
          </w:tcPr>
          <w:p>
            <w:pPr>
              <w:jc w:val="right"/>
            </w:pPr>
            <w:r>
              <w:t>$14.00</w:t>
            </w:r>
          </w:p>
        </w:tc>
        <w:tc>
          <w:tcPr>
            <w:tcW w:type="dxa" w:w="1440"/>
          </w:tcPr>
          <w:p>
            <w:pPr>
              <w:jc w:val="right"/>
            </w:pPr>
            <w:r>
              <w:t>$1610.00</w:t>
            </w:r>
          </w:p>
        </w:tc>
      </w:tr>
      <w:tr>
        <w:tc>
          <w:tcPr>
            <w:tcW w:type="dxa" w:w="2880"/>
          </w:tcPr>
          <w:p/>
        </w:tc>
        <w:tc>
          <w:tcPr>
            <w:tcW w:type="dxa" w:w="2880"/>
          </w:tcPr>
          <w:p>
            <w:r>
              <w:t>Cylinder Pick-up</w:t>
            </w:r>
          </w:p>
        </w:tc>
        <w:tc>
          <w:tcPr>
            <w:tcW w:type="dxa" w:w="1440"/>
          </w:tcPr>
          <w:p>
            <w:pPr>
              <w:jc w:val="right"/>
            </w:pPr>
            <w:r>
              <w:t>10</w:t>
            </w:r>
          </w:p>
        </w:tc>
        <w:tc>
          <w:tcPr>
            <w:tcW w:type="dxa" w:w="1440"/>
          </w:tcPr>
          <w:p>
            <w:pPr>
              <w:jc w:val="right"/>
            </w:pPr>
            <w:r>
              <w:t>$90.00</w:t>
            </w:r>
          </w:p>
        </w:tc>
        <w:tc>
          <w:tcPr>
            <w:tcW w:type="dxa" w:w="1440"/>
          </w:tcPr>
          <w:p>
            <w:pPr>
              <w:jc w:val="right"/>
            </w:pPr>
            <w:r>
              <w:t>$900.00</w:t>
            </w:r>
          </w:p>
        </w:tc>
      </w:tr>
      <w:tr>
        <w:tc>
          <w:tcPr>
            <w:tcW w:type="dxa" w:w="2880"/>
          </w:tcPr>
          <w:p/>
        </w:tc>
        <w:tc>
          <w:tcPr>
            <w:tcW w:type="dxa" w:w="2880"/>
          </w:tcPr>
          <w:p>
            <w:r>
              <w:t>Grout Specimen</w:t>
            </w:r>
          </w:p>
        </w:tc>
        <w:tc>
          <w:tcPr>
            <w:tcW w:type="dxa" w:w="1440"/>
          </w:tcPr>
          <w:p>
            <w:pPr>
              <w:jc w:val="right"/>
            </w:pPr>
            <w:r>
              <w:t>4</w:t>
            </w:r>
          </w:p>
        </w:tc>
        <w:tc>
          <w:tcPr>
            <w:tcW w:type="dxa" w:w="1440"/>
          </w:tcPr>
          <w:p>
            <w:pPr>
              <w:jc w:val="right"/>
            </w:pPr>
            <w:r>
              <w:t>$25.00</w:t>
            </w:r>
          </w:p>
        </w:tc>
        <w:tc>
          <w:tcPr>
            <w:tcW w:type="dxa" w:w="1440"/>
          </w:tcPr>
          <w:p>
            <w:pPr>
              <w:jc w:val="right"/>
            </w:pPr>
            <w:r>
              <w:t>$100.00</w:t>
            </w:r>
          </w:p>
        </w:tc>
      </w:tr>
      <w:tr>
        <w:tc>
          <w:tcPr>
            <w:tcW w:type="dxa" w:w="2880"/>
          </w:tcPr>
          <w:p/>
        </w:tc>
        <w:tc>
          <w:tcPr>
            <w:tcW w:type="dxa" w:w="2880"/>
          </w:tcPr>
          <w:p>
            <w:r>
              <w:t>Mortar Proportions</w:t>
            </w:r>
          </w:p>
        </w:tc>
        <w:tc>
          <w:tcPr>
            <w:tcW w:type="dxa" w:w="1440"/>
          </w:tcPr>
          <w:p>
            <w:pPr>
              <w:jc w:val="right"/>
            </w:pPr>
            <w:r>
              <w:t>1</w:t>
            </w:r>
          </w:p>
        </w:tc>
        <w:tc>
          <w:tcPr>
            <w:tcW w:type="dxa" w:w="1440"/>
          </w:tcPr>
          <w:p>
            <w:pPr>
              <w:jc w:val="right"/>
            </w:pPr>
            <w:r>
              <w:t>$275.00</w:t>
            </w:r>
          </w:p>
        </w:tc>
        <w:tc>
          <w:tcPr>
            <w:tcW w:type="dxa" w:w="1440"/>
          </w:tcPr>
          <w:p>
            <w:pPr>
              <w:jc w:val="right"/>
            </w:pPr>
            <w:r>
              <w:t>$275.00</w:t>
            </w:r>
          </w:p>
        </w:tc>
      </w:tr>
      <w:tr>
        <w:tc>
          <w:tcPr>
            <w:tcW w:type="dxa" w:w="2880"/>
          </w:tcPr>
          <w:p/>
        </w:tc>
        <w:tc>
          <w:tcPr>
            <w:tcW w:type="dxa" w:w="2880"/>
          </w:tcPr>
          <w:p>
            <w:r>
              <w:t>Modified Proctor</w:t>
            </w:r>
          </w:p>
        </w:tc>
        <w:tc>
          <w:tcPr>
            <w:tcW w:type="dxa" w:w="1440"/>
          </w:tcPr>
          <w:p>
            <w:pPr>
              <w:jc w:val="right"/>
            </w:pPr>
            <w:r>
              <w:t>2</w:t>
            </w:r>
          </w:p>
        </w:tc>
        <w:tc>
          <w:tcPr>
            <w:tcW w:type="dxa" w:w="1440"/>
          </w:tcPr>
          <w:p>
            <w:pPr>
              <w:jc w:val="right"/>
            </w:pPr>
            <w:r>
              <w:t>$225.00</w:t>
            </w:r>
          </w:p>
        </w:tc>
        <w:tc>
          <w:tcPr>
            <w:tcW w:type="dxa" w:w="1440"/>
          </w:tcPr>
          <w:p>
            <w:pPr>
              <w:jc w:val="right"/>
            </w:pPr>
            <w:r>
              <w:t>$450.00</w:t>
            </w:r>
          </w:p>
        </w:tc>
      </w:tr>
      <w:tr>
        <w:tc>
          <w:tcPr>
            <w:tcW w:type="dxa" w:w="2880"/>
          </w:tcPr>
          <w:p>
            <w:r>
              <w:t>Total</w:t>
            </w:r>
          </w:p>
        </w:tc>
        <w:tc>
          <w:tcPr>
            <w:tcW w:type="dxa" w:w="2880"/>
          </w:tcPr>
          <w:p/>
        </w:tc>
        <w:tc>
          <w:tcPr>
            <w:tcW w:type="dxa" w:w="1440"/>
          </w:tcPr>
          <w:p>
            <w:pPr>
              <w:jc w:val="right"/>
            </w:pPr>
          </w:p>
        </w:tc>
        <w:tc>
          <w:tcPr>
            <w:tcW w:type="dxa" w:w="1440"/>
          </w:tcPr>
          <w:p>
            <w:pPr>
              <w:jc w:val="right"/>
            </w:pPr>
          </w:p>
        </w:tc>
        <w:tc>
          <w:tcPr>
            <w:tcW w:type="dxa" w:w="1440"/>
          </w:tcPr>
          <w:p>
            <w:pPr>
              <w:jc w:val="right"/>
            </w:pPr>
            <w:r>
              <w:rPr>
                <w:b/>
              </w:rPr>
              <w:t>$29175.00</w:t>
            </w:r>
          </w:p>
        </w:tc>
      </w:tr>
    </w:tbl>
    <w:p/>
    <w:p>
      <w:r>
        <w:t>The overall budget is based on our review of the project drawings and anticipated special inspection requirements.  A detailed contractor milestone schedule was not available at the time of this proposal. Our field time is governed by the contractor and their progress.  Should the scope of our services change or construction operations require additional or less time on-site by us or our sub consultants due to delays, slow operations, or less required testing services, fees will be charged accordingly.</w:t>
      </w:r>
    </w:p>
    <w:p>
      <w:pPr>
        <w:pStyle w:val="Heading2"/>
      </w:pPr>
      <w:r>
        <w:t>TERMS AND CONDITIONS</w:t>
      </w:r>
    </w:p>
    <w:p>
      <w:r>
        <w:t>All work will be performed in accordance with our General Conditions, a copy of which is enclosed.  We trust this information is sufficient for your present needs.  If you have any questions regarding the scope of our Construction Engineering Services, or any other matter pertaining to this project, do not hesitate to call us.  We appreciate the opportunity to provide engineering services to you and look forward to working with you on this project.</w:t>
      </w:r>
    </w:p>
    <w:p/>
    <w:p>
      <w:r>
        <w:t>Sincerely,</w:t>
      </w:r>
    </w:p>
    <w:p/>
    <w:p>
      <w:r>
        <w:rPr>
          <w:b/>
        </w:rPr>
        <w:t>Our Company Name Which Is Hard Coded For Some Reason</w:t>
      </w:r>
    </w:p>
    <w:p>
      <w:r>
        <w:drawing>
          <wp:inline xmlns:a="http://schemas.openxmlformats.org/drawingml/2006/main" xmlns:pic="http://schemas.openxmlformats.org/drawingml/2006/picture">
            <wp:extent cx="2814452" cy="685800"/>
            <wp:docPr id="1" name="Picture 1"/>
            <wp:cNvGraphicFramePr>
              <a:graphicFrameLocks noChangeAspect="1"/>
            </wp:cNvGraphicFramePr>
            <a:graphic>
              <a:graphicData uri="http://schemas.openxmlformats.org/drawingml/2006/picture">
                <pic:pic>
                  <pic:nvPicPr>
                    <pic:cNvPr id="0" name="ryan_carpus.jpg"/>
                    <pic:cNvPicPr/>
                  </pic:nvPicPr>
                  <pic:blipFill>
                    <a:blip r:embed="rId13"/>
                    <a:stretch>
                      <a:fillRect/>
                    </a:stretch>
                  </pic:blipFill>
                  <pic:spPr>
                    <a:xfrm>
                      <a:off x="0" y="0"/>
                      <a:ext cx="2814452" cy="685800"/>
                    </a:xfrm>
                    <a:prstGeom prst="rect"/>
                  </pic:spPr>
                </pic:pic>
              </a:graphicData>
            </a:graphic>
          </wp:inline>
        </w:drawing>
        <w:drawing>
          <wp:inline xmlns:a="http://schemas.openxmlformats.org/drawingml/2006/main" xmlns:pic="http://schemas.openxmlformats.org/drawingml/2006/picture">
            <wp:extent cx="2814452" cy="685800"/>
            <wp:docPr id="2" name="Picture 2"/>
            <wp:cNvGraphicFramePr>
              <a:graphicFrameLocks noChangeAspect="1"/>
            </wp:cNvGraphicFramePr>
            <a:graphic>
              <a:graphicData uri="http://schemas.openxmlformats.org/drawingml/2006/picture">
                <pic:pic>
                  <pic:nvPicPr>
                    <pic:cNvPr id="0" name="ryan_carpus.jpg"/>
                    <pic:cNvPicPr/>
                  </pic:nvPicPr>
                  <pic:blipFill>
                    <a:blip r:embed="rId13"/>
                    <a:stretch>
                      <a:fillRect/>
                    </a:stretch>
                  </pic:blipFill>
                  <pic:spPr>
                    <a:xfrm>
                      <a:off x="0" y="0"/>
                      <a:ext cx="2814452" cy="685800"/>
                    </a:xfrm>
                    <a:prstGeom prst="rect"/>
                  </pic:spPr>
                </pic:pic>
              </a:graphicData>
            </a:graphic>
          </wp:inline>
        </w:drawing>
      </w:r>
    </w:p>
    <w:p>
      <w:pPr>
        <w:tabs>
          <w:tab w:pos="5040" w:val="left"/>
        </w:tabs>
      </w:pPr>
      <w:r>
        <w:t>Ryan Carpus</w:t>
        <w:tab/>
        <w:t>John Doe</w:t>
      </w:r>
    </w:p>
    <w:p>
      <w:pPr>
        <w:tabs>
          <w:tab w:pos="5040" w:val="left"/>
        </w:tabs>
      </w:pPr>
      <w:r>
        <w:t>Staff Engineer</w:t>
        <w:tab/>
        <w:t>Project Manager</w:t>
      </w:r>
    </w:p>
    <w:p>
      <w:r>
        <w:t>RPC/RPC/rpc</w:t>
      </w:r>
    </w:p>
    <w:p/>
    <w:p>
      <w:pPr>
        <w:tabs>
          <w:tab w:pos="720" w:val="left"/>
        </w:tabs>
      </w:pPr>
      <w:r>
        <w:t>Encl:</w:t>
        <w:tab/>
        <w:t>General Conditions</w:t>
      </w:r>
    </w:p>
    <w:p>
      <w:pPr>
        <w:tabs>
          <w:tab w:pos="720" w:val="left"/>
        </w:tabs>
      </w:pPr>
      <w:r>
        <w:tab/>
        <w:t>Fee Schedule</w:t>
      </w:r>
    </w:p>
    <w:p/>
    <w:p>
      <w:r>
        <w:rPr>
          <w:b/>
        </w:rPr>
        <w:t>ACCEPTED FOR ABC CLIENT COMPANY:</w:t>
      </w:r>
    </w:p>
    <w:p>
      <w:r>
        <w:t>BY:</w:t>
        <w:tab/>
        <w:t>________________________________________</w:t>
      </w:r>
    </w:p>
    <w:p>
      <w:r>
        <w:t>DATE:</w:t>
        <w:tab/>
        <w:t>________________________________________</w:t>
      </w:r>
    </w:p>
    <w:sectPr w:rsidR="00D102BC" w:rsidRPr="00D102BC" w:rsidSect="009A3B47">
      <w:headerReference w:type="default" r:id="rId8"/>
      <w:headerReference w:type="first" r:id="rId9"/>
      <w:footerReference w:type="first" r:id="rId10"/>
      <w:endnotePr>
        <w:numFmt w:val="decimal"/>
      </w:endnotePr>
      <w:pgSz w:w="12240" w:h="15840" w:code="1"/>
      <w:pgMar w:top="1008" w:right="1008" w:bottom="1440" w:left="1008" w:header="1008" w:footer="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7E4E4D" w14:textId="77777777" w:rsidR="0000488A" w:rsidRDefault="0000488A" w:rsidP="002A5921"/>
    <w:p w14:paraId="138E9FE4" w14:textId="77777777" w:rsidR="0000488A" w:rsidRDefault="0000488A"/>
  </w:endnote>
  <w:endnote w:type="continuationSeparator" w:id="0">
    <w:p w14:paraId="3717E305" w14:textId="77777777" w:rsidR="0000488A" w:rsidRDefault="0000488A">
      <w:r>
        <w:t xml:space="preserve"> </w:t>
      </w:r>
    </w:p>
    <w:p w14:paraId="2A6CF682" w14:textId="77777777" w:rsidR="0000488A" w:rsidRDefault="0000488A"/>
  </w:endnote>
  <w:endnote w:type="continuationNotice" w:id="1">
    <w:p w14:paraId="0A1C4CF1" w14:textId="77777777" w:rsidR="0000488A" w:rsidRDefault="0000488A">
      <w:r>
        <w:t xml:space="preserve"> </w:t>
      </w:r>
    </w:p>
    <w:p w14:paraId="7AC0781D" w14:textId="77777777" w:rsidR="0000488A" w:rsidRDefault="000048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G Times">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D40AA" w14:textId="77777777" w:rsidR="000E115B" w:rsidRDefault="000E115B">
    <w:pPr>
      <w:pStyle w:val="Footer"/>
    </w:pPr>
    <w:r w:rsidRPr="00CC5200">
      <w:rPr>
        <w:noProof/>
      </w:rPr>
      <w:drawing>
        <wp:inline distT="0" distB="0" distL="0" distR="0" wp14:anchorId="70AFB181" wp14:editId="1F398C44">
          <wp:extent cx="6492240" cy="685212"/>
          <wp:effectExtent l="0" t="0" r="3810" b="635"/>
          <wp:docPr id="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2240" cy="68521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55D180" w14:textId="77777777" w:rsidR="0000488A" w:rsidRDefault="0000488A">
      <w:r>
        <w:separator/>
      </w:r>
    </w:p>
    <w:p w14:paraId="7652E347" w14:textId="77777777" w:rsidR="0000488A" w:rsidRDefault="0000488A"/>
  </w:footnote>
  <w:footnote w:type="continuationSeparator" w:id="0">
    <w:p w14:paraId="6AB7B99B" w14:textId="77777777" w:rsidR="0000488A" w:rsidRDefault="0000488A">
      <w:r>
        <w:continuationSeparator/>
      </w:r>
    </w:p>
    <w:p w14:paraId="25585D4E" w14:textId="77777777" w:rsidR="0000488A" w:rsidRDefault="000048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4C901" w14:textId="1BABB096" w:rsidR="00F203E0" w:rsidRPr="002A5921" w:rsidRDefault="00A14F5F" w:rsidP="00F203E0">
    <w:r>
      <w:fldChar w:fldCharType="begin"/>
    </w:r>
    <w:r>
      <w:instrText xml:space="preserve"> DATE \@ "MMMM d, yyyy" </w:instrText>
    </w:r>
    <w:r>
      <w:fldChar w:fldCharType="separate"/>
    </w:r>
    <w:r w:rsidR="00737BC3">
      <w:rPr>
        <w:noProof/>
      </w:rPr>
      <w:t>February 24, 2021</w:t>
    </w:r>
    <w:r>
      <w:fldChar w:fldCharType="end"/>
    </w:r>
    <w:r w:rsidR="00F203E0" w:rsidRPr="00CC5200">
      <w:rPr>
        <w:noProof/>
      </w:rPr>
      <w:drawing>
        <wp:anchor distT="0" distB="0" distL="114300" distR="114300" simplePos="0" relativeHeight="251664384" behindDoc="0" locked="0" layoutInCell="1" allowOverlap="1" wp14:anchorId="55F8B8CF" wp14:editId="41D6CFB1">
          <wp:simplePos x="0" y="0"/>
          <wp:positionH relativeFrom="margin">
            <wp:align>right</wp:align>
          </wp:positionH>
          <wp:positionV relativeFrom="paragraph">
            <wp:align>bottom</wp:align>
          </wp:positionV>
          <wp:extent cx="457200" cy="457200"/>
          <wp:effectExtent l="0" t="0" r="0" b="0"/>
          <wp:wrapSquare wrapText="bothSides"/>
          <wp:docPr id="3" name="Picture 3" descr="cropped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cropped color"/>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02BC" w:rsidRPr="002A5921">
      <w:t xml:space="preserve"> </w:t>
    </w:r>
  </w:p>
  <w:p w14:paraId="2C95B7F8" w14:textId="77777777" w:rsidR="00D102BC" w:rsidRDefault="00D102BC" w:rsidP="002A5921">
    <w:r>
      <w:t>G2 Project No. 123456</w:t>
    </w:r>
  </w:p>
  <w:p w14:paraId="16A176FD" w14:textId="06B36E28" w:rsidR="00F52F9B" w:rsidRPr="002A5921" w:rsidRDefault="00F203E0" w:rsidP="002A5921">
    <w:r w:rsidRPr="00F52F9B">
      <w:t xml:space="preserve">Page </w:t>
    </w:r>
    <w:r w:rsidRPr="002A5921">
      <w:fldChar w:fldCharType="begin"/>
    </w:r>
    <w:r w:rsidRPr="002A5921">
      <w:instrText>page \* arabic</w:instrText>
    </w:r>
    <w:r w:rsidRPr="002A5921">
      <w:fldChar w:fldCharType="separate"/>
    </w:r>
    <w:r w:rsidR="00DB687A">
      <w:rPr>
        <w:noProof/>
      </w:rPr>
      <w:t>4</w:t>
    </w:r>
    <w:r w:rsidRPr="002A5921">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62B30" w14:textId="77777777" w:rsidR="00F52F9B" w:rsidRPr="002A5921" w:rsidRDefault="000E115B" w:rsidP="002A5921">
    <w:r w:rsidRPr="00CC5200">
      <w:rPr>
        <w:noProof/>
      </w:rPr>
      <w:drawing>
        <wp:anchor distT="0" distB="0" distL="114300" distR="114300" simplePos="0" relativeHeight="251666432" behindDoc="1" locked="0" layoutInCell="1" allowOverlap="1" wp14:anchorId="68EA81C1" wp14:editId="7805AC48">
          <wp:simplePos x="0" y="0"/>
          <wp:positionH relativeFrom="margin">
            <wp:posOffset>-1905</wp:posOffset>
          </wp:positionH>
          <wp:positionV relativeFrom="paragraph">
            <wp:posOffset>-1905</wp:posOffset>
          </wp:positionV>
          <wp:extent cx="914400" cy="11703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t="1759" b="1759"/>
                  <a:stretch>
                    <a:fillRect/>
                  </a:stretch>
                </pic:blipFill>
                <pic:spPr bwMode="auto">
                  <a:xfrm>
                    <a:off x="0" y="0"/>
                    <a:ext cx="91440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04F2F72E"/>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CE3C6F16"/>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92ECE59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FBA82A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73C28DC"/>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38C33B2"/>
    <w:multiLevelType w:val="singleLevel"/>
    <w:tmpl w:val="F064EDDE"/>
    <w:lvl w:ilvl="0">
      <w:start w:val="1"/>
      <w:numFmt w:val="decimal"/>
      <w:lvlText w:val="%1."/>
      <w:lvlJc w:val="left"/>
      <w:pPr>
        <w:tabs>
          <w:tab w:val="num" w:pos="720"/>
        </w:tabs>
        <w:ind w:left="720" w:hanging="720"/>
      </w:pPr>
      <w:rPr>
        <w:rFonts w:hint="default"/>
      </w:rPr>
    </w:lvl>
  </w:abstractNum>
  <w:abstractNum w:abstractNumId="6" w15:restartNumberingAfterBreak="0">
    <w:nsid w:val="0D147500"/>
    <w:multiLevelType w:val="hybridMultilevel"/>
    <w:tmpl w:val="C9FA23AC"/>
    <w:lvl w:ilvl="0" w:tplc="38EAE764">
      <w:start w:val="1"/>
      <w:numFmt w:val="decimal"/>
      <w:pStyle w:val="QuestionnaireList"/>
      <w:lvlText w:val="(%1.)"/>
      <w:lvlJc w:val="left"/>
      <w:pPr>
        <w:ind w:left="720" w:hanging="360"/>
      </w:pPr>
      <w:rPr>
        <w:rFonts w:ascii="Lucida Sans" w:hAnsi="Lucida Sans" w:hint="default"/>
        <w:b/>
        <w:i w:val="0"/>
      </w:rPr>
    </w:lvl>
    <w:lvl w:ilvl="1" w:tplc="D46E33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51D3A"/>
    <w:multiLevelType w:val="hybridMultilevel"/>
    <w:tmpl w:val="804665F2"/>
    <w:lvl w:ilvl="0" w:tplc="69183674">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75CB2"/>
    <w:multiLevelType w:val="hybridMultilevel"/>
    <w:tmpl w:val="292E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CB5D28"/>
    <w:multiLevelType w:val="hybridMultilevel"/>
    <w:tmpl w:val="C5BC6EE2"/>
    <w:lvl w:ilvl="0" w:tplc="6B841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2520B"/>
    <w:multiLevelType w:val="singleLevel"/>
    <w:tmpl w:val="4928D874"/>
    <w:lvl w:ilvl="0">
      <w:start w:val="3"/>
      <w:numFmt w:val="decimal"/>
      <w:lvlText w:val="%1."/>
      <w:lvlJc w:val="left"/>
      <w:pPr>
        <w:tabs>
          <w:tab w:val="num" w:pos="720"/>
        </w:tabs>
        <w:ind w:left="720" w:hanging="720"/>
      </w:pPr>
    </w:lvl>
  </w:abstractNum>
  <w:abstractNum w:abstractNumId="11" w15:restartNumberingAfterBreak="0">
    <w:nsid w:val="53146A4B"/>
    <w:multiLevelType w:val="hybridMultilevel"/>
    <w:tmpl w:val="039E18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0F319C"/>
    <w:multiLevelType w:val="hybridMultilevel"/>
    <w:tmpl w:val="D9D66A5E"/>
    <w:lvl w:ilvl="0" w:tplc="096262CE">
      <w:start w:val="1"/>
      <w:numFmt w:val="lowerLetter"/>
      <w:pStyle w:val="QuestionnaireList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0"/>
    <w:lvlOverride w:ilvl="0">
      <w:startOverride w:val="3"/>
    </w:lvlOverride>
  </w:num>
  <w:num w:numId="4">
    <w:abstractNumId w:val="7"/>
  </w:num>
  <w:num w:numId="5">
    <w:abstractNumId w:val="9"/>
  </w:num>
  <w:num w:numId="6">
    <w:abstractNumId w:val="4"/>
  </w:num>
  <w:num w:numId="7">
    <w:abstractNumId w:val="3"/>
  </w:num>
  <w:num w:numId="8">
    <w:abstractNumId w:val="2"/>
  </w:num>
  <w:num w:numId="9">
    <w:abstractNumId w:val="1"/>
  </w:num>
  <w:num w:numId="10">
    <w:abstractNumId w:val="0"/>
  </w:num>
  <w:num w:numId="11">
    <w:abstractNumId w:val="6"/>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SortMethod w:val="0000"/>
  <w:documentProtection w:formatting="1" w:enforcement="0"/>
  <w:defaultTabStop w:val="144"/>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E6"/>
    <w:rsid w:val="0000249A"/>
    <w:rsid w:val="0000488A"/>
    <w:rsid w:val="00005104"/>
    <w:rsid w:val="00014F4F"/>
    <w:rsid w:val="00023463"/>
    <w:rsid w:val="00040A89"/>
    <w:rsid w:val="00045EA3"/>
    <w:rsid w:val="00056E12"/>
    <w:rsid w:val="00063AFE"/>
    <w:rsid w:val="00072797"/>
    <w:rsid w:val="000735BC"/>
    <w:rsid w:val="000759BC"/>
    <w:rsid w:val="00081A39"/>
    <w:rsid w:val="000847A8"/>
    <w:rsid w:val="00086BEF"/>
    <w:rsid w:val="000A69AB"/>
    <w:rsid w:val="000A7FBD"/>
    <w:rsid w:val="000C310D"/>
    <w:rsid w:val="000E115B"/>
    <w:rsid w:val="000F41D7"/>
    <w:rsid w:val="000F5E30"/>
    <w:rsid w:val="00130479"/>
    <w:rsid w:val="00141960"/>
    <w:rsid w:val="00144DD0"/>
    <w:rsid w:val="001479B2"/>
    <w:rsid w:val="001531CF"/>
    <w:rsid w:val="00155D30"/>
    <w:rsid w:val="00156F49"/>
    <w:rsid w:val="00160C6C"/>
    <w:rsid w:val="00161B9F"/>
    <w:rsid w:val="00175C3A"/>
    <w:rsid w:val="00176864"/>
    <w:rsid w:val="00182F62"/>
    <w:rsid w:val="00190D5E"/>
    <w:rsid w:val="001C6E32"/>
    <w:rsid w:val="001E783B"/>
    <w:rsid w:val="001F5BE0"/>
    <w:rsid w:val="001F70A4"/>
    <w:rsid w:val="002379EE"/>
    <w:rsid w:val="00250B08"/>
    <w:rsid w:val="00270953"/>
    <w:rsid w:val="00270F7F"/>
    <w:rsid w:val="002719FE"/>
    <w:rsid w:val="002752F1"/>
    <w:rsid w:val="00294237"/>
    <w:rsid w:val="002A0869"/>
    <w:rsid w:val="002A1EED"/>
    <w:rsid w:val="002A5921"/>
    <w:rsid w:val="002C6974"/>
    <w:rsid w:val="002D24E2"/>
    <w:rsid w:val="002D5D8F"/>
    <w:rsid w:val="002D7E12"/>
    <w:rsid w:val="002E7B8D"/>
    <w:rsid w:val="003110D8"/>
    <w:rsid w:val="00311DD7"/>
    <w:rsid w:val="0032392E"/>
    <w:rsid w:val="003255E5"/>
    <w:rsid w:val="00325882"/>
    <w:rsid w:val="00333125"/>
    <w:rsid w:val="003433AE"/>
    <w:rsid w:val="0034505A"/>
    <w:rsid w:val="00357C84"/>
    <w:rsid w:val="0036619C"/>
    <w:rsid w:val="0038203C"/>
    <w:rsid w:val="00394C6F"/>
    <w:rsid w:val="003A2E6E"/>
    <w:rsid w:val="003B6538"/>
    <w:rsid w:val="003C3487"/>
    <w:rsid w:val="003F76A2"/>
    <w:rsid w:val="00413EC0"/>
    <w:rsid w:val="00432D88"/>
    <w:rsid w:val="0043633F"/>
    <w:rsid w:val="0044669B"/>
    <w:rsid w:val="0044731D"/>
    <w:rsid w:val="00453D58"/>
    <w:rsid w:val="0045780E"/>
    <w:rsid w:val="00457D97"/>
    <w:rsid w:val="00457D9A"/>
    <w:rsid w:val="00464B59"/>
    <w:rsid w:val="00475D93"/>
    <w:rsid w:val="004816BF"/>
    <w:rsid w:val="004A6C36"/>
    <w:rsid w:val="004A7BD2"/>
    <w:rsid w:val="004B17D5"/>
    <w:rsid w:val="004C3678"/>
    <w:rsid w:val="004D1102"/>
    <w:rsid w:val="004D33C5"/>
    <w:rsid w:val="004F2C5D"/>
    <w:rsid w:val="004F3316"/>
    <w:rsid w:val="004F457C"/>
    <w:rsid w:val="004F6458"/>
    <w:rsid w:val="004F7722"/>
    <w:rsid w:val="0050250A"/>
    <w:rsid w:val="00502C33"/>
    <w:rsid w:val="00503642"/>
    <w:rsid w:val="0050560D"/>
    <w:rsid w:val="0051581E"/>
    <w:rsid w:val="0054387A"/>
    <w:rsid w:val="00553D41"/>
    <w:rsid w:val="0055686C"/>
    <w:rsid w:val="00564263"/>
    <w:rsid w:val="00564DBB"/>
    <w:rsid w:val="00566098"/>
    <w:rsid w:val="005719B0"/>
    <w:rsid w:val="005829AC"/>
    <w:rsid w:val="00590AAC"/>
    <w:rsid w:val="005930ED"/>
    <w:rsid w:val="00593873"/>
    <w:rsid w:val="0059779D"/>
    <w:rsid w:val="005A5B26"/>
    <w:rsid w:val="005C7963"/>
    <w:rsid w:val="005D278F"/>
    <w:rsid w:val="005D5284"/>
    <w:rsid w:val="005E0A1D"/>
    <w:rsid w:val="005F48D4"/>
    <w:rsid w:val="00607DC8"/>
    <w:rsid w:val="006150A9"/>
    <w:rsid w:val="00621BDF"/>
    <w:rsid w:val="00633FE2"/>
    <w:rsid w:val="00636328"/>
    <w:rsid w:val="00646021"/>
    <w:rsid w:val="006532E7"/>
    <w:rsid w:val="00655637"/>
    <w:rsid w:val="006568F0"/>
    <w:rsid w:val="006570E6"/>
    <w:rsid w:val="0066101E"/>
    <w:rsid w:val="0066537D"/>
    <w:rsid w:val="00677743"/>
    <w:rsid w:val="0068033E"/>
    <w:rsid w:val="006835D6"/>
    <w:rsid w:val="00691FC5"/>
    <w:rsid w:val="00696858"/>
    <w:rsid w:val="006A22E3"/>
    <w:rsid w:val="006B5F7C"/>
    <w:rsid w:val="006C21A9"/>
    <w:rsid w:val="006D66E9"/>
    <w:rsid w:val="006F0D36"/>
    <w:rsid w:val="006F17EF"/>
    <w:rsid w:val="006F2685"/>
    <w:rsid w:val="006F6838"/>
    <w:rsid w:val="0073118E"/>
    <w:rsid w:val="00737BC3"/>
    <w:rsid w:val="0074601E"/>
    <w:rsid w:val="00746839"/>
    <w:rsid w:val="00755463"/>
    <w:rsid w:val="00760DAC"/>
    <w:rsid w:val="00775713"/>
    <w:rsid w:val="007772E8"/>
    <w:rsid w:val="00791FA7"/>
    <w:rsid w:val="00793333"/>
    <w:rsid w:val="007A765A"/>
    <w:rsid w:val="007C0925"/>
    <w:rsid w:val="007C7E01"/>
    <w:rsid w:val="007D59CD"/>
    <w:rsid w:val="007F29A1"/>
    <w:rsid w:val="00810DF4"/>
    <w:rsid w:val="008236A6"/>
    <w:rsid w:val="00833AB2"/>
    <w:rsid w:val="008508F4"/>
    <w:rsid w:val="00862C37"/>
    <w:rsid w:val="00866982"/>
    <w:rsid w:val="00874685"/>
    <w:rsid w:val="00875AE8"/>
    <w:rsid w:val="00883FBB"/>
    <w:rsid w:val="00886872"/>
    <w:rsid w:val="00891197"/>
    <w:rsid w:val="00893876"/>
    <w:rsid w:val="008A339B"/>
    <w:rsid w:val="008B22A7"/>
    <w:rsid w:val="008B2394"/>
    <w:rsid w:val="008C3383"/>
    <w:rsid w:val="008D7E4D"/>
    <w:rsid w:val="00901989"/>
    <w:rsid w:val="00913B48"/>
    <w:rsid w:val="0092596F"/>
    <w:rsid w:val="00927262"/>
    <w:rsid w:val="00927BB4"/>
    <w:rsid w:val="00930569"/>
    <w:rsid w:val="00934A03"/>
    <w:rsid w:val="00935FCF"/>
    <w:rsid w:val="00943D14"/>
    <w:rsid w:val="0095053D"/>
    <w:rsid w:val="009652E5"/>
    <w:rsid w:val="00986406"/>
    <w:rsid w:val="009A3B47"/>
    <w:rsid w:val="009B0CEF"/>
    <w:rsid w:val="009B5B1A"/>
    <w:rsid w:val="009B5DA1"/>
    <w:rsid w:val="009B6E9A"/>
    <w:rsid w:val="009C2084"/>
    <w:rsid w:val="009C242D"/>
    <w:rsid w:val="009C2B4C"/>
    <w:rsid w:val="009C69E4"/>
    <w:rsid w:val="009D7823"/>
    <w:rsid w:val="009D7CA3"/>
    <w:rsid w:val="009E21B0"/>
    <w:rsid w:val="00A01C47"/>
    <w:rsid w:val="00A11291"/>
    <w:rsid w:val="00A14F5F"/>
    <w:rsid w:val="00A231E6"/>
    <w:rsid w:val="00A307F4"/>
    <w:rsid w:val="00A4037C"/>
    <w:rsid w:val="00A47350"/>
    <w:rsid w:val="00A525DB"/>
    <w:rsid w:val="00A532E9"/>
    <w:rsid w:val="00A65DC0"/>
    <w:rsid w:val="00A828AC"/>
    <w:rsid w:val="00A83F8A"/>
    <w:rsid w:val="00A87204"/>
    <w:rsid w:val="00A8725D"/>
    <w:rsid w:val="00A9012A"/>
    <w:rsid w:val="00A94D29"/>
    <w:rsid w:val="00A96D14"/>
    <w:rsid w:val="00AC69D5"/>
    <w:rsid w:val="00B166F7"/>
    <w:rsid w:val="00B17B38"/>
    <w:rsid w:val="00B43EFE"/>
    <w:rsid w:val="00B531C1"/>
    <w:rsid w:val="00B60B38"/>
    <w:rsid w:val="00B65DA8"/>
    <w:rsid w:val="00B73C50"/>
    <w:rsid w:val="00B748CF"/>
    <w:rsid w:val="00B75C27"/>
    <w:rsid w:val="00BA072B"/>
    <w:rsid w:val="00BA3183"/>
    <w:rsid w:val="00BA34AC"/>
    <w:rsid w:val="00BA7810"/>
    <w:rsid w:val="00BB0FA3"/>
    <w:rsid w:val="00BB143D"/>
    <w:rsid w:val="00BB63D9"/>
    <w:rsid w:val="00BC0998"/>
    <w:rsid w:val="00BD7155"/>
    <w:rsid w:val="00BE253E"/>
    <w:rsid w:val="00BE423E"/>
    <w:rsid w:val="00BE47CC"/>
    <w:rsid w:val="00BF72E5"/>
    <w:rsid w:val="00C00024"/>
    <w:rsid w:val="00C037C1"/>
    <w:rsid w:val="00C20481"/>
    <w:rsid w:val="00C354E8"/>
    <w:rsid w:val="00C55896"/>
    <w:rsid w:val="00C62004"/>
    <w:rsid w:val="00C67621"/>
    <w:rsid w:val="00C72009"/>
    <w:rsid w:val="00C86BBD"/>
    <w:rsid w:val="00C90F32"/>
    <w:rsid w:val="00C92BE6"/>
    <w:rsid w:val="00C96B90"/>
    <w:rsid w:val="00CA530E"/>
    <w:rsid w:val="00CA6CA3"/>
    <w:rsid w:val="00CC5200"/>
    <w:rsid w:val="00CC5CF1"/>
    <w:rsid w:val="00CC7FE4"/>
    <w:rsid w:val="00CF3C7B"/>
    <w:rsid w:val="00CF4CDB"/>
    <w:rsid w:val="00D102BC"/>
    <w:rsid w:val="00D136EB"/>
    <w:rsid w:val="00D13A49"/>
    <w:rsid w:val="00D41914"/>
    <w:rsid w:val="00D47C9F"/>
    <w:rsid w:val="00D51A83"/>
    <w:rsid w:val="00D70F58"/>
    <w:rsid w:val="00D72069"/>
    <w:rsid w:val="00D75C39"/>
    <w:rsid w:val="00D77310"/>
    <w:rsid w:val="00D83A15"/>
    <w:rsid w:val="00D93511"/>
    <w:rsid w:val="00DA3CBD"/>
    <w:rsid w:val="00DB41C8"/>
    <w:rsid w:val="00DB687A"/>
    <w:rsid w:val="00DB7987"/>
    <w:rsid w:val="00DB7CBD"/>
    <w:rsid w:val="00DC2330"/>
    <w:rsid w:val="00DC2347"/>
    <w:rsid w:val="00DC3903"/>
    <w:rsid w:val="00DC44D7"/>
    <w:rsid w:val="00DD3AF0"/>
    <w:rsid w:val="00DD403E"/>
    <w:rsid w:val="00DD6AC0"/>
    <w:rsid w:val="00DE4109"/>
    <w:rsid w:val="00DE69BB"/>
    <w:rsid w:val="00DF0CB3"/>
    <w:rsid w:val="00DF15AA"/>
    <w:rsid w:val="00DF1EF8"/>
    <w:rsid w:val="00DF2CD1"/>
    <w:rsid w:val="00DF39FB"/>
    <w:rsid w:val="00E70C29"/>
    <w:rsid w:val="00E77886"/>
    <w:rsid w:val="00E82E7C"/>
    <w:rsid w:val="00E94581"/>
    <w:rsid w:val="00E95BA2"/>
    <w:rsid w:val="00E97CEC"/>
    <w:rsid w:val="00EA0CD5"/>
    <w:rsid w:val="00EA468F"/>
    <w:rsid w:val="00EA522C"/>
    <w:rsid w:val="00EC25B1"/>
    <w:rsid w:val="00ED2A24"/>
    <w:rsid w:val="00EF11D7"/>
    <w:rsid w:val="00EF16FB"/>
    <w:rsid w:val="00EF6668"/>
    <w:rsid w:val="00F020C2"/>
    <w:rsid w:val="00F203E0"/>
    <w:rsid w:val="00F221B7"/>
    <w:rsid w:val="00F22E26"/>
    <w:rsid w:val="00F2700B"/>
    <w:rsid w:val="00F37AEA"/>
    <w:rsid w:val="00F45263"/>
    <w:rsid w:val="00F502B6"/>
    <w:rsid w:val="00F52F9B"/>
    <w:rsid w:val="00F73B2C"/>
    <w:rsid w:val="00F81FEC"/>
    <w:rsid w:val="00F95E2B"/>
    <w:rsid w:val="00F97BD4"/>
    <w:rsid w:val="00FA0362"/>
    <w:rsid w:val="00FA437C"/>
    <w:rsid w:val="00FB0659"/>
    <w:rsid w:val="00FC4C2A"/>
    <w:rsid w:val="00FC7BE7"/>
    <w:rsid w:val="00FD5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5FFB0A"/>
  <w15:chartTrackingRefBased/>
  <w15:docId w15:val="{8883A431-2E17-4DEA-A50B-561CFD6A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7" w:qFormat="1"/>
    <w:lsdException w:name="heading 3" w:locked="0" w:semiHidden="1" w:uiPriority="9" w:unhideWhenUsed="1" w:qFormat="1"/>
    <w:lsdException w:name="heading 4" w:semiHidden="1" w:uiPriority="52" w:unhideWhenUsed="1"/>
    <w:lsdException w:name="heading 5" w:locked="0" w:semiHidden="1" w:uiPriority="9" w:unhideWhenUsed="1" w:qFormat="1"/>
    <w:lsdException w:name="heading 6" w:locked="0"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0" w:semiHidden="1" w:unhideWhenUsed="1"/>
    <w:lsdException w:name="index 2" w:locked="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locked="0" w:uiPriority="5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2"/>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lsdException w:name="Emphasis" w:uiPriority="52"/>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5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52"/>
    <w:lsdException w:name="Intense Quote" w:uiPriority="52"/>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52"/>
    <w:lsdException w:name="Intense Emphasis" w:uiPriority="52"/>
    <w:lsdException w:name="Subtle Reference" w:uiPriority="52"/>
    <w:lsdException w:name="Intense Reference" w:uiPriority="52"/>
    <w:lsdException w:name="Book Title" w:uiPriority="52"/>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4"/>
    <w:qFormat/>
    <w:rsid w:val="000A69AB"/>
    <w:pPr>
      <w:widowControl w:val="0"/>
      <w:spacing w:after="200"/>
      <w:contextualSpacing/>
    </w:pPr>
    <w:rPr>
      <w:rFonts w:ascii="Lucida Sans" w:hAnsi="Lucida Sans"/>
      <w:sz w:val="20"/>
    </w:rPr>
  </w:style>
  <w:style w:type="paragraph" w:styleId="Heading1">
    <w:name w:val="heading 1"/>
    <w:basedOn w:val="Heading3"/>
    <w:next w:val="Normal"/>
    <w:uiPriority w:val="6"/>
    <w:qFormat/>
    <w:rsid w:val="006568F0"/>
    <w:pPr>
      <w:spacing w:before="0"/>
      <w:outlineLvl w:val="0"/>
    </w:pPr>
    <w:rPr>
      <w:i w:val="0"/>
    </w:rPr>
  </w:style>
  <w:style w:type="paragraph" w:styleId="Heading2">
    <w:name w:val="heading 2"/>
    <w:basedOn w:val="Heading1"/>
    <w:next w:val="Normal"/>
    <w:link w:val="Heading2Char"/>
    <w:uiPriority w:val="7"/>
    <w:qFormat/>
    <w:rsid w:val="004A6C36"/>
    <w:pPr>
      <w:outlineLvl w:val="1"/>
    </w:pPr>
  </w:style>
  <w:style w:type="paragraph" w:styleId="Heading3">
    <w:name w:val="heading 3"/>
    <w:basedOn w:val="Normal"/>
    <w:next w:val="Normal"/>
    <w:link w:val="Heading3Char"/>
    <w:uiPriority w:val="8"/>
    <w:qFormat/>
    <w:rsid w:val="006568F0"/>
    <w:pPr>
      <w:keepNext/>
      <w:spacing w:before="200"/>
      <w:outlineLvl w:val="2"/>
    </w:pPr>
    <w:rPr>
      <w:b/>
      <w:bCs/>
      <w:i/>
      <w:szCs w:val="26"/>
      <w:lang w:val="x-none" w:eastAsia="x-none"/>
    </w:rPr>
  </w:style>
  <w:style w:type="paragraph" w:styleId="Heading5">
    <w:name w:val="heading 5"/>
    <w:basedOn w:val="Normal"/>
    <w:next w:val="Normal"/>
    <w:link w:val="Heading5Char"/>
    <w:uiPriority w:val="9"/>
    <w:semiHidden/>
    <w:unhideWhenUsed/>
    <w:qFormat/>
    <w:locked/>
    <w:rsid w:val="00C00024"/>
    <w:p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semiHidden/>
    <w:unhideWhenUsed/>
    <w:qFormat/>
    <w:locked/>
    <w:rsid w:val="00F52F9B"/>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locked/>
  </w:style>
  <w:style w:type="character" w:styleId="EndnoteReference">
    <w:name w:val="endnote reference"/>
    <w:semiHidden/>
    <w:locked/>
    <w:rPr>
      <w:vertAlign w:val="superscript"/>
    </w:rPr>
  </w:style>
  <w:style w:type="paragraph" w:styleId="FootnoteText">
    <w:name w:val="footnote text"/>
    <w:basedOn w:val="Normal"/>
    <w:semiHidden/>
    <w:locked/>
  </w:style>
  <w:style w:type="character" w:styleId="FootnoteReference">
    <w:name w:val="footnote reference"/>
    <w:semiHidden/>
    <w:locked/>
    <w:rPr>
      <w:vertAlign w:val="superscript"/>
    </w:rPr>
  </w:style>
  <w:style w:type="character" w:customStyle="1" w:styleId="Document8">
    <w:name w:val="Document 8"/>
    <w:basedOn w:val="DefaultParagraphFont"/>
    <w:uiPriority w:val="52"/>
    <w:locked/>
  </w:style>
  <w:style w:type="character" w:customStyle="1" w:styleId="Document4">
    <w:name w:val="Document 4"/>
    <w:uiPriority w:val="52"/>
    <w:locked/>
    <w:rPr>
      <w:b/>
      <w:i/>
      <w:sz w:val="24"/>
    </w:rPr>
  </w:style>
  <w:style w:type="character" w:customStyle="1" w:styleId="Document6">
    <w:name w:val="Document 6"/>
    <w:basedOn w:val="DefaultParagraphFont"/>
    <w:uiPriority w:val="52"/>
    <w:locked/>
  </w:style>
  <w:style w:type="character" w:customStyle="1" w:styleId="Document5">
    <w:name w:val="Document 5"/>
    <w:basedOn w:val="DefaultParagraphFont"/>
    <w:uiPriority w:val="52"/>
    <w:locked/>
  </w:style>
  <w:style w:type="character" w:customStyle="1" w:styleId="Document2">
    <w:name w:val="Document 2"/>
    <w:uiPriority w:val="52"/>
    <w:locked/>
    <w:rPr>
      <w:rFonts w:ascii="Courier" w:hAnsi="Courier"/>
      <w:noProof w:val="0"/>
      <w:sz w:val="24"/>
      <w:lang w:val="en-US"/>
    </w:rPr>
  </w:style>
  <w:style w:type="character" w:customStyle="1" w:styleId="Document7">
    <w:name w:val="Document 7"/>
    <w:basedOn w:val="DefaultParagraphFont"/>
    <w:uiPriority w:val="52"/>
    <w:locked/>
  </w:style>
  <w:style w:type="character" w:customStyle="1" w:styleId="Bibliogrphy">
    <w:name w:val="Bibliogrphy"/>
    <w:basedOn w:val="DefaultParagraphFont"/>
    <w:uiPriority w:val="52"/>
    <w:locked/>
  </w:style>
  <w:style w:type="character" w:customStyle="1" w:styleId="RightPar1">
    <w:name w:val="Right Par 1"/>
    <w:basedOn w:val="DefaultParagraphFont"/>
    <w:uiPriority w:val="52"/>
    <w:locked/>
  </w:style>
  <w:style w:type="character" w:customStyle="1" w:styleId="RightPar2">
    <w:name w:val="Right Par 2"/>
    <w:basedOn w:val="DefaultParagraphFont"/>
    <w:uiPriority w:val="52"/>
    <w:locked/>
  </w:style>
  <w:style w:type="character" w:customStyle="1" w:styleId="Document3">
    <w:name w:val="Document 3"/>
    <w:uiPriority w:val="52"/>
    <w:locked/>
    <w:rPr>
      <w:rFonts w:ascii="Courier" w:hAnsi="Courier"/>
      <w:noProof w:val="0"/>
      <w:sz w:val="24"/>
      <w:lang w:val="en-US"/>
    </w:rPr>
  </w:style>
  <w:style w:type="character" w:customStyle="1" w:styleId="RightPar3">
    <w:name w:val="Right Par 3"/>
    <w:basedOn w:val="DefaultParagraphFont"/>
    <w:uiPriority w:val="52"/>
    <w:locked/>
  </w:style>
  <w:style w:type="character" w:customStyle="1" w:styleId="RightPar4">
    <w:name w:val="Right Par 4"/>
    <w:basedOn w:val="DefaultParagraphFont"/>
    <w:uiPriority w:val="52"/>
    <w:locked/>
  </w:style>
  <w:style w:type="character" w:customStyle="1" w:styleId="RightPar5">
    <w:name w:val="Right Par 5"/>
    <w:basedOn w:val="DefaultParagraphFont"/>
    <w:uiPriority w:val="52"/>
    <w:locked/>
  </w:style>
  <w:style w:type="character" w:customStyle="1" w:styleId="RightPar6">
    <w:name w:val="Right Par 6"/>
    <w:basedOn w:val="DefaultParagraphFont"/>
    <w:uiPriority w:val="52"/>
    <w:locked/>
  </w:style>
  <w:style w:type="character" w:customStyle="1" w:styleId="RightPar7">
    <w:name w:val="Right Par 7"/>
    <w:basedOn w:val="DefaultParagraphFont"/>
    <w:uiPriority w:val="52"/>
    <w:locked/>
  </w:style>
  <w:style w:type="character" w:customStyle="1" w:styleId="RightPar8">
    <w:name w:val="Right Par 8"/>
    <w:basedOn w:val="DefaultParagraphFont"/>
    <w:uiPriority w:val="52"/>
    <w:locked/>
  </w:style>
  <w:style w:type="paragraph" w:customStyle="1" w:styleId="Document1">
    <w:name w:val="Document 1"/>
    <w:uiPriority w:val="52"/>
    <w:locked/>
    <w:pPr>
      <w:keepNext/>
      <w:keepLines/>
      <w:widowControl w:val="0"/>
      <w:tabs>
        <w:tab w:val="left" w:pos="-720"/>
      </w:tabs>
      <w:suppressAutoHyphens/>
    </w:pPr>
    <w:rPr>
      <w:rFonts w:ascii="Courier" w:hAnsi="Courier"/>
      <w:sz w:val="24"/>
    </w:rPr>
  </w:style>
  <w:style w:type="character" w:customStyle="1" w:styleId="DocInit">
    <w:name w:val="Doc Init"/>
    <w:basedOn w:val="DefaultParagraphFont"/>
    <w:uiPriority w:val="52"/>
    <w:locked/>
  </w:style>
  <w:style w:type="character" w:customStyle="1" w:styleId="TechInit">
    <w:name w:val="Tech Init"/>
    <w:uiPriority w:val="52"/>
    <w:locked/>
    <w:rPr>
      <w:rFonts w:ascii="Courier" w:hAnsi="Courier"/>
      <w:noProof w:val="0"/>
      <w:sz w:val="24"/>
      <w:lang w:val="en-US"/>
    </w:rPr>
  </w:style>
  <w:style w:type="character" w:customStyle="1" w:styleId="Technical5">
    <w:name w:val="Technical 5"/>
    <w:basedOn w:val="DefaultParagraphFont"/>
    <w:uiPriority w:val="52"/>
    <w:locked/>
  </w:style>
  <w:style w:type="character" w:customStyle="1" w:styleId="Technical6">
    <w:name w:val="Technical 6"/>
    <w:basedOn w:val="DefaultParagraphFont"/>
    <w:uiPriority w:val="52"/>
    <w:locked/>
  </w:style>
  <w:style w:type="character" w:customStyle="1" w:styleId="Technical2">
    <w:name w:val="Technical 2"/>
    <w:uiPriority w:val="52"/>
    <w:locked/>
    <w:rPr>
      <w:rFonts w:ascii="Courier" w:hAnsi="Courier"/>
      <w:noProof w:val="0"/>
      <w:sz w:val="24"/>
      <w:lang w:val="en-US"/>
    </w:rPr>
  </w:style>
  <w:style w:type="character" w:customStyle="1" w:styleId="Technical3">
    <w:name w:val="Technical 3"/>
    <w:uiPriority w:val="52"/>
    <w:locked/>
    <w:rPr>
      <w:rFonts w:ascii="Courier" w:hAnsi="Courier"/>
      <w:noProof w:val="0"/>
      <w:sz w:val="24"/>
      <w:lang w:val="en-US"/>
    </w:rPr>
  </w:style>
  <w:style w:type="character" w:customStyle="1" w:styleId="Technical4">
    <w:name w:val="Technical 4"/>
    <w:basedOn w:val="DefaultParagraphFont"/>
    <w:uiPriority w:val="52"/>
    <w:locked/>
  </w:style>
  <w:style w:type="character" w:customStyle="1" w:styleId="Technical1">
    <w:name w:val="Technical 1"/>
    <w:uiPriority w:val="52"/>
    <w:locked/>
    <w:rPr>
      <w:rFonts w:ascii="Courier" w:hAnsi="Courier"/>
      <w:noProof w:val="0"/>
      <w:sz w:val="24"/>
      <w:lang w:val="en-US"/>
    </w:rPr>
  </w:style>
  <w:style w:type="character" w:customStyle="1" w:styleId="Technical7">
    <w:name w:val="Technical 7"/>
    <w:basedOn w:val="DefaultParagraphFont"/>
    <w:uiPriority w:val="52"/>
    <w:locked/>
  </w:style>
  <w:style w:type="character" w:customStyle="1" w:styleId="Technical8">
    <w:name w:val="Technical 8"/>
    <w:basedOn w:val="DefaultParagraphFont"/>
    <w:uiPriority w:val="52"/>
    <w:locked/>
  </w:style>
  <w:style w:type="character" w:customStyle="1" w:styleId="a1">
    <w:name w:val="a1"/>
    <w:uiPriority w:val="99"/>
    <w:locked/>
    <w:rPr>
      <w:rFonts w:ascii="Courier" w:hAnsi="Courier"/>
      <w:noProof w:val="0"/>
      <w:sz w:val="24"/>
      <w:lang w:val="en-US"/>
    </w:rPr>
  </w:style>
  <w:style w:type="paragraph" w:styleId="TOC1">
    <w:name w:val="toc 1"/>
    <w:basedOn w:val="Normal"/>
    <w:next w:val="Normal"/>
    <w:semiHidden/>
    <w:locked/>
    <w:pPr>
      <w:tabs>
        <w:tab w:val="right" w:leader="dot" w:pos="9360"/>
      </w:tabs>
      <w:suppressAutoHyphens/>
      <w:spacing w:before="480"/>
      <w:ind w:left="720" w:right="720" w:hanging="720"/>
    </w:pPr>
  </w:style>
  <w:style w:type="paragraph" w:styleId="TOC2">
    <w:name w:val="toc 2"/>
    <w:basedOn w:val="Normal"/>
    <w:next w:val="Normal"/>
    <w:semiHidden/>
    <w:locked/>
    <w:pPr>
      <w:tabs>
        <w:tab w:val="right" w:leader="dot" w:pos="9360"/>
      </w:tabs>
      <w:suppressAutoHyphens/>
      <w:ind w:left="1440" w:right="720" w:hanging="720"/>
    </w:pPr>
  </w:style>
  <w:style w:type="paragraph" w:styleId="TOC3">
    <w:name w:val="toc 3"/>
    <w:basedOn w:val="Normal"/>
    <w:next w:val="Normal"/>
    <w:semiHidden/>
    <w:locked/>
    <w:pPr>
      <w:tabs>
        <w:tab w:val="right" w:leader="dot" w:pos="9360"/>
      </w:tabs>
      <w:suppressAutoHyphens/>
      <w:ind w:left="2160" w:right="720" w:hanging="720"/>
    </w:pPr>
  </w:style>
  <w:style w:type="paragraph" w:styleId="TOC4">
    <w:name w:val="toc 4"/>
    <w:basedOn w:val="Normal"/>
    <w:next w:val="Normal"/>
    <w:semiHidden/>
    <w:locked/>
    <w:pPr>
      <w:tabs>
        <w:tab w:val="right" w:leader="dot" w:pos="9360"/>
      </w:tabs>
      <w:suppressAutoHyphens/>
      <w:ind w:left="2880" w:right="720" w:hanging="720"/>
    </w:pPr>
  </w:style>
  <w:style w:type="paragraph" w:styleId="TOC5">
    <w:name w:val="toc 5"/>
    <w:basedOn w:val="Normal"/>
    <w:next w:val="Normal"/>
    <w:semiHidden/>
    <w:locked/>
    <w:pPr>
      <w:tabs>
        <w:tab w:val="right" w:leader="dot" w:pos="9360"/>
      </w:tabs>
      <w:suppressAutoHyphens/>
      <w:ind w:left="3600" w:right="720" w:hanging="720"/>
    </w:pPr>
  </w:style>
  <w:style w:type="paragraph" w:styleId="TOC6">
    <w:name w:val="toc 6"/>
    <w:basedOn w:val="Normal"/>
    <w:next w:val="Normal"/>
    <w:semiHidden/>
    <w:locked/>
    <w:pPr>
      <w:tabs>
        <w:tab w:val="right" w:pos="9360"/>
      </w:tabs>
      <w:suppressAutoHyphens/>
      <w:ind w:left="720" w:hanging="720"/>
    </w:pPr>
  </w:style>
  <w:style w:type="paragraph" w:styleId="TOC7">
    <w:name w:val="toc 7"/>
    <w:basedOn w:val="Normal"/>
    <w:next w:val="Normal"/>
    <w:semiHidden/>
    <w:locked/>
    <w:pPr>
      <w:suppressAutoHyphens/>
      <w:ind w:left="720" w:hanging="720"/>
    </w:pPr>
  </w:style>
  <w:style w:type="paragraph" w:styleId="TOC8">
    <w:name w:val="toc 8"/>
    <w:basedOn w:val="Normal"/>
    <w:next w:val="Normal"/>
    <w:semiHidden/>
    <w:locked/>
    <w:pPr>
      <w:tabs>
        <w:tab w:val="right" w:pos="9360"/>
      </w:tabs>
      <w:suppressAutoHyphens/>
      <w:ind w:left="720" w:hanging="720"/>
    </w:pPr>
  </w:style>
  <w:style w:type="paragraph" w:styleId="TOC9">
    <w:name w:val="toc 9"/>
    <w:basedOn w:val="Normal"/>
    <w:next w:val="Normal"/>
    <w:semiHidden/>
    <w:locked/>
    <w:pPr>
      <w:tabs>
        <w:tab w:val="right" w:leader="dot" w:pos="9360"/>
      </w:tabs>
      <w:suppressAutoHyphens/>
      <w:ind w:left="720" w:hanging="720"/>
    </w:pPr>
  </w:style>
  <w:style w:type="paragraph" w:styleId="Index1">
    <w:name w:val="index 1"/>
    <w:basedOn w:val="Normal"/>
    <w:next w:val="Normal"/>
    <w:semiHidden/>
    <w:locked/>
    <w:pPr>
      <w:tabs>
        <w:tab w:val="right" w:leader="dot" w:pos="9360"/>
      </w:tabs>
      <w:suppressAutoHyphens/>
      <w:ind w:left="1440" w:right="720" w:hanging="1440"/>
    </w:pPr>
  </w:style>
  <w:style w:type="paragraph" w:styleId="Index2">
    <w:name w:val="index 2"/>
    <w:basedOn w:val="Normal"/>
    <w:next w:val="Normal"/>
    <w:semiHidden/>
    <w:locked/>
    <w:pPr>
      <w:tabs>
        <w:tab w:val="right" w:leader="dot" w:pos="9360"/>
      </w:tabs>
      <w:suppressAutoHyphens/>
      <w:ind w:left="1440" w:right="720" w:hanging="720"/>
    </w:pPr>
  </w:style>
  <w:style w:type="paragraph" w:styleId="TOAHeading">
    <w:name w:val="toa heading"/>
    <w:basedOn w:val="Normal"/>
    <w:next w:val="Normal"/>
    <w:semiHidden/>
    <w:locked/>
    <w:pPr>
      <w:tabs>
        <w:tab w:val="right" w:pos="9360"/>
      </w:tabs>
      <w:suppressAutoHyphens/>
    </w:pPr>
  </w:style>
  <w:style w:type="paragraph" w:styleId="Caption">
    <w:name w:val="caption"/>
    <w:basedOn w:val="Normal"/>
    <w:next w:val="Normal"/>
    <w:uiPriority w:val="52"/>
    <w:locked/>
  </w:style>
  <w:style w:type="character" w:customStyle="1" w:styleId="EquationCaption">
    <w:name w:val="_Equation Caption"/>
    <w:uiPriority w:val="99"/>
    <w:locked/>
  </w:style>
  <w:style w:type="paragraph" w:styleId="Header">
    <w:name w:val="header"/>
    <w:basedOn w:val="Normal"/>
    <w:semiHidden/>
    <w:locked/>
    <w:pPr>
      <w:tabs>
        <w:tab w:val="center" w:pos="4320"/>
        <w:tab w:val="right" w:pos="8640"/>
      </w:tabs>
    </w:pPr>
  </w:style>
  <w:style w:type="paragraph" w:styleId="Footer">
    <w:name w:val="footer"/>
    <w:basedOn w:val="Normal"/>
    <w:semiHidden/>
    <w:locked/>
    <w:pPr>
      <w:tabs>
        <w:tab w:val="center" w:pos="4320"/>
        <w:tab w:val="right" w:pos="8640"/>
      </w:tabs>
    </w:pPr>
  </w:style>
  <w:style w:type="paragraph" w:styleId="BodyText">
    <w:name w:val="Body Text"/>
    <w:basedOn w:val="Normal"/>
    <w:link w:val="BodyTextChar"/>
    <w:uiPriority w:val="52"/>
    <w:locked/>
    <w:pPr>
      <w:tabs>
        <w:tab w:val="left" w:pos="-720"/>
      </w:tabs>
      <w:suppressAutoHyphens/>
    </w:pPr>
    <w:rPr>
      <w:rFonts w:ascii="CG Times" w:hAnsi="CG Times"/>
      <w:sz w:val="22"/>
      <w:lang w:val="x-none" w:eastAsia="x-none"/>
    </w:rPr>
  </w:style>
  <w:style w:type="character" w:styleId="PageNumber">
    <w:name w:val="page number"/>
    <w:basedOn w:val="DefaultParagraphFont"/>
    <w:semiHidden/>
    <w:locked/>
  </w:style>
  <w:style w:type="paragraph" w:styleId="BalloonText">
    <w:name w:val="Balloon Text"/>
    <w:basedOn w:val="Normal"/>
    <w:semiHidden/>
    <w:locked/>
    <w:rPr>
      <w:rFonts w:ascii="Tahoma" w:hAnsi="Tahoma" w:cs="Tahoma"/>
      <w:sz w:val="16"/>
      <w:szCs w:val="16"/>
    </w:rPr>
  </w:style>
  <w:style w:type="paragraph" w:styleId="ListParagraph">
    <w:name w:val="List Paragraph"/>
    <w:basedOn w:val="BodyTextIndent"/>
    <w:uiPriority w:val="14"/>
    <w:qFormat/>
    <w:rsid w:val="000759BC"/>
    <w:pPr>
      <w:numPr>
        <w:numId w:val="4"/>
      </w:numPr>
      <w:spacing w:after="200"/>
      <w:ind w:hanging="720"/>
      <w:contextualSpacing w:val="0"/>
    </w:pPr>
  </w:style>
  <w:style w:type="table" w:styleId="TableGrid">
    <w:name w:val="Table Grid"/>
    <w:basedOn w:val="TableNormal"/>
    <w:uiPriority w:val="59"/>
    <w:locked/>
    <w:rsid w:val="001E7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8"/>
    <w:rsid w:val="006568F0"/>
    <w:rPr>
      <w:rFonts w:ascii="Lucida Sans" w:hAnsi="Lucida Sans"/>
      <w:b/>
      <w:bCs/>
      <w:i/>
      <w:szCs w:val="26"/>
      <w:lang w:val="x-none" w:eastAsia="x-none"/>
    </w:rPr>
  </w:style>
  <w:style w:type="paragraph" w:styleId="BodyText3">
    <w:name w:val="Body Text 3"/>
    <w:basedOn w:val="Normal"/>
    <w:link w:val="BodyText3Char"/>
    <w:uiPriority w:val="99"/>
    <w:unhideWhenUsed/>
    <w:locked/>
    <w:rsid w:val="001531CF"/>
    <w:pPr>
      <w:spacing w:after="120"/>
    </w:pPr>
    <w:rPr>
      <w:sz w:val="16"/>
      <w:szCs w:val="16"/>
      <w:lang w:val="x-none" w:eastAsia="x-none"/>
    </w:rPr>
  </w:style>
  <w:style w:type="character" w:customStyle="1" w:styleId="BodyText3Char">
    <w:name w:val="Body Text 3 Char"/>
    <w:link w:val="BodyText3"/>
    <w:uiPriority w:val="99"/>
    <w:rsid w:val="001531CF"/>
    <w:rPr>
      <w:rFonts w:ascii="Courier" w:hAnsi="Courier"/>
      <w:sz w:val="16"/>
      <w:szCs w:val="16"/>
    </w:rPr>
  </w:style>
  <w:style w:type="character" w:customStyle="1" w:styleId="BodyTextChar">
    <w:name w:val="Body Text Char"/>
    <w:link w:val="BodyText"/>
    <w:uiPriority w:val="52"/>
    <w:rsid w:val="00EA468F"/>
    <w:rPr>
      <w:rFonts w:ascii="CG Times" w:hAnsi="CG Times"/>
      <w:sz w:val="22"/>
      <w:lang w:val="x-none" w:eastAsia="x-none"/>
    </w:rPr>
  </w:style>
  <w:style w:type="paragraph" w:styleId="BodyTextIndent">
    <w:name w:val="Body Text Indent"/>
    <w:basedOn w:val="Normal"/>
    <w:link w:val="BodyTextIndentChar"/>
    <w:uiPriority w:val="52"/>
    <w:unhideWhenUsed/>
    <w:locked/>
    <w:rsid w:val="00F52F9B"/>
    <w:pPr>
      <w:spacing w:after="120"/>
      <w:ind w:left="360"/>
    </w:pPr>
    <w:rPr>
      <w:lang w:val="x-none" w:eastAsia="x-none"/>
    </w:rPr>
  </w:style>
  <w:style w:type="character" w:customStyle="1" w:styleId="BodyTextIndentChar">
    <w:name w:val="Body Text Indent Char"/>
    <w:link w:val="BodyTextIndent"/>
    <w:uiPriority w:val="52"/>
    <w:rsid w:val="00EA468F"/>
    <w:rPr>
      <w:rFonts w:ascii="Lucida Sans" w:hAnsi="Lucida Sans"/>
      <w:lang w:val="x-none" w:eastAsia="x-none"/>
    </w:rPr>
  </w:style>
  <w:style w:type="character" w:customStyle="1" w:styleId="Heading6Char">
    <w:name w:val="Heading 6 Char"/>
    <w:link w:val="Heading6"/>
    <w:uiPriority w:val="9"/>
    <w:semiHidden/>
    <w:rsid w:val="00F52F9B"/>
    <w:rPr>
      <w:rFonts w:ascii="Calibri" w:eastAsia="Times New Roman" w:hAnsi="Calibri" w:cs="Times New Roman"/>
      <w:b/>
      <w:bCs/>
      <w:sz w:val="22"/>
      <w:szCs w:val="22"/>
    </w:rPr>
  </w:style>
  <w:style w:type="character" w:customStyle="1" w:styleId="Heading5Char">
    <w:name w:val="Heading 5 Char"/>
    <w:link w:val="Heading5"/>
    <w:uiPriority w:val="9"/>
    <w:semiHidden/>
    <w:rsid w:val="00C00024"/>
    <w:rPr>
      <w:rFonts w:ascii="Calibri" w:eastAsia="Times New Roman" w:hAnsi="Calibri" w:cs="Times New Roman"/>
      <w:b/>
      <w:bCs/>
      <w:i/>
      <w:iCs/>
      <w:sz w:val="26"/>
      <w:szCs w:val="26"/>
    </w:rPr>
  </w:style>
  <w:style w:type="paragraph" w:styleId="Title">
    <w:name w:val="Title"/>
    <w:basedOn w:val="Normal"/>
    <w:next w:val="Normal"/>
    <w:link w:val="TitleChar"/>
    <w:uiPriority w:val="1"/>
    <w:qFormat/>
    <w:rsid w:val="00CC5200"/>
    <w:pPr>
      <w:framePr w:hSpace="187" w:wrap="around" w:vAnchor="page" w:hAnchor="text" w:x="3183" w:y="3126"/>
      <w:tabs>
        <w:tab w:val="left" w:pos="1260"/>
      </w:tabs>
      <w:suppressAutoHyphens/>
      <w:spacing w:after="400"/>
      <w:ind w:right="14"/>
      <w:suppressOverlap/>
      <w:jc w:val="center"/>
    </w:pPr>
    <w:rPr>
      <w:b/>
      <w:sz w:val="32"/>
      <w:szCs w:val="26"/>
    </w:rPr>
  </w:style>
  <w:style w:type="character" w:customStyle="1" w:styleId="TitleChar">
    <w:name w:val="Title Char"/>
    <w:basedOn w:val="DefaultParagraphFont"/>
    <w:link w:val="Title"/>
    <w:uiPriority w:val="1"/>
    <w:rsid w:val="00EA468F"/>
    <w:rPr>
      <w:rFonts w:ascii="Lucida Sans" w:hAnsi="Lucida Sans"/>
      <w:b/>
      <w:sz w:val="32"/>
      <w:szCs w:val="26"/>
    </w:rPr>
  </w:style>
  <w:style w:type="paragraph" w:customStyle="1" w:styleId="ReportType">
    <w:name w:val="Report Type"/>
    <w:basedOn w:val="Normal"/>
    <w:link w:val="ReportTypeChar"/>
    <w:qFormat/>
    <w:rsid w:val="000759BC"/>
    <w:pPr>
      <w:framePr w:hSpace="187" w:wrap="around" w:vAnchor="page" w:hAnchor="text" w:x="3183" w:y="3126"/>
      <w:suppressAutoHyphens/>
      <w:spacing w:after="400" w:line="276" w:lineRule="auto"/>
      <w:ind w:right="14"/>
      <w:suppressOverlap/>
      <w:jc w:val="center"/>
    </w:pPr>
    <w:rPr>
      <w:sz w:val="24"/>
      <w:szCs w:val="24"/>
    </w:rPr>
  </w:style>
  <w:style w:type="character" w:customStyle="1" w:styleId="ReportTypeChar">
    <w:name w:val="Report Type Char"/>
    <w:basedOn w:val="TitleChar"/>
    <w:link w:val="ReportType"/>
    <w:rsid w:val="00EA468F"/>
    <w:rPr>
      <w:rFonts w:ascii="Lucida Sans" w:hAnsi="Lucida Sans"/>
      <w:b w:val="0"/>
      <w:sz w:val="24"/>
      <w:szCs w:val="24"/>
    </w:rPr>
  </w:style>
  <w:style w:type="paragraph" w:customStyle="1" w:styleId="PreparedFor">
    <w:name w:val="Prepared For"/>
    <w:basedOn w:val="Heading6"/>
    <w:link w:val="PreparedForChar"/>
    <w:uiPriority w:val="3"/>
    <w:qFormat/>
    <w:rsid w:val="00927BB4"/>
    <w:pPr>
      <w:framePr w:hSpace="187" w:wrap="around" w:vAnchor="page" w:hAnchor="text" w:x="3183" w:y="3126"/>
      <w:spacing w:before="0"/>
      <w:suppressOverlap/>
      <w:jc w:val="center"/>
    </w:pPr>
    <w:rPr>
      <w:rFonts w:ascii="Lucida Sans" w:hAnsi="Lucida Sans"/>
      <w:b w:val="0"/>
      <w:sz w:val="24"/>
      <w:szCs w:val="24"/>
      <w:lang w:val="en-US" w:eastAsia="en-US"/>
    </w:rPr>
  </w:style>
  <w:style w:type="character" w:customStyle="1" w:styleId="PreparedForChar">
    <w:name w:val="Prepared For Char"/>
    <w:basedOn w:val="Heading6Char"/>
    <w:link w:val="PreparedFor"/>
    <w:uiPriority w:val="3"/>
    <w:rsid w:val="00EA468F"/>
    <w:rPr>
      <w:rFonts w:ascii="Lucida Sans" w:eastAsia="Times New Roman" w:hAnsi="Lucida Sans" w:cs="Times New Roman"/>
      <w:b w:val="0"/>
      <w:bCs/>
      <w:sz w:val="24"/>
      <w:szCs w:val="24"/>
    </w:rPr>
  </w:style>
  <w:style w:type="paragraph" w:customStyle="1" w:styleId="G2Line">
    <w:name w:val="G2 Line"/>
    <w:basedOn w:val="Normal"/>
    <w:uiPriority w:val="5"/>
    <w:qFormat/>
    <w:rsid w:val="000759BC"/>
    <w:rPr>
      <w:b/>
    </w:rPr>
  </w:style>
  <w:style w:type="paragraph" w:customStyle="1" w:styleId="TableHeading">
    <w:name w:val="Table Heading"/>
    <w:basedOn w:val="BodyText"/>
    <w:uiPriority w:val="52"/>
    <w:qFormat/>
    <w:rsid w:val="00793333"/>
    <w:pPr>
      <w:spacing w:after="0"/>
      <w:jc w:val="center"/>
    </w:pPr>
    <w:rPr>
      <w:rFonts w:ascii="Lucida Sans" w:hAnsi="Lucida Sans"/>
      <w:b/>
      <w:sz w:val="20"/>
      <w:lang w:val="en-US" w:eastAsia="en-US"/>
    </w:rPr>
  </w:style>
  <w:style w:type="paragraph" w:customStyle="1" w:styleId="TableContent">
    <w:name w:val="Table Content"/>
    <w:basedOn w:val="Normal"/>
    <w:uiPriority w:val="52"/>
    <w:qFormat/>
    <w:rsid w:val="00793333"/>
    <w:pPr>
      <w:tabs>
        <w:tab w:val="left" w:pos="-720"/>
      </w:tabs>
      <w:suppressAutoHyphens/>
      <w:spacing w:after="0"/>
      <w:jc w:val="center"/>
    </w:pPr>
  </w:style>
  <w:style w:type="paragraph" w:customStyle="1" w:styleId="AddressLines">
    <w:name w:val="Address Lines"/>
    <w:basedOn w:val="Normal"/>
    <w:uiPriority w:val="6"/>
    <w:rsid w:val="00793333"/>
    <w:pPr>
      <w:tabs>
        <w:tab w:val="left" w:pos="-720"/>
        <w:tab w:val="left" w:pos="0"/>
        <w:tab w:val="left" w:pos="270"/>
        <w:tab w:val="left" w:pos="720"/>
      </w:tabs>
      <w:suppressAutoHyphens/>
      <w:spacing w:after="0"/>
    </w:pPr>
  </w:style>
  <w:style w:type="paragraph" w:customStyle="1" w:styleId="LatLong">
    <w:name w:val="Lat/Long"/>
    <w:basedOn w:val="ReportType"/>
    <w:link w:val="LatLongChar"/>
    <w:uiPriority w:val="2"/>
    <w:qFormat/>
    <w:rsid w:val="000759BC"/>
    <w:pPr>
      <w:framePr w:wrap="around"/>
      <w:spacing w:after="0"/>
    </w:pPr>
  </w:style>
  <w:style w:type="character" w:customStyle="1" w:styleId="LatLongChar">
    <w:name w:val="Lat/Long Char"/>
    <w:basedOn w:val="ReportTypeChar"/>
    <w:link w:val="LatLong"/>
    <w:uiPriority w:val="2"/>
    <w:rsid w:val="00EA468F"/>
    <w:rPr>
      <w:rFonts w:ascii="Lucida Sans" w:hAnsi="Lucida Sans"/>
      <w:b w:val="0"/>
      <w:sz w:val="24"/>
      <w:szCs w:val="24"/>
    </w:rPr>
  </w:style>
  <w:style w:type="paragraph" w:customStyle="1" w:styleId="AppendixQuestionnaireHeader">
    <w:name w:val="Appendix/Questionnaire Header"/>
    <w:basedOn w:val="Heading1"/>
    <w:uiPriority w:val="9"/>
    <w:qFormat/>
    <w:rsid w:val="004A6C36"/>
    <w:pPr>
      <w:jc w:val="center"/>
    </w:pPr>
  </w:style>
  <w:style w:type="paragraph" w:customStyle="1" w:styleId="AppendixLeft">
    <w:name w:val="Appendix Left"/>
    <w:basedOn w:val="Normal"/>
    <w:uiPriority w:val="10"/>
    <w:qFormat/>
    <w:rsid w:val="004A6C36"/>
    <w:pPr>
      <w:tabs>
        <w:tab w:val="right" w:pos="10260"/>
      </w:tabs>
      <w:suppressAutoHyphens/>
    </w:pPr>
  </w:style>
  <w:style w:type="paragraph" w:customStyle="1" w:styleId="EnclosuresList">
    <w:name w:val="Enclosures List"/>
    <w:basedOn w:val="ListParagraph"/>
    <w:uiPriority w:val="52"/>
    <w:rsid w:val="006568F0"/>
    <w:pPr>
      <w:numPr>
        <w:numId w:val="0"/>
      </w:numPr>
      <w:tabs>
        <w:tab w:val="left" w:pos="-720"/>
        <w:tab w:val="left" w:pos="720"/>
      </w:tabs>
      <w:suppressAutoHyphens/>
      <w:spacing w:after="0"/>
      <w:ind w:left="720"/>
    </w:pPr>
    <w:rPr>
      <w:lang w:val="en-US"/>
    </w:rPr>
  </w:style>
  <w:style w:type="paragraph" w:customStyle="1" w:styleId="AppendixRight">
    <w:name w:val="Appendix Right"/>
    <w:basedOn w:val="AppendixLeft"/>
    <w:uiPriority w:val="11"/>
    <w:qFormat/>
    <w:rsid w:val="006568F0"/>
    <w:pPr>
      <w:jc w:val="right"/>
    </w:pPr>
  </w:style>
  <w:style w:type="paragraph" w:styleId="ListBullet">
    <w:name w:val="List Bullet"/>
    <w:basedOn w:val="Normal"/>
    <w:uiPriority w:val="51"/>
    <w:qFormat/>
    <w:rsid w:val="00930569"/>
    <w:pPr>
      <w:numPr>
        <w:numId w:val="6"/>
      </w:numPr>
      <w:contextualSpacing w:val="0"/>
    </w:pPr>
  </w:style>
  <w:style w:type="paragraph" w:customStyle="1" w:styleId="QuestionnaireList">
    <w:name w:val="Questionnaire List"/>
    <w:basedOn w:val="ListParagraph"/>
    <w:uiPriority w:val="15"/>
    <w:qFormat/>
    <w:rsid w:val="00691FC5"/>
    <w:pPr>
      <w:numPr>
        <w:numId w:val="11"/>
      </w:numPr>
      <w:ind w:left="0" w:firstLine="0"/>
    </w:pPr>
    <w:rPr>
      <w:b/>
    </w:rPr>
  </w:style>
  <w:style w:type="paragraph" w:customStyle="1" w:styleId="QuestionnaireList2">
    <w:name w:val="Questionnaire List 2"/>
    <w:basedOn w:val="QuestionnaireList"/>
    <w:uiPriority w:val="16"/>
    <w:qFormat/>
    <w:rsid w:val="00691FC5"/>
    <w:pPr>
      <w:numPr>
        <w:numId w:val="12"/>
      </w:numPr>
      <w:ind w:left="0" w:firstLine="0"/>
    </w:pPr>
    <w:rPr>
      <w:b w:val="0"/>
    </w:rPr>
  </w:style>
  <w:style w:type="character" w:customStyle="1" w:styleId="Heading2Char">
    <w:name w:val="Heading 2 Char"/>
    <w:basedOn w:val="DefaultParagraphFont"/>
    <w:link w:val="Heading2"/>
    <w:uiPriority w:val="7"/>
    <w:rsid w:val="0045780E"/>
    <w:rPr>
      <w:rFonts w:ascii="Lucida Sans" w:hAnsi="Lucida Sans"/>
      <w:b/>
      <w:bCs/>
      <w:szCs w:val="26"/>
      <w:lang w:val="x-none" w:eastAsia="x-none"/>
    </w:rPr>
  </w:style>
  <w:style w:type="paragraph" w:styleId="Revision">
    <w:name w:val="Revision"/>
    <w:hidden/>
    <w:uiPriority w:val="99"/>
    <w:semiHidden/>
    <w:rsid w:val="00063AFE"/>
    <w:rPr>
      <w:rFonts w:ascii="Lucida Sans" w:hAnsi="Lucida Sans"/>
    </w:rPr>
  </w:style>
  <w:style w:type="table" w:styleId="GridTable1Light-Accent1">
    <w:name w:val="Grid Table 1 Light Accent 1"/>
    <w:basedOn w:val="TableNormal"/>
    <w:uiPriority w:val="46"/>
    <w:locked/>
    <w:rsid w:val="001C6E32"/>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673567">
      <w:bodyDiv w:val="1"/>
      <w:marLeft w:val="0"/>
      <w:marRight w:val="0"/>
      <w:marTop w:val="0"/>
      <w:marBottom w:val="0"/>
      <w:divBdr>
        <w:top w:val="none" w:sz="0" w:space="0" w:color="auto"/>
        <w:left w:val="none" w:sz="0" w:space="0" w:color="auto"/>
        <w:bottom w:val="none" w:sz="0" w:space="0" w:color="auto"/>
        <w:right w:val="none" w:sz="0" w:space="0" w:color="auto"/>
      </w:divBdr>
    </w:div>
    <w:div w:id="418066551">
      <w:bodyDiv w:val="1"/>
      <w:marLeft w:val="0"/>
      <w:marRight w:val="0"/>
      <w:marTop w:val="0"/>
      <w:marBottom w:val="0"/>
      <w:divBdr>
        <w:top w:val="none" w:sz="0" w:space="0" w:color="auto"/>
        <w:left w:val="none" w:sz="0" w:space="0" w:color="auto"/>
        <w:bottom w:val="none" w:sz="0" w:space="0" w:color="auto"/>
        <w:right w:val="none" w:sz="0" w:space="0" w:color="auto"/>
      </w:divBdr>
    </w:div>
    <w:div w:id="675109682">
      <w:bodyDiv w:val="1"/>
      <w:marLeft w:val="0"/>
      <w:marRight w:val="0"/>
      <w:marTop w:val="0"/>
      <w:marBottom w:val="0"/>
      <w:divBdr>
        <w:top w:val="none" w:sz="0" w:space="0" w:color="auto"/>
        <w:left w:val="none" w:sz="0" w:space="0" w:color="auto"/>
        <w:bottom w:val="none" w:sz="0" w:space="0" w:color="auto"/>
        <w:right w:val="none" w:sz="0" w:space="0" w:color="auto"/>
      </w:divBdr>
    </w:div>
    <w:div w:id="730807311">
      <w:bodyDiv w:val="1"/>
      <w:marLeft w:val="0"/>
      <w:marRight w:val="0"/>
      <w:marTop w:val="0"/>
      <w:marBottom w:val="0"/>
      <w:divBdr>
        <w:top w:val="none" w:sz="0" w:space="0" w:color="auto"/>
        <w:left w:val="none" w:sz="0" w:space="0" w:color="auto"/>
        <w:bottom w:val="none" w:sz="0" w:space="0" w:color="auto"/>
        <w:right w:val="none" w:sz="0" w:space="0" w:color="auto"/>
      </w:divBdr>
    </w:div>
    <w:div w:id="955991969">
      <w:bodyDiv w:val="1"/>
      <w:marLeft w:val="0"/>
      <w:marRight w:val="0"/>
      <w:marTop w:val="0"/>
      <w:marBottom w:val="0"/>
      <w:divBdr>
        <w:top w:val="none" w:sz="0" w:space="0" w:color="auto"/>
        <w:left w:val="none" w:sz="0" w:space="0" w:color="auto"/>
        <w:bottom w:val="none" w:sz="0" w:space="0" w:color="auto"/>
        <w:right w:val="none" w:sz="0" w:space="0" w:color="auto"/>
      </w:divBdr>
    </w:div>
    <w:div w:id="1059206818">
      <w:bodyDiv w:val="1"/>
      <w:marLeft w:val="0"/>
      <w:marRight w:val="0"/>
      <w:marTop w:val="0"/>
      <w:marBottom w:val="0"/>
      <w:divBdr>
        <w:top w:val="none" w:sz="0" w:space="0" w:color="auto"/>
        <w:left w:val="none" w:sz="0" w:space="0" w:color="auto"/>
        <w:bottom w:val="none" w:sz="0" w:space="0" w:color="auto"/>
        <w:right w:val="none" w:sz="0" w:space="0" w:color="auto"/>
      </w:divBdr>
    </w:div>
    <w:div w:id="1274706962">
      <w:bodyDiv w:val="1"/>
      <w:marLeft w:val="0"/>
      <w:marRight w:val="0"/>
      <w:marTop w:val="0"/>
      <w:marBottom w:val="0"/>
      <w:divBdr>
        <w:top w:val="none" w:sz="0" w:space="0" w:color="auto"/>
        <w:left w:val="none" w:sz="0" w:space="0" w:color="auto"/>
        <w:bottom w:val="none" w:sz="0" w:space="0" w:color="auto"/>
        <w:right w:val="none" w:sz="0" w:space="0" w:color="auto"/>
      </w:divBdr>
    </w:div>
    <w:div w:id="1299798522">
      <w:bodyDiv w:val="1"/>
      <w:marLeft w:val="0"/>
      <w:marRight w:val="0"/>
      <w:marTop w:val="0"/>
      <w:marBottom w:val="0"/>
      <w:divBdr>
        <w:top w:val="none" w:sz="0" w:space="0" w:color="auto"/>
        <w:left w:val="none" w:sz="0" w:space="0" w:color="auto"/>
        <w:bottom w:val="none" w:sz="0" w:space="0" w:color="auto"/>
        <w:right w:val="none" w:sz="0" w:space="0" w:color="auto"/>
      </w:divBdr>
    </w:div>
    <w:div w:id="1347752262">
      <w:bodyDiv w:val="1"/>
      <w:marLeft w:val="0"/>
      <w:marRight w:val="0"/>
      <w:marTop w:val="0"/>
      <w:marBottom w:val="0"/>
      <w:divBdr>
        <w:top w:val="none" w:sz="0" w:space="0" w:color="auto"/>
        <w:left w:val="none" w:sz="0" w:space="0" w:color="auto"/>
        <w:bottom w:val="none" w:sz="0" w:space="0" w:color="auto"/>
        <w:right w:val="none" w:sz="0" w:space="0" w:color="auto"/>
      </w:divBdr>
    </w:div>
    <w:div w:id="1388795933">
      <w:bodyDiv w:val="1"/>
      <w:marLeft w:val="0"/>
      <w:marRight w:val="0"/>
      <w:marTop w:val="0"/>
      <w:marBottom w:val="0"/>
      <w:divBdr>
        <w:top w:val="none" w:sz="0" w:space="0" w:color="auto"/>
        <w:left w:val="none" w:sz="0" w:space="0" w:color="auto"/>
        <w:bottom w:val="none" w:sz="0" w:space="0" w:color="auto"/>
        <w:right w:val="none" w:sz="0" w:space="0" w:color="auto"/>
      </w:divBdr>
    </w:div>
    <w:div w:id="1413813497">
      <w:bodyDiv w:val="1"/>
      <w:marLeft w:val="0"/>
      <w:marRight w:val="0"/>
      <w:marTop w:val="0"/>
      <w:marBottom w:val="0"/>
      <w:divBdr>
        <w:top w:val="none" w:sz="0" w:space="0" w:color="auto"/>
        <w:left w:val="none" w:sz="0" w:space="0" w:color="auto"/>
        <w:bottom w:val="none" w:sz="0" w:space="0" w:color="auto"/>
        <w:right w:val="none" w:sz="0" w:space="0" w:color="auto"/>
      </w:divBdr>
    </w:div>
    <w:div w:id="1644692955">
      <w:bodyDiv w:val="1"/>
      <w:marLeft w:val="0"/>
      <w:marRight w:val="0"/>
      <w:marTop w:val="0"/>
      <w:marBottom w:val="0"/>
      <w:divBdr>
        <w:top w:val="none" w:sz="0" w:space="0" w:color="auto"/>
        <w:left w:val="none" w:sz="0" w:space="0" w:color="auto"/>
        <w:bottom w:val="none" w:sz="0" w:space="0" w:color="auto"/>
        <w:right w:val="none" w:sz="0" w:space="0" w:color="auto"/>
      </w:divBdr>
    </w:div>
    <w:div w:id="1722051203">
      <w:bodyDiv w:val="1"/>
      <w:marLeft w:val="0"/>
      <w:marRight w:val="0"/>
      <w:marTop w:val="0"/>
      <w:marBottom w:val="0"/>
      <w:divBdr>
        <w:top w:val="none" w:sz="0" w:space="0" w:color="auto"/>
        <w:left w:val="none" w:sz="0" w:space="0" w:color="auto"/>
        <w:bottom w:val="none" w:sz="0" w:space="0" w:color="auto"/>
        <w:right w:val="none" w:sz="0" w:space="0" w:color="auto"/>
      </w:divBdr>
    </w:div>
    <w:div w:id="209944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jpg"/></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9831F-4FD8-449B-BBD7-387C9B443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Dell Computer Corporation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Ryan Carpus</dc:creator>
  <cp:keywords/>
  <cp:lastModifiedBy>Ryan Carpus</cp:lastModifiedBy>
  <cp:revision>12</cp:revision>
  <cp:lastPrinted>2019-07-26T20:50:00Z</cp:lastPrinted>
  <dcterms:created xsi:type="dcterms:W3CDTF">2019-08-01T17:35:00Z</dcterms:created>
  <dcterms:modified xsi:type="dcterms:W3CDTF">2021-02-25T01:04:00Z</dcterms:modified>
</cp:coreProperties>
</file>