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Guide d'utilisation – Utilisateur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Bienvenue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Bienvenue sur le site de suivi des bâtiments communaux. Ce site vous permet de consulter les données sur la température, l’humidité, et la qualité de l’air dans vos bâtiments.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Connexion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Ouvrez votre navigateur Internet (Google Chrome, Mozilla Firefox, etc.).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Tapez l’adresse suivante dans la barre d’adresse : pannel-gestion.btscarnus.fr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Entrez votre nom d’utilisateur et votre mot de passe dans les champs prévus.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Cliquez sur le bouton 'Connexion'.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3. Visualiser les données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Une fois connecté, vous accédez à la page d’accueil avec une liste de bâtiments. Cliquez sur le bâtiment de votre choix pour voir les informations disponibles.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Vous pouvez consulter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 température dans différentes pièces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L’humidité de l’air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 niveau de dioxyde de carbone (CO₂)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8b1mmjoocccb" w:id="0"/>
      <w:bookmarkEnd w:id="0"/>
      <w:r w:rsidDel="00000000" w:rsidR="00000000" w:rsidRPr="00000000">
        <w:rPr>
          <w:rtl w:val="0"/>
        </w:rPr>
        <w:t xml:space="preserve">4. Interface simple et claire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L’interface est conçue pour être facile à utiliser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Les données sont affichées sous forme de graphiques et de chiffres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- Il n’y a aucun risque de modifier les paramètres du bâtiment</w:t>
      </w:r>
      <w:r w:rsidDel="00000000" w:rsidR="00000000" w:rsidRPr="00000000">
        <w:rPr/>
        <w:drawing>
          <wp:inline distB="114300" distT="114300" distL="114300" distR="114300">
            <wp:extent cx="3757613" cy="1821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2861" l="0" r="0" t="9722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82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5. Que faire en cas de problème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❓ Vous avez oublié votre mot de passe ? → Contactez le support technique et demandez-leur de régler le problème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❓ La page ne se charge pas ? → Vérifiez votre connexion Internet ou actualisez la page.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❓ Vous ne voyez aucune donnée ? → Contactez votre responsable ou le support SMICA.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6. Support technique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📧 support@smica.fr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📞 05.65.67.85.90 (disponible du lundi au vendredi, de </w:t>
      </w:r>
      <w:r w:rsidDel="00000000" w:rsidR="00000000" w:rsidRPr="00000000">
        <w:rPr>
          <w:rtl w:val="0"/>
        </w:rPr>
        <w:t xml:space="preserve">08:30–12:30, 14:00–17:30</w:t>
      </w:r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fXHdO24g5TCMl5BR3iSP/h+5A==">CgMxLjAyDmguOGIxbW1qb29jY2NiOAByITFqSC1fUjRuZjNDdF9XTE54VWJ1aFltSXl2SDV5NE1LUA==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