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A4736" w14:textId="77777777" w:rsidR="007A1A8F" w:rsidRDefault="007A1A8F" w:rsidP="005632CA">
      <w:pPr>
        <w:pStyle w:val="Title"/>
        <w:rPr>
          <w:lang w:val="en-GB"/>
        </w:rPr>
      </w:pPr>
      <w:bookmarkStart w:id="0" w:name="_GoBack"/>
      <w:bookmarkEnd w:id="0"/>
    </w:p>
    <w:p w14:paraId="66DDE048" w14:textId="0172F1AC" w:rsidR="00BD63BB" w:rsidRDefault="00E8120D" w:rsidP="00873D3A">
      <w:pPr>
        <w:pStyle w:val="Heading1"/>
        <w:rPr>
          <w:lang w:val="en-GB"/>
        </w:rPr>
      </w:pPr>
      <w:r>
        <w:rPr>
          <w:lang w:val="en-GB"/>
        </w:rPr>
        <w:t>Simulation Study</w:t>
      </w:r>
    </w:p>
    <w:p w14:paraId="31ADFD98" w14:textId="515B6F6D" w:rsidR="00E8120D" w:rsidRDefault="00E8120D" w:rsidP="00E8120D">
      <w:pPr>
        <w:rPr>
          <w:lang w:val="en-GB"/>
        </w:rPr>
      </w:pPr>
      <w:r>
        <w:rPr>
          <w:lang w:val="en-GB"/>
        </w:rPr>
        <w:t>The false positive rate (FPR) and true positive rate (TPR) of the proposed Z-test with conventional fixed-form tests were investigated using Monte Carlo simulation.</w:t>
      </w:r>
      <w:r w:rsidR="007D6CE7">
        <w:rPr>
          <w:lang w:val="en-GB"/>
        </w:rPr>
        <w:t xml:space="preserve"> The FPR is the proportion of simulees (simulated examinees) who had no change in their latent trait profile, but incorrectly determined to have significant change by the hypothesis test. The TPR is the proportion of examinees who had a specified level of change and were correctly determined to have significant change. </w:t>
      </w:r>
    </w:p>
    <w:p w14:paraId="070D38C5" w14:textId="77777777" w:rsidR="00CD34BF" w:rsidRDefault="00DD4A8A" w:rsidP="00CD34BF">
      <w:pPr>
        <w:rPr>
          <w:rFonts w:eastAsiaTheme="minorEastAsia" w:cs="Times New Roman"/>
          <w:iCs/>
        </w:rPr>
      </w:pPr>
      <w:r>
        <w:rPr>
          <w:rFonts w:eastAsiaTheme="minorEastAsia" w:cs="Times New Roman"/>
          <w:iCs/>
        </w:rPr>
        <w:t xml:space="preserve">The simulated testing situation is as follows: At Time 1, simulees were given 3 conventional fixed-form tests, one test for each of three separate unidimensional latent traits. At Time 2, simulees were given </w:t>
      </w:r>
      <w:r w:rsidR="00CD34BF">
        <w:rPr>
          <w:rFonts w:eastAsiaTheme="minorEastAsia" w:cs="Times New Roman"/>
          <w:iCs/>
        </w:rPr>
        <w:t>three tests parallel to those at Time 1</w:t>
      </w:r>
      <w:r>
        <w:rPr>
          <w:rFonts w:eastAsiaTheme="minorEastAsia" w:cs="Times New Roman"/>
          <w:iCs/>
        </w:rPr>
        <w:t>. The three separate tests can alternatively be conceived of as one long test, with three separate</w:t>
      </w:r>
      <w:r w:rsidR="00CD34BF">
        <w:rPr>
          <w:rFonts w:eastAsiaTheme="minorEastAsia" w:cs="Times New Roman"/>
          <w:iCs/>
        </w:rPr>
        <w:t xml:space="preserve"> unidimensional</w:t>
      </w:r>
      <w:r>
        <w:rPr>
          <w:rFonts w:eastAsiaTheme="minorEastAsia" w:cs="Times New Roman"/>
          <w:iCs/>
        </w:rPr>
        <w:t xml:space="preserve"> subscales </w:t>
      </w:r>
      <w:r w:rsidR="00CD34BF">
        <w:rPr>
          <w:rFonts w:eastAsiaTheme="minorEastAsia" w:cs="Times New Roman"/>
          <w:iCs/>
        </w:rPr>
        <w:t>(no</w:t>
      </w:r>
      <w:r>
        <w:rPr>
          <w:rFonts w:eastAsiaTheme="minorEastAsia" w:cs="Times New Roman"/>
          <w:iCs/>
        </w:rPr>
        <w:t xml:space="preserve"> within-item multidimensionality). </w:t>
      </w:r>
    </w:p>
    <w:p w14:paraId="6ED0DEC5" w14:textId="5B28EE95" w:rsidR="00243DCA" w:rsidRPr="00243DCA" w:rsidRDefault="00DD4A8A" w:rsidP="008D4E76">
      <w:pPr>
        <w:rPr>
          <w:rFonts w:eastAsiaTheme="minorEastAsia" w:cs="Times New Roman"/>
          <w:iCs/>
        </w:rPr>
      </w:pPr>
      <w:r>
        <w:rPr>
          <w:rFonts w:eastAsiaTheme="minorEastAsia" w:cs="Times New Roman"/>
          <w:iCs/>
        </w:rPr>
        <w:t xml:space="preserve">The test information for all tests was peaked around the initial average latent trait score. This means that in situations where change occurs, the standard errors at Time 2 </w:t>
      </w:r>
      <w:r w:rsidR="00CD34BF">
        <w:rPr>
          <w:rFonts w:eastAsiaTheme="minorEastAsia" w:cs="Times New Roman"/>
          <w:iCs/>
        </w:rPr>
        <w:t xml:space="preserve">may be </w:t>
      </w:r>
      <w:r>
        <w:rPr>
          <w:rFonts w:eastAsiaTheme="minorEastAsia" w:cs="Times New Roman"/>
          <w:iCs/>
        </w:rPr>
        <w:t xml:space="preserve">greater on average than at Time 1, </w:t>
      </w:r>
      <w:r w:rsidR="00CD34BF">
        <w:rPr>
          <w:rFonts w:eastAsiaTheme="minorEastAsia" w:cs="Times New Roman"/>
          <w:iCs/>
        </w:rPr>
        <w:t xml:space="preserve">as the latent trait scores at Time 2 should be further from the peak of the test information function. This situation was chosen to follow a realistic fixed-form testing scenario, where the direction and magnitude of change would be unknown, so tests at Time 2 could not easily be targeted toward the average trait level at Time 2. </w:t>
      </w:r>
      <w:r w:rsidR="00CD34BF" w:rsidRPr="00CD34BF">
        <w:rPr>
          <w:rFonts w:eastAsiaTheme="minorEastAsia" w:cs="Times New Roman"/>
          <w:iCs/>
        </w:rPr>
        <w:t>The item parameters of the three tests were simulated the same way for each test, following a 3PL IRT model. The discrimination parameters were simulated form a normal distribution with mean of 1 and standard deviation of 0.15</w:t>
      </w:r>
      <w:r w:rsidR="00323065">
        <w:rPr>
          <w:rFonts w:eastAsiaTheme="minorEastAsia" w:cs="Times New Roman"/>
          <w:iCs/>
        </w:rPr>
        <w:t>, t</w:t>
      </w:r>
      <w:r w:rsidR="00CD34BF" w:rsidRPr="00CD34BF">
        <w:rPr>
          <w:rFonts w:eastAsiaTheme="minorEastAsia" w:cs="Times New Roman"/>
          <w:iCs/>
        </w:rPr>
        <w:t>he difficulty parameters were simulated from a standard normal distribution</w:t>
      </w:r>
      <w:r w:rsidR="00323065">
        <w:rPr>
          <w:rFonts w:eastAsiaTheme="minorEastAsia" w:cs="Times New Roman"/>
          <w:iCs/>
        </w:rPr>
        <w:t>, and</w:t>
      </w:r>
      <w:r w:rsidR="00CD34BF" w:rsidRPr="00CD34BF">
        <w:rPr>
          <w:rFonts w:eastAsiaTheme="minorEastAsia" w:cs="Times New Roman"/>
          <w:iCs/>
        </w:rPr>
        <w:t xml:space="preserve"> </w:t>
      </w:r>
      <w:r w:rsidR="00323065">
        <w:rPr>
          <w:rFonts w:eastAsiaTheme="minorEastAsia" w:cs="Times New Roman"/>
          <w:iCs/>
        </w:rPr>
        <w:t>t</w:t>
      </w:r>
      <w:r w:rsidR="00CD34BF" w:rsidRPr="00CD34BF">
        <w:rPr>
          <w:rFonts w:eastAsiaTheme="minorEastAsia" w:cs="Times New Roman"/>
          <w:iCs/>
        </w:rPr>
        <w:t xml:space="preserve">he guessing parameters were simulated from a uniform distribution with </w:t>
      </w:r>
      <w:r w:rsidR="00CD34BF" w:rsidRPr="00CD34BF">
        <w:rPr>
          <w:rFonts w:eastAsiaTheme="minorEastAsia" w:cs="Times New Roman"/>
          <w:iCs/>
        </w:rPr>
        <w:lastRenderedPageBreak/>
        <w:t>minimum of 0 and maximum of 0.20</w:t>
      </w:r>
      <w:r w:rsidR="00323065">
        <w:rPr>
          <w:rFonts w:eastAsiaTheme="minorEastAsia" w:cs="Times New Roman"/>
          <w:iCs/>
        </w:rPr>
        <w:t xml:space="preserve"> </w:t>
      </w:r>
      <w:r w:rsidR="00323065">
        <w:rPr>
          <w:rFonts w:eastAsiaTheme="minorEastAsia" w:cs="Times New Roman"/>
          <w:iCs/>
        </w:rPr>
        <w:fldChar w:fldCharType="begin"/>
      </w:r>
      <w:r w:rsidR="00323065">
        <w:rPr>
          <w:rFonts w:eastAsiaTheme="minorEastAsia" w:cs="Times New Roman"/>
          <w:iCs/>
        </w:rPr>
        <w:instrText xml:space="preserve"> ADDIN ZOTERO_ITEM CSL_CITATION {"citationID":"DpSx2mWA","properties":{"formattedCitation":"(Wang &amp; Weiss, 2018)","plainCitation":"(Wang &amp; Weiss, 2018)","noteIndex":0},"citationItems":[{"id":70,"uris":["http://zotero.org/users/local/89P2HqKS/items/SHNK8LX9"],"uri":["http://zotero.org/users/local/89P2HqKS/items/SHNK8LX9"],"itemData":{"id":70,"type":"article-journal","abstract":"The measurement of individual change has been an important topic in both education and psychology. For instance, teachers are interested in whether students have significantly improved (e.g., learned) from instruction, and counselors are interested in whether particular behaviors have been significantly changed after certain interventions. Although classical test methods have been unable to adequately resolve the problems in measuring change, recent approaches for measuring change have begun to use item response theory (IRT). However, all prior methods mainly focus on testing whether growth is significant at the group level. The present research targets a key research question: Is the ‘‘change’’ in latent trait estimates for each individual significant across occasions? Many researchers have addressed this research question assuming that the latent trait is unidimensional. This research generalizes their earlier work and proposes four hypothesis testing methods to evaluate individual change on multiple latent traits: a multivariate Z-test, a multivariate likelihood ratio test, a multivariate score test, and a Kullback–Leibler test. Simulation results show that these tests hold promise of detecting individual change with low Type I error and high power. A real-data example from an educational assessment illustrates the application of the proposed methods.","container-title":"Applied Psychological Measurement","DOI":"10.1177/0146621617726787","ISSN":"0146-6216, 1552-3497","issue":"3","journalAbbreviation":"Applied Psychological Measurement","language":"en","page":"221-239","source":"DOI.org (Crossref)","title":"Multivariate Hypothesis Testing Methods for Evaluating Significant Individual Change","volume":"42","author":[{"family":"Wang","given":"Chun"},{"family":"Weiss","given":"David J."}],"issued":{"date-parts":[["2018",5]]}}}],"schema":"https://github.com/citation-style-language/schema/raw/master/csl-citation.json"} </w:instrText>
      </w:r>
      <w:r w:rsidR="00323065">
        <w:rPr>
          <w:rFonts w:eastAsiaTheme="minorEastAsia" w:cs="Times New Roman"/>
          <w:iCs/>
        </w:rPr>
        <w:fldChar w:fldCharType="separate"/>
      </w:r>
      <w:r w:rsidR="00323065">
        <w:rPr>
          <w:rFonts w:eastAsiaTheme="minorEastAsia" w:cs="Times New Roman"/>
          <w:iCs/>
          <w:noProof/>
        </w:rPr>
        <w:t>(Wang &amp; Weiss, 2018)</w:t>
      </w:r>
      <w:r w:rsidR="00323065">
        <w:rPr>
          <w:rFonts w:eastAsiaTheme="minorEastAsia" w:cs="Times New Roman"/>
          <w:iCs/>
        </w:rPr>
        <w:fldChar w:fldCharType="end"/>
      </w:r>
      <w:r w:rsidR="00CD34BF" w:rsidRPr="00CD34BF">
        <w:rPr>
          <w:rFonts w:eastAsiaTheme="minorEastAsia" w:cs="Times New Roman"/>
          <w:iCs/>
        </w:rPr>
        <w:t>. The test length was 40 items.</w:t>
      </w:r>
      <w:r w:rsidR="00E33D68">
        <w:rPr>
          <w:rFonts w:eastAsiaTheme="minorEastAsia" w:cs="Times New Roman"/>
          <w:iCs/>
        </w:rPr>
        <w:t xml:space="preserve"> The test information function and conditional standard error of measurement function (which is just the reciprocal square root of the test information) for each test</w:t>
      </w:r>
      <w:r w:rsidR="001460B0">
        <w:rPr>
          <w:rFonts w:eastAsiaTheme="minorEastAsia" w:cs="Times New Roman"/>
          <w:iCs/>
        </w:rPr>
        <w:t xml:space="preserve"> (</w:t>
      </w:r>
      <w:r w:rsidR="00E33D68">
        <w:rPr>
          <w:rFonts w:eastAsiaTheme="minorEastAsia" w:cs="Times New Roman"/>
          <w:iCs/>
        </w:rPr>
        <w:t>identified by dimension</w:t>
      </w:r>
      <w:r w:rsidR="001460B0">
        <w:rPr>
          <w:rFonts w:eastAsiaTheme="minorEastAsia" w:cs="Times New Roman"/>
          <w:iCs/>
        </w:rPr>
        <w:t>)</w:t>
      </w:r>
      <w:r w:rsidR="00E33D68">
        <w:rPr>
          <w:rFonts w:eastAsiaTheme="minorEastAsia" w:cs="Times New Roman"/>
          <w:iCs/>
        </w:rPr>
        <w:t xml:space="preserve"> are displ</w:t>
      </w:r>
      <w:r w:rsidR="001460B0">
        <w:rPr>
          <w:rFonts w:eastAsiaTheme="minorEastAsia" w:cs="Times New Roman"/>
          <w:iCs/>
        </w:rPr>
        <w:t>a</w:t>
      </w:r>
      <w:r w:rsidR="00E33D68">
        <w:rPr>
          <w:rFonts w:eastAsiaTheme="minorEastAsia" w:cs="Times New Roman"/>
          <w:iCs/>
        </w:rPr>
        <w:t xml:space="preserve">yed in Figure </w:t>
      </w:r>
      <w:r w:rsidR="00B56985">
        <w:rPr>
          <w:rFonts w:eastAsiaTheme="minorEastAsia" w:cs="Times New Roman"/>
          <w:iCs/>
        </w:rPr>
        <w:t>1</w:t>
      </w:r>
      <w:r w:rsidR="00E33D68">
        <w:rPr>
          <w:rFonts w:eastAsiaTheme="minorEastAsia" w:cs="Times New Roman"/>
          <w:iCs/>
        </w:rPr>
        <w:t>.</w:t>
      </w:r>
    </w:p>
    <w:p w14:paraId="553E8E1B" w14:textId="17D55C27" w:rsidR="00243DCA" w:rsidRDefault="00243DCA" w:rsidP="008D4E76">
      <w:pPr>
        <w:pStyle w:val="Caption"/>
        <w:keepNext/>
        <w:rPr>
          <w:b/>
          <w:bCs/>
          <w:i w:val="0"/>
          <w:iCs w:val="0"/>
          <w:sz w:val="24"/>
          <w:szCs w:val="24"/>
        </w:rPr>
      </w:pPr>
      <w:r w:rsidRPr="00243DCA">
        <w:rPr>
          <w:b/>
          <w:bCs/>
          <w:i w:val="0"/>
          <w:iCs w:val="0"/>
          <w:sz w:val="24"/>
          <w:szCs w:val="24"/>
        </w:rPr>
        <w:t xml:space="preserve">Figure </w:t>
      </w:r>
      <w:r w:rsidRPr="00243DCA">
        <w:rPr>
          <w:b/>
          <w:bCs/>
          <w:i w:val="0"/>
          <w:iCs w:val="0"/>
          <w:sz w:val="24"/>
          <w:szCs w:val="24"/>
        </w:rPr>
        <w:fldChar w:fldCharType="begin"/>
      </w:r>
      <w:r w:rsidRPr="00243DCA">
        <w:rPr>
          <w:b/>
          <w:bCs/>
          <w:i w:val="0"/>
          <w:iCs w:val="0"/>
          <w:sz w:val="24"/>
          <w:szCs w:val="24"/>
        </w:rPr>
        <w:instrText xml:space="preserve"> SEQ Figure \* ARABIC </w:instrText>
      </w:r>
      <w:r w:rsidRPr="00243DCA">
        <w:rPr>
          <w:b/>
          <w:bCs/>
          <w:i w:val="0"/>
          <w:iCs w:val="0"/>
          <w:sz w:val="24"/>
          <w:szCs w:val="24"/>
        </w:rPr>
        <w:fldChar w:fldCharType="separate"/>
      </w:r>
      <w:r w:rsidR="0093594C">
        <w:rPr>
          <w:b/>
          <w:bCs/>
          <w:i w:val="0"/>
          <w:iCs w:val="0"/>
          <w:noProof/>
          <w:sz w:val="24"/>
          <w:szCs w:val="24"/>
        </w:rPr>
        <w:t>1</w:t>
      </w:r>
      <w:r w:rsidRPr="00243DCA">
        <w:rPr>
          <w:b/>
          <w:bCs/>
          <w:i w:val="0"/>
          <w:iCs w:val="0"/>
          <w:sz w:val="24"/>
          <w:szCs w:val="24"/>
        </w:rPr>
        <w:fldChar w:fldCharType="end"/>
      </w:r>
    </w:p>
    <w:p w14:paraId="4C396698" w14:textId="60875AA1" w:rsidR="00243DCA" w:rsidRPr="00243DCA" w:rsidRDefault="00243DCA" w:rsidP="008D4E76">
      <w:pPr>
        <w:keepNext/>
        <w:spacing w:line="240" w:lineRule="auto"/>
        <w:ind w:firstLine="0"/>
        <w:rPr>
          <w:rFonts w:eastAsiaTheme="minorEastAsia" w:cs="Times New Roman"/>
          <w:i/>
        </w:rPr>
      </w:pPr>
      <w:r>
        <w:rPr>
          <w:rFonts w:eastAsiaTheme="minorEastAsia" w:cs="Times New Roman"/>
          <w:i/>
        </w:rPr>
        <w:t>Test Information and Conditional Standard Error of Measurement for Each Dimension</w:t>
      </w:r>
    </w:p>
    <w:p w14:paraId="176CA906" w14:textId="1D6F9A67" w:rsidR="00D12343" w:rsidRPr="00CD34BF" w:rsidRDefault="00D12343" w:rsidP="008D4E76">
      <w:pPr>
        <w:keepNext/>
        <w:spacing w:line="240" w:lineRule="auto"/>
        <w:ind w:firstLine="0"/>
        <w:rPr>
          <w:rFonts w:eastAsiaTheme="minorEastAsia" w:cs="Times New Roman"/>
          <w:iCs/>
        </w:rPr>
      </w:pPr>
      <w:r w:rsidRPr="00D12343">
        <w:rPr>
          <w:rFonts w:eastAsiaTheme="minorEastAsia" w:cs="Times New Roman"/>
          <w:iCs/>
          <w:noProof/>
        </w:rPr>
        <w:drawing>
          <wp:inline distT="0" distB="0" distL="0" distR="0" wp14:anchorId="5D83272D" wp14:editId="49E0E446">
            <wp:extent cx="5943600" cy="35938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9574" cy="3597417"/>
                    </a:xfrm>
                    <a:prstGeom prst="rect">
                      <a:avLst/>
                    </a:prstGeom>
                  </pic:spPr>
                </pic:pic>
              </a:graphicData>
            </a:graphic>
          </wp:inline>
        </w:drawing>
      </w:r>
    </w:p>
    <w:p w14:paraId="11BD1E37" w14:textId="5741A35E" w:rsidR="00DD4A8A" w:rsidRDefault="00CE1DFE" w:rsidP="00CD34BF">
      <w:pPr>
        <w:rPr>
          <w:rFonts w:eastAsiaTheme="minorEastAsia" w:cs="Times New Roman"/>
          <w:iCs/>
        </w:rPr>
      </w:pPr>
      <w:r>
        <w:rPr>
          <w:rFonts w:eastAsiaTheme="minorEastAsia" w:cs="Times New Roman"/>
          <w:iCs/>
        </w:rPr>
        <w:t xml:space="preserve">The </w:t>
      </w:r>
      <w:r w:rsidR="00CF1134">
        <w:rPr>
          <w:rFonts w:eastAsiaTheme="minorEastAsia" w:cs="Times New Roman"/>
          <w:iCs/>
        </w:rPr>
        <w:t xml:space="preserve">latent trait profiles for 10,000 </w:t>
      </w:r>
      <w:r>
        <w:rPr>
          <w:rFonts w:eastAsiaTheme="minorEastAsia" w:cs="Times New Roman"/>
          <w:iCs/>
        </w:rPr>
        <w:t xml:space="preserve">simulees </w:t>
      </w:r>
      <w:r w:rsidR="00CF1134">
        <w:rPr>
          <w:rFonts w:eastAsiaTheme="minorEastAsia" w:cs="Times New Roman"/>
          <w:iCs/>
        </w:rPr>
        <w:t xml:space="preserve">at </w:t>
      </w:r>
      <w:r>
        <w:rPr>
          <w:rFonts w:eastAsiaTheme="minorEastAsia" w:cs="Times New Roman"/>
          <w:iCs/>
        </w:rPr>
        <w:t xml:space="preserve">Time 1 were simulated from a multivariate normal distribution with a mean vector of 0s and a covariance matrix with 1s along the diagonals and </w:t>
      </w:r>
      <w:r>
        <w:rPr>
          <w:rFonts w:eastAsiaTheme="minorEastAsia" w:cs="Times New Roman"/>
          <w:i/>
        </w:rPr>
        <w:t xml:space="preserve">r </w:t>
      </w:r>
      <w:r w:rsidRPr="00CE1DFE">
        <w:rPr>
          <w:rFonts w:eastAsiaTheme="minorEastAsia" w:cs="Times New Roman"/>
          <w:iCs/>
        </w:rPr>
        <w:t>along</w:t>
      </w:r>
      <w:r>
        <w:rPr>
          <w:rFonts w:eastAsiaTheme="minorEastAsia" w:cs="Times New Roman"/>
          <w:iCs/>
        </w:rPr>
        <w:t xml:space="preserve"> the off</w:t>
      </w:r>
      <w:r w:rsidR="00D71D7C">
        <w:rPr>
          <w:rFonts w:eastAsiaTheme="minorEastAsia" w:cs="Times New Roman"/>
          <w:iCs/>
        </w:rPr>
        <w:t>-</w:t>
      </w:r>
      <w:r>
        <w:rPr>
          <w:rFonts w:eastAsiaTheme="minorEastAsia" w:cs="Times New Roman"/>
          <w:iCs/>
        </w:rPr>
        <w:t xml:space="preserve">diagonals </w:t>
      </w:r>
      <w:r>
        <w:rPr>
          <w:rFonts w:eastAsiaTheme="minorEastAsia" w:cs="Times New Roman"/>
          <w:iCs/>
        </w:rPr>
        <w:fldChar w:fldCharType="begin"/>
      </w:r>
      <w:r>
        <w:rPr>
          <w:rFonts w:eastAsiaTheme="minorEastAsia" w:cs="Times New Roman"/>
          <w:iCs/>
        </w:rPr>
        <w:instrText xml:space="preserve"> ADDIN ZOTERO_ITEM CSL_CITATION {"citationID":"YLL0KoqA","properties":{"formattedCitation":"(Wang &amp; Weiss, 2018)","plainCitation":"(Wang &amp; Weiss, 2018)","noteIndex":0},"citationItems":[{"id":70,"uris":["http://zotero.org/users/local/89P2HqKS/items/SHNK8LX9"],"uri":["http://zotero.org/users/local/89P2HqKS/items/SHNK8LX9"],"itemData":{"id":70,"type":"article-journal","abstract":"The measurement of individual change has been an important topic in both education and psychology. For instance, teachers are interested in whether students have significantly improved (e.g., learned) from instruction, and counselors are interested in whether particular behaviors have been significantly changed after certain interventions. Although classical test methods have been unable to adequately resolve the problems in measuring change, recent approaches for measuring change have begun to use item response theory (IRT). However, all prior methods mainly focus on testing whether growth is significant at the group level. The present research targets a key research question: Is the ‘‘change’’ in latent trait estimates for each individual significant across occasions? Many researchers have addressed this research question assuming that the latent trait is unidimensional. This research generalizes their earlier work and proposes four hypothesis testing methods to evaluate individual change on multiple latent traits: a multivariate Z-test, a multivariate likelihood ratio test, a multivariate score test, and a Kullback–Leibler test. Simulation results show that these tests hold promise of detecting individual change with low Type I error and high power. A real-data example from an educational assessment illustrates the application of the proposed methods.","container-title":"Applied Psychological Measurement","DOI":"10.1177/0146621617726787","ISSN":"0146-6216, 1552-3497","issue":"3","journalAbbreviation":"Applied Psychological Measurement","language":"en","page":"221-239","source":"DOI.org (Crossref)","title":"Multivariate Hypothesis Testing Methods for Evaluating Significant Individual Change","volume":"42","author":[{"family":"Wang","given":"Chun"},{"family":"Weiss","given":"David J."}],"issued":{"date-parts":[["2018",5]]}}}],"schema":"https://github.com/citation-style-language/schema/raw/master/csl-citation.json"} </w:instrText>
      </w:r>
      <w:r>
        <w:rPr>
          <w:rFonts w:eastAsiaTheme="minorEastAsia" w:cs="Times New Roman"/>
          <w:iCs/>
        </w:rPr>
        <w:fldChar w:fldCharType="separate"/>
      </w:r>
      <w:r>
        <w:rPr>
          <w:rFonts w:eastAsiaTheme="minorEastAsia" w:cs="Times New Roman"/>
          <w:iCs/>
          <w:noProof/>
        </w:rPr>
        <w:t>(Wang &amp; Weiss, 2018)</w:t>
      </w:r>
      <w:r>
        <w:rPr>
          <w:rFonts w:eastAsiaTheme="minorEastAsia" w:cs="Times New Roman"/>
          <w:iCs/>
        </w:rPr>
        <w:fldChar w:fldCharType="end"/>
      </w:r>
      <w:r>
        <w:rPr>
          <w:rFonts w:eastAsiaTheme="minorEastAsia" w:cs="Times New Roman"/>
          <w:iCs/>
        </w:rPr>
        <w:t>. The off</w:t>
      </w:r>
      <w:r w:rsidR="00D71D7C">
        <w:rPr>
          <w:rFonts w:eastAsiaTheme="minorEastAsia" w:cs="Times New Roman"/>
          <w:iCs/>
        </w:rPr>
        <w:t>-</w:t>
      </w:r>
      <w:r>
        <w:rPr>
          <w:rFonts w:eastAsiaTheme="minorEastAsia" w:cs="Times New Roman"/>
          <w:iCs/>
        </w:rPr>
        <w:t xml:space="preserve">diagonals are the correlation between pairs of latent traits and for simplicity were assumed to be the same for all pairs. Two values for the correlations were used: </w:t>
      </w:r>
      <w:r w:rsidRPr="00CE1DFE">
        <w:rPr>
          <w:rFonts w:eastAsiaTheme="minorEastAsia" w:cs="Times New Roman"/>
          <w:i/>
        </w:rPr>
        <w:t>r</w:t>
      </w:r>
      <w:r>
        <w:rPr>
          <w:rFonts w:eastAsiaTheme="minorEastAsia" w:cs="Times New Roman"/>
          <w:iCs/>
        </w:rPr>
        <w:t xml:space="preserve"> = 0 and </w:t>
      </w:r>
      <w:r w:rsidRPr="00CE1DFE">
        <w:rPr>
          <w:rFonts w:eastAsiaTheme="minorEastAsia" w:cs="Times New Roman"/>
          <w:i/>
        </w:rPr>
        <w:t>r</w:t>
      </w:r>
      <w:r>
        <w:rPr>
          <w:rFonts w:eastAsiaTheme="minorEastAsia" w:cs="Times New Roman"/>
          <w:iCs/>
        </w:rPr>
        <w:t xml:space="preserve"> = 0.5. The value of zero was chosen to investigate the simple situation of no correlation, while </w:t>
      </w:r>
      <w:r w:rsidR="00093A07">
        <w:rPr>
          <w:rFonts w:eastAsiaTheme="minorEastAsia" w:cs="Times New Roman"/>
          <w:iCs/>
        </w:rPr>
        <w:t>0</w:t>
      </w:r>
      <w:r>
        <w:rPr>
          <w:rFonts w:eastAsiaTheme="minorEastAsia" w:cs="Times New Roman"/>
          <w:iCs/>
        </w:rPr>
        <w:t>.5 was chosen to follow Wang and Weiss (2018)</w:t>
      </w:r>
      <w:r w:rsidR="00093A07">
        <w:rPr>
          <w:rFonts w:eastAsiaTheme="minorEastAsia" w:cs="Times New Roman"/>
          <w:iCs/>
        </w:rPr>
        <w:t xml:space="preserve">, who chose it as a value that is seen in real testing situations. </w:t>
      </w:r>
      <w:r w:rsidR="00093A07">
        <w:rPr>
          <w:rFonts w:eastAsiaTheme="minorEastAsia" w:cs="Times New Roman"/>
          <w:iCs/>
        </w:rPr>
        <w:fldChar w:fldCharType="begin"/>
      </w:r>
      <w:r w:rsidR="00093A07">
        <w:rPr>
          <w:rFonts w:eastAsiaTheme="minorEastAsia" w:cs="Times New Roman"/>
          <w:iCs/>
        </w:rPr>
        <w:instrText xml:space="preserve"> ADDIN ZOTERO_ITEM CSL_CITATION {"citationID":"mrER8tQn","properties":{"formattedCitation":"(Wang et al., 2020)","plainCitation":"(Wang et al., 2020)","noteIndex":0},"citationItems":[{"id":118,"uris":["http://zotero.org/users/local/89P2HqKS/items/UIHD4AK8"],"uri":["http://zotero.org/users/local/89P2HqKS/items/UIHD4AK8"],"itemData":{"id":118,"type":"article-journal","abstract":"In psychological and educational measurement, it is often of interest to assess change in an individual. The current study expanded on previous research by introducing methods that can evaluate individual change on multiple latent traits measured on multiple occasions. The four methods considered are the likelihood ratio test (LRT), the multivariate Wald test (MWT), the modified multivariate Wald test (MMWT), and the score test (ST). Simulation studies were conducted to examine the true positive rate (TPR) and the false positive rate (FPR) of the new methods under a conventional fixed-form test and a computerized adaptive test (CAT). Manipulated variables included the number of occasions, change magnitudes, patterns of change, and correlations between latent traits. Results revealed that, in terms of FPR, all methods except MWT had close adherence to the nominal significance level. Among the three methods, the LRT is recommended as it provided a balance between FPR and TPR. Larger change magnitude yielded higher TPR, regardless of the remaining factors. With the same test length, a CAT yielded higher TPR than a conventional test. Real-data examples are provided of identifying psychometrically significant change across two to four occasions using a multivariate adaptive self-report medical outcomes measure from hospitalized patients. The detection of significant change among the three methods agreed highly, and those patients identified as having significant change exhibited large profile differences, which provided support for the valid performance of the proposed methods.","container-title":"Multivariate Behavioral Research","DOI":"10.1080/00273171.2020.1730739","ISSN":"0027-3171","issue":"0","note":"publisher: Routledge\n_eprint: https://doi.org/10.1080/00273171.2020.1730739\nPMID: 32124648","page":"1-17","source":"Taylor and Francis+NEJM","title":"Hypothesis Testing Methods for Multivariate Multi-Occasion Intra-Individual Change","volume":"0","author":[{"family":"Wang","given":"Chun"},{"family":"Weiss","given":"David J."},{"family":"Suen","given":"King Yiu"}],"issued":{"date-parts":[["2020",3,3]]}}}],"schema":"https://github.com/citation-style-language/schema/raw/master/csl-citation.json"} </w:instrText>
      </w:r>
      <w:r w:rsidR="00093A07">
        <w:rPr>
          <w:rFonts w:eastAsiaTheme="minorEastAsia" w:cs="Times New Roman"/>
          <w:iCs/>
        </w:rPr>
        <w:fldChar w:fldCharType="separate"/>
      </w:r>
      <w:r w:rsidR="00093A07">
        <w:rPr>
          <w:rFonts w:eastAsiaTheme="minorEastAsia" w:cs="Times New Roman"/>
          <w:iCs/>
          <w:noProof/>
        </w:rPr>
        <w:t>Wang et al. (2020)</w:t>
      </w:r>
      <w:r w:rsidR="00093A07">
        <w:rPr>
          <w:rFonts w:eastAsiaTheme="minorEastAsia" w:cs="Times New Roman"/>
          <w:iCs/>
        </w:rPr>
        <w:fldChar w:fldCharType="end"/>
      </w:r>
      <w:r w:rsidR="00093A07">
        <w:rPr>
          <w:rFonts w:eastAsiaTheme="minorEastAsia" w:cs="Times New Roman"/>
          <w:iCs/>
        </w:rPr>
        <w:t xml:space="preserve"> found that the level of correlation did not affect several omnibus hypothesis tests of multivariate </w:t>
      </w:r>
      <w:r w:rsidR="00093A07">
        <w:rPr>
          <w:rFonts w:eastAsiaTheme="minorEastAsia" w:cs="Times New Roman"/>
          <w:iCs/>
        </w:rPr>
        <w:lastRenderedPageBreak/>
        <w:t>change</w:t>
      </w:r>
      <w:r w:rsidR="00EC4E2D">
        <w:rPr>
          <w:rFonts w:eastAsiaTheme="minorEastAsia" w:cs="Times New Roman"/>
          <w:iCs/>
        </w:rPr>
        <w:t>. T</w:t>
      </w:r>
      <w:r w:rsidR="00093A07">
        <w:rPr>
          <w:rFonts w:eastAsiaTheme="minorEastAsia" w:cs="Times New Roman"/>
          <w:iCs/>
        </w:rPr>
        <w:t>his</w:t>
      </w:r>
      <w:r w:rsidR="00EC4E2D">
        <w:rPr>
          <w:rFonts w:eastAsiaTheme="minorEastAsia" w:cs="Times New Roman"/>
          <w:iCs/>
        </w:rPr>
        <w:t xml:space="preserve"> result</w:t>
      </w:r>
      <w:r w:rsidR="00093A07">
        <w:rPr>
          <w:rFonts w:eastAsiaTheme="minorEastAsia" w:cs="Times New Roman"/>
          <w:iCs/>
        </w:rPr>
        <w:t xml:space="preserve"> is </w:t>
      </w:r>
      <w:r w:rsidR="00EC4E2D">
        <w:rPr>
          <w:rFonts w:eastAsiaTheme="minorEastAsia" w:cs="Times New Roman"/>
          <w:iCs/>
        </w:rPr>
        <w:t>given</w:t>
      </w:r>
      <w:r w:rsidR="003F5F20">
        <w:rPr>
          <w:rFonts w:eastAsiaTheme="minorEastAsia" w:cs="Times New Roman"/>
          <w:iCs/>
        </w:rPr>
        <w:t xml:space="preserve"> a</w:t>
      </w:r>
      <w:r w:rsidR="00EC4E2D">
        <w:rPr>
          <w:rFonts w:eastAsiaTheme="minorEastAsia" w:cs="Times New Roman"/>
          <w:iCs/>
        </w:rPr>
        <w:t xml:space="preserve"> preliminary </w:t>
      </w:r>
      <w:r w:rsidR="00093A07">
        <w:rPr>
          <w:rFonts w:eastAsiaTheme="minorEastAsia" w:cs="Times New Roman"/>
          <w:iCs/>
        </w:rPr>
        <w:t>re-examin</w:t>
      </w:r>
      <w:r w:rsidR="00EC4E2D">
        <w:rPr>
          <w:rFonts w:eastAsiaTheme="minorEastAsia" w:cs="Times New Roman"/>
          <w:iCs/>
        </w:rPr>
        <w:t>ation</w:t>
      </w:r>
      <w:r w:rsidR="00093A07">
        <w:rPr>
          <w:rFonts w:eastAsiaTheme="minorEastAsia" w:cs="Times New Roman"/>
          <w:iCs/>
        </w:rPr>
        <w:t xml:space="preserve"> </w:t>
      </w:r>
      <w:r w:rsidR="003F5F20">
        <w:rPr>
          <w:rFonts w:eastAsiaTheme="minorEastAsia" w:cs="Times New Roman"/>
          <w:iCs/>
        </w:rPr>
        <w:t xml:space="preserve">here </w:t>
      </w:r>
      <w:r w:rsidR="00093A07">
        <w:rPr>
          <w:rFonts w:eastAsiaTheme="minorEastAsia" w:cs="Times New Roman"/>
          <w:iCs/>
        </w:rPr>
        <w:t>for the elevation Z-test,</w:t>
      </w:r>
      <w:r w:rsidR="00EC4E2D">
        <w:rPr>
          <w:rFonts w:eastAsiaTheme="minorEastAsia" w:cs="Times New Roman"/>
          <w:iCs/>
        </w:rPr>
        <w:t xml:space="preserve"> as one of its potential uses is as a post-hoc test to one of the omnibus tests, and so it is desired to see if the same property holds. </w:t>
      </w:r>
    </w:p>
    <w:p w14:paraId="21A54EBC" w14:textId="41DCA248" w:rsidR="00066A72" w:rsidRDefault="00CF1134" w:rsidP="00CD34BF">
      <w:pPr>
        <w:rPr>
          <w:rFonts w:eastAsiaTheme="minorEastAsia" w:cs="Times New Roman"/>
          <w:iCs/>
        </w:rPr>
      </w:pPr>
      <w:r>
        <w:rPr>
          <w:rFonts w:eastAsiaTheme="minorEastAsia" w:cs="Times New Roman"/>
          <w:iCs/>
        </w:rPr>
        <w:t xml:space="preserve">Seven different </w:t>
      </w:r>
      <w:r w:rsidR="00066A72">
        <w:rPr>
          <w:rFonts w:eastAsiaTheme="minorEastAsia" w:cs="Times New Roman"/>
          <w:iCs/>
        </w:rPr>
        <w:t xml:space="preserve">change </w:t>
      </w:r>
      <w:r>
        <w:rPr>
          <w:rFonts w:eastAsiaTheme="minorEastAsia" w:cs="Times New Roman"/>
          <w:iCs/>
        </w:rPr>
        <w:t xml:space="preserve">conditions were simulated for Time 2, chosen based on prior adaptive measurement of change literature </w:t>
      </w:r>
      <w:r>
        <w:rPr>
          <w:rFonts w:eastAsiaTheme="minorEastAsia" w:cs="Times New Roman"/>
          <w:iCs/>
        </w:rPr>
        <w:fldChar w:fldCharType="begin"/>
      </w:r>
      <w:r>
        <w:rPr>
          <w:rFonts w:eastAsiaTheme="minorEastAsia" w:cs="Times New Roman"/>
          <w:iCs/>
        </w:rPr>
        <w:instrText xml:space="preserve"> ADDIN ZOTERO_ITEM CSL_CITATION {"citationID":"0fvNdiOs","properties":{"formattedCitation":"(Finkelman et al., 2010; Wang et al., 2020; Wang &amp; Weiss, 2018)","plainCitation":"(Finkelman et al., 2010; Wang et al., 2020; Wang &amp; Weiss, 2018)","noteIndex":0},"citationItems":[{"id":71,"uris":["http://zotero.org/users/local/89P2HqKS/items/7XCQAS99"],"uri":["http://zotero.org/users/local/89P2HqKS/items/7XCQAS99"],"itemData":{"id":71,"type":"article-journal","abstract":"Assessing individual change is an important topic in both psychological and educational measurement. An adaptive measurement of change (AMC) method had previously been shown to exhibit greater efficiency in detecting change than conventional nonadaptive methods. However, little work had been done to compare different procedures within the AMC framework. This study introduced a new item selection criterion and two new test statistics for detecting change with AMC that were specifically designed for the paradigm of hypothesis testing. In two simulation sets, the new methods for detecting significant change improved on existing procedures by demonstrating better adherence to Type I error rates and substantially better power for detecting relatively small change.","container-title":"Applied Psychological Measurement","DOI":"10.1177/0146621609344844","ISSN":"0146-6216, 1552-3497","issue":"4","journalAbbreviation":"Applied Psychological Measurement","language":"en","page":"238-254","source":"DOI.org (Crossref)","title":"Item Selection and Hypothesis Testing for the Adaptive Measurement of Change","volume":"34","author":[{"family":"Finkelman","given":"Matthew D."},{"family":"Weiss","given":"David J."},{"family":"Kim-Kang","given":"Gyenam"}],"issued":{"date-parts":[["2010",6]]}}},{"id":118,"uris":["http://zotero.org/users/local/89P2HqKS/items/UIHD4AK8"],"uri":["http://zotero.org/users/local/89P2HqKS/items/UIHD4AK8"],"itemData":{"id":118,"type":"article-journal","abstract":"In psychological and educational measurement, it is often of interest to assess change in an individual. The current study expanded on previous research by introducing methods that can evaluate individual change on multiple latent traits measured on multiple occasions. The four methods considered are the likelihood ratio test (LRT), the multivariate Wald test (MWT), the modified multivariate Wald test (MMWT), and the score test (ST). Simulation studies were conducted to examine the true positive rate (TPR) and the false positive rate (FPR) of the new methods under a conventional fixed-form test and a computerized adaptive test (CAT). Manipulated variables included the number of occasions, change magnitudes, patterns of change, and correlations between latent traits. Results revealed that, in terms of FPR, all methods except MWT had close adherence to the nominal significance level. Among the three methods, the LRT is recommended as it provided a balance between FPR and TPR. Larger change magnitude yielded higher TPR, regardless of the remaining factors. With the same test length, a CAT yielded higher TPR than a conventional test. Real-data examples are provided of identifying psychometrically significant change across two to four occasions using a multivariate adaptive self-report medical outcomes measure from hospitalized patients. The detection of significant change among the three methods agreed highly, and those patients identified as having significant change exhibited large profile differences, which provided support for the valid performance of the proposed methods.","container-title":"Multivariate Behavioral Research","DOI":"10.1080/00273171.2020.1730739","ISSN":"0027-3171","issue":"0","note":"publisher: Routledge\n_eprint: https://doi.org/10.1080/00273171.2020.1730739\nPMID: 32124648","page":"1-17","source":"Taylor and Francis+NEJM","title":"Hypothesis Testing Methods for Multivariate Multi-Occasion Intra-Individual Change","volume":"0","author":[{"family":"Wang","given":"Chun"},{"family":"Weiss","given":"David J."},{"family":"Suen","given":"King Yiu"}],"issued":{"date-parts":[["2020",3,3]]}}},{"id":70,"uris":["http://zotero.org/users/local/89P2HqKS/items/SHNK8LX9"],"uri":["http://zotero.org/users/local/89P2HqKS/items/SHNK8LX9"],"itemData":{"id":70,"type":"article-journal","abstract":"The measurement of individual change has been an important topic in both education and psychology. For instance, teachers are interested in whether students have significantly improved (e.g., learned) from instruction, and counselors are interested in whether particular behaviors have been significantly changed after certain interventions. Although classical test methods have been unable to adequately resolve the problems in measuring change, recent approaches for measuring change have begun to use item response theory (IRT). However, all prior methods mainly focus on testing whether growth is significant at the group level. The present research targets a key research question: Is the ‘‘change’’ in latent trait estimates for each individual significant across occasions? Many researchers have addressed this research question assuming that the latent trait is unidimensional. This research generalizes their earlier work and proposes four hypothesis testing methods to evaluate individual change on multiple latent traits: a multivariate Z-test, a multivariate likelihood ratio test, a multivariate score test, and a Kullback–Leibler test. Simulation results show that these tests hold promise of detecting individual change with low Type I error and high power. A real-data example from an educational assessment illustrates the application of the proposed methods.","container-title":"Applied Psychological Measurement","DOI":"10.1177/0146621617726787","ISSN":"0146-6216, 1552-3497","issue":"3","journalAbbreviation":"Applied Psychological Measurement","language":"en","page":"221-239","source":"DOI.org (Crossref)","title":"Multivariate Hypothesis Testing Methods for Evaluating Significant Individual Change","volume":"42","author":[{"family":"Wang","given":"Chun"},{"family":"Weiss","given":"David J."}],"issued":{"date-parts":[["2018",5]]}}}],"schema":"https://github.com/citation-style-language/schema/raw/master/csl-citation.json"} </w:instrText>
      </w:r>
      <w:r>
        <w:rPr>
          <w:rFonts w:eastAsiaTheme="minorEastAsia" w:cs="Times New Roman"/>
          <w:iCs/>
        </w:rPr>
        <w:fldChar w:fldCharType="separate"/>
      </w:r>
      <w:r>
        <w:rPr>
          <w:rFonts w:eastAsiaTheme="minorEastAsia" w:cs="Times New Roman"/>
          <w:iCs/>
          <w:noProof/>
        </w:rPr>
        <w:t>(Finkelman et al., 2010; Wang et al., 2020; Wang &amp; Weiss, 2018)</w:t>
      </w:r>
      <w:r>
        <w:rPr>
          <w:rFonts w:eastAsiaTheme="minorEastAsia" w:cs="Times New Roman"/>
          <w:iCs/>
        </w:rPr>
        <w:fldChar w:fldCharType="end"/>
      </w:r>
      <w:r>
        <w:rPr>
          <w:rFonts w:eastAsiaTheme="minorEastAsia" w:cs="Times New Roman"/>
          <w:iCs/>
        </w:rPr>
        <w:t xml:space="preserve">. To evaluate the FPR, a no-change condition was simulated, in which </w:t>
      </w:r>
      <m:oMath>
        <m:sSup>
          <m:sSupPr>
            <m:ctrlPr>
              <w:rPr>
                <w:rFonts w:ascii="Cambria Math" w:eastAsiaTheme="minorEastAsia" w:hAnsi="Cambria Math" w:cs="Times New Roman"/>
                <w:i/>
                <w:iCs/>
              </w:rPr>
            </m:ctrlPr>
          </m:sSupPr>
          <m:e>
            <m:r>
              <m:rPr>
                <m:sty m:val="bi"/>
              </m:rPr>
              <w:rPr>
                <w:rFonts w:ascii="Cambria Math" w:eastAsiaTheme="minorEastAsia" w:hAnsi="Cambria Math" w:cs="Times New Roman"/>
              </w:rPr>
              <m:t>θ</m:t>
            </m:r>
            <m:ctrlPr>
              <w:rPr>
                <w:rFonts w:ascii="Cambria Math" w:eastAsiaTheme="minorEastAsia" w:hAnsi="Cambria Math" w:cs="Times New Roman"/>
                <w:iCs/>
              </w:rPr>
            </m:ctrlP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m:rPr>
                <m:sty m:val="bi"/>
              </m:rPr>
              <w:rPr>
                <w:rFonts w:ascii="Cambria Math" w:eastAsiaTheme="minorEastAsia" w:hAnsi="Cambria Math" w:cs="Times New Roman"/>
              </w:rPr>
              <m:t>θ</m:t>
            </m:r>
          </m:e>
          <m:sup>
            <m:r>
              <w:rPr>
                <w:rFonts w:ascii="Cambria Math" w:eastAsiaTheme="minorEastAsia" w:hAnsi="Cambria Math" w:cs="Times New Roman"/>
              </w:rPr>
              <m:t>1</m:t>
            </m:r>
          </m:sup>
        </m:sSup>
      </m:oMath>
      <w:r>
        <w:rPr>
          <w:rFonts w:eastAsiaTheme="minorEastAsia" w:cs="Times New Roman"/>
          <w:iCs/>
        </w:rPr>
        <w:t>. To evaluate the TPR, six different change vectors were added</w:t>
      </w:r>
      <w:r w:rsidR="00066A72">
        <w:rPr>
          <w:rFonts w:eastAsiaTheme="minorEastAsia" w:cs="Times New Roman"/>
          <w:iCs/>
        </w:rPr>
        <w:t xml:space="preserve"> to the latent trait profiles of Time 1</w:t>
      </w:r>
      <w:r>
        <w:rPr>
          <w:rFonts w:eastAsiaTheme="minorEastAsia" w:cs="Times New Roman"/>
          <w:iCs/>
        </w:rPr>
        <w:t xml:space="preserve">. </w:t>
      </w:r>
      <w:r w:rsidR="00066A72">
        <w:rPr>
          <w:rFonts w:eastAsiaTheme="minorEastAsia" w:cs="Times New Roman"/>
          <w:iCs/>
        </w:rPr>
        <w:t>For</w:t>
      </w:r>
      <w:r w:rsidR="004C6220">
        <w:rPr>
          <w:rFonts w:eastAsiaTheme="minorEastAsia" w:cs="Times New Roman"/>
          <w:iCs/>
        </w:rPr>
        <w:t xml:space="preserve"> the first four conditions, a uniform change vector was added, with four different magnitudes of change: </w:t>
      </w:r>
      <m:oMath>
        <m:r>
          <w:rPr>
            <w:rFonts w:ascii="Cambria Math" w:eastAsiaTheme="minorEastAsia" w:hAnsi="Cambria Math" w:cs="Times New Roman"/>
          </w:rPr>
          <m:t xml:space="preserve">M1=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0.25, 0.25, 0.25</m:t>
            </m:r>
          </m:e>
        </m:d>
      </m:oMath>
      <w:r w:rsidR="004C6220">
        <w:rPr>
          <w:rFonts w:eastAsiaTheme="minorEastAsia" w:cs="Times New Roman"/>
          <w:iCs/>
        </w:rPr>
        <w:t xml:space="preserve">, </w:t>
      </w:r>
      <m:oMath>
        <m:r>
          <w:rPr>
            <w:rFonts w:ascii="Cambria Math" w:eastAsiaTheme="minorEastAsia" w:hAnsi="Cambria Math" w:cs="Times New Roman"/>
          </w:rPr>
          <m:t xml:space="preserve">M2=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0.50, 0.50, 0.50</m:t>
            </m:r>
          </m:e>
        </m:d>
      </m:oMath>
      <w:r w:rsidR="004C6220">
        <w:rPr>
          <w:rFonts w:eastAsiaTheme="minorEastAsia" w:cs="Times New Roman"/>
          <w:iCs/>
        </w:rPr>
        <w:t xml:space="preserve">, </w:t>
      </w:r>
      <m:oMath>
        <m:r>
          <w:rPr>
            <w:rFonts w:ascii="Cambria Math" w:eastAsiaTheme="minorEastAsia" w:hAnsi="Cambria Math" w:cs="Times New Roman"/>
          </w:rPr>
          <m:t xml:space="preserve">M3=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0.75, 0.75, 0.75</m:t>
            </m:r>
          </m:e>
        </m:d>
      </m:oMath>
      <w:r w:rsidR="004C6220">
        <w:rPr>
          <w:rFonts w:eastAsiaTheme="minorEastAsia" w:cs="Times New Roman"/>
          <w:iCs/>
        </w:rPr>
        <w:t xml:space="preserve">, </w:t>
      </w:r>
      <m:oMath>
        <m:r>
          <w:rPr>
            <w:rFonts w:ascii="Cambria Math" w:eastAsiaTheme="minorEastAsia" w:hAnsi="Cambria Math" w:cs="Times New Roman"/>
          </w:rPr>
          <m:t xml:space="preserve">M4=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1, 1, 1</m:t>
            </m:r>
          </m:e>
        </m:d>
      </m:oMath>
      <w:r w:rsidR="004C6220">
        <w:rPr>
          <w:rFonts w:eastAsiaTheme="minorEastAsia" w:cs="Times New Roman"/>
          <w:iCs/>
        </w:rPr>
        <w:t xml:space="preserve"> </w:t>
      </w:r>
      <w:r w:rsidR="004C6220">
        <w:rPr>
          <w:rFonts w:eastAsiaTheme="minorEastAsia" w:cs="Times New Roman"/>
          <w:iCs/>
        </w:rPr>
        <w:fldChar w:fldCharType="begin"/>
      </w:r>
      <w:r w:rsidR="004C6220">
        <w:rPr>
          <w:rFonts w:eastAsiaTheme="minorEastAsia" w:cs="Times New Roman"/>
          <w:iCs/>
        </w:rPr>
        <w:instrText xml:space="preserve"> ADDIN ZOTERO_ITEM CSL_CITATION {"citationID":"X1PG2GSH","properties":{"formattedCitation":"(Wang &amp; Weiss, 2018)","plainCitation":"(Wang &amp; Weiss, 2018)","noteIndex":0},"citationItems":[{"id":70,"uris":["http://zotero.org/users/local/89P2HqKS/items/SHNK8LX9"],"uri":["http://zotero.org/users/local/89P2HqKS/items/SHNK8LX9"],"itemData":{"id":70,"type":"article-journal","abstract":"The measurement of individual change has been an important topic in both education and psychology. For instance, teachers are interested in whether students have significantly improved (e.g., learned) from instruction, and counselors are interested in whether particular behaviors have been significantly changed after certain interventions. Although classical test methods have been unable to adequately resolve the problems in measuring change, recent approaches for measuring change have begun to use item response theory (IRT). However, all prior methods mainly focus on testing whether growth is significant at the group level. The present research targets a key research question: Is the ‘‘change’’ in latent trait estimates for each individual significant across occasions? Many researchers have addressed this research question assuming that the latent trait is unidimensional. This research generalizes their earlier work and proposes four hypothesis testing methods to evaluate individual change on multiple latent traits: a multivariate Z-test, a multivariate likelihood ratio test, a multivariate score test, and a Kullback–Leibler test. Simulation results show that these tests hold promise of detecting individual change with low Type I error and high power. A real-data example from an educational assessment illustrates the application of the proposed methods.","container-title":"Applied Psychological Measurement","DOI":"10.1177/0146621617726787","ISSN":"0146-6216, 1552-3497","issue":"3","journalAbbreviation":"Applied Psychological Measurement","language":"en","page":"221-239","source":"DOI.org (Crossref)","title":"Multivariate Hypothesis Testing Methods for Evaluating Significant Individual Change","volume":"42","author":[{"family":"Wang","given":"Chun"},{"family":"Weiss","given":"David J."}],"issued":{"date-parts":[["2018",5]]}}}],"schema":"https://github.com/citation-style-language/schema/raw/master/csl-citation.json"} </w:instrText>
      </w:r>
      <w:r w:rsidR="004C6220">
        <w:rPr>
          <w:rFonts w:eastAsiaTheme="minorEastAsia" w:cs="Times New Roman"/>
          <w:iCs/>
        </w:rPr>
        <w:fldChar w:fldCharType="separate"/>
      </w:r>
      <w:r w:rsidR="004C6220">
        <w:rPr>
          <w:rFonts w:eastAsiaTheme="minorEastAsia" w:cs="Times New Roman"/>
          <w:iCs/>
          <w:noProof/>
        </w:rPr>
        <w:t>(Wang &amp; Weiss, 2018)</w:t>
      </w:r>
      <w:r w:rsidR="004C6220">
        <w:rPr>
          <w:rFonts w:eastAsiaTheme="minorEastAsia" w:cs="Times New Roman"/>
          <w:iCs/>
        </w:rPr>
        <w:fldChar w:fldCharType="end"/>
      </w:r>
      <w:r w:rsidR="004C6220">
        <w:rPr>
          <w:rFonts w:eastAsiaTheme="minorEastAsia" w:cs="Times New Roman"/>
          <w:iCs/>
        </w:rPr>
        <w:t xml:space="preserve">.These vectors change the elevation of the profile without changing its scatter or its shape. </w:t>
      </w:r>
      <w:r w:rsidR="00D31E9D">
        <w:rPr>
          <w:rFonts w:eastAsiaTheme="minorEastAsia" w:cs="Times New Roman"/>
          <w:iCs/>
        </w:rPr>
        <w:t xml:space="preserve">To give preliminary exploration to non-constant change patterns, in which the profiles scatter or shape also change, the last two conditions used the following change vectors: </w:t>
      </w:r>
      <m:oMath>
        <m:r>
          <w:rPr>
            <w:rFonts w:ascii="Cambria Math" w:eastAsiaTheme="minorEastAsia" w:hAnsi="Cambria Math" w:cs="Times New Roman"/>
          </w:rPr>
          <m:t xml:space="preserve">M5=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0.75, 0.75, 0</m:t>
            </m:r>
          </m:e>
        </m:d>
      </m:oMath>
      <w:r w:rsidR="00D31E9D">
        <w:rPr>
          <w:rFonts w:eastAsiaTheme="minorEastAsia" w:cs="Times New Roman"/>
          <w:iCs/>
        </w:rPr>
        <w:t xml:space="preserve"> and </w:t>
      </w:r>
      <m:oMath>
        <m:r>
          <w:rPr>
            <w:rFonts w:ascii="Cambria Math" w:eastAsiaTheme="minorEastAsia" w:hAnsi="Cambria Math" w:cs="Times New Roman"/>
          </w:rPr>
          <m:t xml:space="preserve">M6=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1.5, 0, 0</m:t>
            </m:r>
          </m:e>
        </m:d>
      </m:oMath>
      <w:r w:rsidR="00D31E9D">
        <w:rPr>
          <w:rFonts w:eastAsiaTheme="minorEastAsia" w:cs="Times New Roman"/>
          <w:iCs/>
        </w:rPr>
        <w:t>. These conditions represent the same average change in elevation as M</w:t>
      </w:r>
      <w:r w:rsidR="003070BA">
        <w:rPr>
          <w:rFonts w:eastAsiaTheme="minorEastAsia" w:cs="Times New Roman"/>
          <w:iCs/>
        </w:rPr>
        <w:t>2</w:t>
      </w:r>
      <w:r w:rsidR="00D31E9D">
        <w:rPr>
          <w:rFonts w:eastAsiaTheme="minorEastAsia" w:cs="Times New Roman"/>
          <w:iCs/>
        </w:rPr>
        <w:t xml:space="preserve"> (0.5), but distributed differently. </w:t>
      </w:r>
      <w:r w:rsidR="00066A72">
        <w:rPr>
          <w:rFonts w:eastAsiaTheme="minorEastAsia" w:cs="Times New Roman"/>
          <w:iCs/>
        </w:rPr>
        <w:t xml:space="preserve">For each timepoint and condition, maximum likelihood was used to estimate </w:t>
      </w:r>
      <m:oMath>
        <m:r>
          <m:rPr>
            <m:sty m:val="p"/>
          </m:rPr>
          <w:rPr>
            <w:rFonts w:ascii="Cambria Math" w:eastAsiaTheme="minorEastAsia" w:hAnsi="Cambria Math" w:cs="Times New Roman"/>
          </w:rPr>
          <m:t>θs</m:t>
        </m:r>
      </m:oMath>
      <w:r w:rsidR="00066A72">
        <w:rPr>
          <w:rFonts w:eastAsiaTheme="minorEastAsia" w:cs="Times New Roman"/>
          <w:iCs/>
        </w:rPr>
        <w:t xml:space="preserve">, with the estimates bounded in the range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-4, 4</m:t>
            </m:r>
          </m:e>
        </m:d>
      </m:oMath>
      <w:r w:rsidR="00066A72">
        <w:rPr>
          <w:rFonts w:eastAsiaTheme="minorEastAsia" w:cs="Times New Roman"/>
          <w:iCs/>
        </w:rPr>
        <w:t>.</w:t>
      </w:r>
    </w:p>
    <w:p w14:paraId="2E6CE332" w14:textId="1F0B5646" w:rsidR="00E33D68" w:rsidRDefault="00E33D68" w:rsidP="00E33D68">
      <w:pPr>
        <w:pStyle w:val="Heading1"/>
        <w:rPr>
          <w:rFonts w:eastAsiaTheme="minorEastAsia"/>
        </w:rPr>
      </w:pPr>
      <w:r>
        <w:rPr>
          <w:rFonts w:eastAsiaTheme="minorEastAsia"/>
        </w:rPr>
        <w:t>Results</w:t>
      </w:r>
    </w:p>
    <w:p w14:paraId="10F96ED5" w14:textId="2EDCEC55" w:rsidR="00E33D68" w:rsidRDefault="00A01F9E" w:rsidP="00071366">
      <w:r>
        <w:t>The results are presented in Table 1.</w:t>
      </w:r>
      <w:r w:rsidR="00D03925">
        <w:t xml:space="preserve"> The FPR is evaluated from the No Change condition, while the TPR is evaluated from conditions M1-M6. The FPR for both r = 0 and r = 0.50 was below the nominal 0.05 level</w:t>
      </w:r>
      <w:r w:rsidR="00071366">
        <w:t xml:space="preserve">. </w:t>
      </w:r>
      <w:r w:rsidR="00817094">
        <w:t>The FPR in the r = 0.50 condition was higher than in the r = 0</w:t>
      </w:r>
      <w:r w:rsidR="00071366">
        <w:t xml:space="preserve"> condition. </w:t>
      </w:r>
      <w:r w:rsidR="006316CA">
        <w:t>As expected, the TPR increased in the uniform-change conditions (M1-M4) as the magnitude of change increased. The non-uniform change conditions (M5 and M6) had lower TPRs than the M2 condition, which ha</w:t>
      </w:r>
      <w:r w:rsidR="007D3146">
        <w:t>d</w:t>
      </w:r>
      <w:r w:rsidR="006316CA">
        <w:t xml:space="preserve"> the same average level of change. </w:t>
      </w:r>
      <w:r w:rsidR="00B96704">
        <w:t>The TPRs in the r = 0.50 condition were slightly higher than the TPRs of the r = 0 condition for all change conditions.</w:t>
      </w:r>
    </w:p>
    <w:p w14:paraId="63CB1730" w14:textId="77777777" w:rsidR="00351629" w:rsidRDefault="00351629" w:rsidP="00E33D68">
      <w:pPr>
        <w:ind w:firstLine="0"/>
      </w:pPr>
    </w:p>
    <w:p w14:paraId="090C640E" w14:textId="79B9EFDF" w:rsidR="00834DA9" w:rsidRDefault="00834DA9" w:rsidP="007901EE">
      <w:pPr>
        <w:pStyle w:val="Caption"/>
        <w:keepNext/>
        <w:rPr>
          <w:b/>
          <w:bCs/>
          <w:i w:val="0"/>
          <w:iCs w:val="0"/>
          <w:sz w:val="24"/>
          <w:szCs w:val="24"/>
        </w:rPr>
      </w:pPr>
      <w:r w:rsidRPr="00834DA9">
        <w:rPr>
          <w:b/>
          <w:bCs/>
          <w:i w:val="0"/>
          <w:iCs w:val="0"/>
          <w:sz w:val="24"/>
          <w:szCs w:val="24"/>
        </w:rPr>
        <w:t xml:space="preserve">Table </w:t>
      </w:r>
      <w:r w:rsidRPr="00834DA9">
        <w:rPr>
          <w:b/>
          <w:bCs/>
          <w:i w:val="0"/>
          <w:iCs w:val="0"/>
          <w:sz w:val="24"/>
          <w:szCs w:val="24"/>
        </w:rPr>
        <w:fldChar w:fldCharType="begin"/>
      </w:r>
      <w:r w:rsidRPr="00834DA9">
        <w:rPr>
          <w:b/>
          <w:bCs/>
          <w:i w:val="0"/>
          <w:iCs w:val="0"/>
          <w:sz w:val="24"/>
          <w:szCs w:val="24"/>
        </w:rPr>
        <w:instrText xml:space="preserve"> SEQ Table \* ARABIC </w:instrText>
      </w:r>
      <w:r w:rsidRPr="00834DA9">
        <w:rPr>
          <w:b/>
          <w:bCs/>
          <w:i w:val="0"/>
          <w:iCs w:val="0"/>
          <w:sz w:val="24"/>
          <w:szCs w:val="24"/>
        </w:rPr>
        <w:fldChar w:fldCharType="separate"/>
      </w:r>
      <w:r w:rsidR="002C576A">
        <w:rPr>
          <w:b/>
          <w:bCs/>
          <w:i w:val="0"/>
          <w:iCs w:val="0"/>
          <w:noProof/>
          <w:sz w:val="24"/>
          <w:szCs w:val="24"/>
        </w:rPr>
        <w:t>1</w:t>
      </w:r>
      <w:r w:rsidRPr="00834DA9">
        <w:rPr>
          <w:b/>
          <w:bCs/>
          <w:i w:val="0"/>
          <w:iCs w:val="0"/>
          <w:sz w:val="24"/>
          <w:szCs w:val="24"/>
        </w:rPr>
        <w:fldChar w:fldCharType="end"/>
      </w:r>
    </w:p>
    <w:p w14:paraId="61B63B45" w14:textId="320B6860" w:rsidR="00834DA9" w:rsidRPr="00834DA9" w:rsidRDefault="00B318E5" w:rsidP="007901EE">
      <w:pPr>
        <w:keepNext/>
        <w:ind w:firstLine="0"/>
        <w:rPr>
          <w:i/>
          <w:iCs/>
        </w:rPr>
      </w:pPr>
      <w:r>
        <w:rPr>
          <w:i/>
          <w:iCs/>
        </w:rPr>
        <w:t>Proportion of Significant Z-tests for all Conditions</w:t>
      </w:r>
    </w:p>
    <w:tbl>
      <w:tblPr>
        <w:tblW w:w="5000" w:type="pct"/>
        <w:tblLook w:val="07E0" w:firstRow="1" w:lastRow="1" w:firstColumn="1" w:lastColumn="1" w:noHBand="1" w:noVBand="1"/>
      </w:tblPr>
      <w:tblGrid>
        <w:gridCol w:w="3120"/>
        <w:gridCol w:w="3121"/>
        <w:gridCol w:w="3119"/>
      </w:tblGrid>
      <w:tr w:rsidR="00CE2C38" w:rsidRPr="00CE2C38" w14:paraId="3C0FF649" w14:textId="77777777" w:rsidTr="007744B7">
        <w:tc>
          <w:tcPr>
            <w:tcW w:w="1667" w:type="pct"/>
            <w:tcBorders>
              <w:top w:val="single" w:sz="4" w:space="0" w:color="auto"/>
              <w:bottom w:val="single" w:sz="2" w:space="0" w:color="auto"/>
            </w:tcBorders>
            <w:vAlign w:val="bottom"/>
          </w:tcPr>
          <w:p w14:paraId="1F941281" w14:textId="611A670C" w:rsidR="00CE2C38" w:rsidRPr="00CE2C38" w:rsidRDefault="00EB5A67" w:rsidP="00351629">
            <w:pPr>
              <w:keepNext/>
              <w:spacing w:after="40" w:line="240" w:lineRule="auto"/>
              <w:ind w:firstLine="0"/>
            </w:pPr>
            <w:r>
              <w:t xml:space="preserve">Change </w:t>
            </w:r>
            <w:r w:rsidR="00CE2C38">
              <w:t>Condition</w:t>
            </w:r>
          </w:p>
        </w:tc>
        <w:tc>
          <w:tcPr>
            <w:tcW w:w="1667" w:type="pct"/>
            <w:tcBorders>
              <w:top w:val="single" w:sz="4" w:space="0" w:color="auto"/>
              <w:bottom w:val="single" w:sz="2" w:space="0" w:color="auto"/>
            </w:tcBorders>
            <w:vAlign w:val="bottom"/>
          </w:tcPr>
          <w:p w14:paraId="0E969FFB" w14:textId="2D7FBDA2" w:rsidR="00CE2C38" w:rsidRPr="00CE2C38" w:rsidRDefault="00E87AC9" w:rsidP="00351629">
            <w:pPr>
              <w:keepNext/>
              <w:spacing w:after="40" w:line="240" w:lineRule="auto"/>
              <w:ind w:firstLine="0"/>
              <w:jc w:val="center"/>
            </w:pPr>
            <w:r>
              <w:t>r = 0</w:t>
            </w:r>
          </w:p>
        </w:tc>
        <w:tc>
          <w:tcPr>
            <w:tcW w:w="1666" w:type="pct"/>
            <w:tcBorders>
              <w:top w:val="single" w:sz="4" w:space="0" w:color="auto"/>
              <w:bottom w:val="single" w:sz="2" w:space="0" w:color="auto"/>
            </w:tcBorders>
            <w:vAlign w:val="bottom"/>
          </w:tcPr>
          <w:p w14:paraId="43840DBD" w14:textId="79682229" w:rsidR="00CE2C38" w:rsidRPr="00CE2C38" w:rsidRDefault="00E87AC9" w:rsidP="00351629">
            <w:pPr>
              <w:keepNext/>
              <w:spacing w:after="40" w:line="240" w:lineRule="auto"/>
              <w:ind w:firstLine="0"/>
              <w:jc w:val="center"/>
            </w:pPr>
            <w:r>
              <w:t xml:space="preserve">r = </w:t>
            </w:r>
            <w:r w:rsidR="000C6867">
              <w:t>0</w:t>
            </w:r>
            <w:r>
              <w:t>.50</w:t>
            </w:r>
          </w:p>
        </w:tc>
      </w:tr>
      <w:tr w:rsidR="00CE2C38" w:rsidRPr="00CE2C38" w14:paraId="4B619EDA" w14:textId="77777777" w:rsidTr="007744B7">
        <w:tc>
          <w:tcPr>
            <w:tcW w:w="1667" w:type="pct"/>
            <w:tcBorders>
              <w:top w:val="single" w:sz="2" w:space="0" w:color="auto"/>
            </w:tcBorders>
            <w:vAlign w:val="bottom"/>
          </w:tcPr>
          <w:p w14:paraId="4B681434" w14:textId="13985918" w:rsidR="00CE2C38" w:rsidRPr="00CE2C38" w:rsidRDefault="00CE2C38" w:rsidP="00351629">
            <w:pPr>
              <w:keepNext/>
              <w:spacing w:before="40" w:line="360" w:lineRule="auto"/>
              <w:ind w:firstLine="0"/>
            </w:pPr>
            <w:r>
              <w:t xml:space="preserve">No </w:t>
            </w:r>
            <w:r w:rsidR="00D03925">
              <w:t>C</w:t>
            </w:r>
            <w:r>
              <w:t>hange</w:t>
            </w:r>
          </w:p>
        </w:tc>
        <w:tc>
          <w:tcPr>
            <w:tcW w:w="1667" w:type="pct"/>
            <w:tcBorders>
              <w:top w:val="single" w:sz="2" w:space="0" w:color="auto"/>
            </w:tcBorders>
            <w:vAlign w:val="bottom"/>
          </w:tcPr>
          <w:p w14:paraId="72DBE5E1" w14:textId="77777777" w:rsidR="00CE2C38" w:rsidRPr="00CE2C38" w:rsidRDefault="00CE2C38" w:rsidP="00351629">
            <w:pPr>
              <w:keepNext/>
              <w:spacing w:before="40" w:line="360" w:lineRule="auto"/>
              <w:ind w:firstLine="0"/>
              <w:jc w:val="center"/>
            </w:pPr>
            <w:r w:rsidRPr="00CE2C38">
              <w:t>0.037</w:t>
            </w:r>
          </w:p>
        </w:tc>
        <w:tc>
          <w:tcPr>
            <w:tcW w:w="1666" w:type="pct"/>
            <w:tcBorders>
              <w:top w:val="single" w:sz="2" w:space="0" w:color="auto"/>
            </w:tcBorders>
            <w:vAlign w:val="bottom"/>
          </w:tcPr>
          <w:p w14:paraId="790EE484" w14:textId="77777777" w:rsidR="00CE2C38" w:rsidRPr="00CE2C38" w:rsidRDefault="00CE2C38" w:rsidP="00351629">
            <w:pPr>
              <w:keepNext/>
              <w:spacing w:before="40" w:line="360" w:lineRule="auto"/>
              <w:ind w:firstLine="0"/>
              <w:jc w:val="center"/>
            </w:pPr>
            <w:r w:rsidRPr="00CE2C38">
              <w:t>0.045</w:t>
            </w:r>
          </w:p>
        </w:tc>
      </w:tr>
      <w:tr w:rsidR="00CE2C38" w:rsidRPr="00CE2C38" w14:paraId="3BC93C95" w14:textId="77777777" w:rsidTr="00834DA9">
        <w:tc>
          <w:tcPr>
            <w:tcW w:w="1667" w:type="pct"/>
            <w:vAlign w:val="bottom"/>
          </w:tcPr>
          <w:p w14:paraId="7B17F79E" w14:textId="763839B6" w:rsidR="00CE2C38" w:rsidRPr="00CE2C38" w:rsidRDefault="00CE2C38" w:rsidP="00351629">
            <w:pPr>
              <w:keepNext/>
              <w:spacing w:line="360" w:lineRule="auto"/>
              <w:ind w:firstLine="0"/>
            </w:pPr>
            <m:oMathPara>
              <m:oMathParaPr>
                <m:jc m:val="left"/>
              </m:oMathParaPr>
              <m:oMath>
                <m:r>
                  <w:rPr>
                    <w:rFonts w:ascii="Cambria Math" w:eastAsiaTheme="minorEastAsia" w:hAnsi="Cambria Math" w:cs="Times New Roman"/>
                  </w:rPr>
                  <m:t xml:space="preserve">M1=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0.25, 0.25, 0.25</m:t>
                    </m:r>
                  </m:e>
                </m:d>
              </m:oMath>
            </m:oMathPara>
          </w:p>
        </w:tc>
        <w:tc>
          <w:tcPr>
            <w:tcW w:w="1667" w:type="pct"/>
            <w:vAlign w:val="bottom"/>
          </w:tcPr>
          <w:p w14:paraId="61837437" w14:textId="77777777" w:rsidR="00CE2C38" w:rsidRPr="00CE2C38" w:rsidRDefault="00CE2C38" w:rsidP="00351629">
            <w:pPr>
              <w:keepNext/>
              <w:spacing w:line="360" w:lineRule="auto"/>
              <w:ind w:firstLine="0"/>
              <w:jc w:val="center"/>
            </w:pPr>
            <w:r w:rsidRPr="00CE2C38">
              <w:t>0.159</w:t>
            </w:r>
          </w:p>
        </w:tc>
        <w:tc>
          <w:tcPr>
            <w:tcW w:w="1666" w:type="pct"/>
            <w:vAlign w:val="bottom"/>
          </w:tcPr>
          <w:p w14:paraId="0B0E39BA" w14:textId="77777777" w:rsidR="00CE2C38" w:rsidRPr="00CE2C38" w:rsidRDefault="00CE2C38" w:rsidP="00351629">
            <w:pPr>
              <w:keepNext/>
              <w:spacing w:line="360" w:lineRule="auto"/>
              <w:ind w:firstLine="0"/>
              <w:jc w:val="center"/>
            </w:pPr>
            <w:r w:rsidRPr="00CE2C38">
              <w:t>0.170</w:t>
            </w:r>
          </w:p>
        </w:tc>
      </w:tr>
      <w:tr w:rsidR="00CE2C38" w:rsidRPr="00CE2C38" w14:paraId="1D043D1E" w14:textId="77777777" w:rsidTr="00834DA9">
        <w:tc>
          <w:tcPr>
            <w:tcW w:w="1667" w:type="pct"/>
            <w:vAlign w:val="bottom"/>
          </w:tcPr>
          <w:p w14:paraId="3225F9D2" w14:textId="403634FC" w:rsidR="00CE2C38" w:rsidRPr="00CE2C38" w:rsidRDefault="005813E5" w:rsidP="00351629">
            <w:pPr>
              <w:keepNext/>
              <w:spacing w:line="360" w:lineRule="auto"/>
              <w:ind w:firstLine="0"/>
            </w:pPr>
            <m:oMathPara>
              <m:oMathParaPr>
                <m:jc m:val="left"/>
              </m:oMathParaPr>
              <m:oMath>
                <m:r>
                  <w:rPr>
                    <w:rFonts w:ascii="Cambria Math" w:eastAsiaTheme="minorEastAsia" w:hAnsi="Cambria Math" w:cs="Times New Roman"/>
                  </w:rPr>
                  <m:t xml:space="preserve">M2=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0.50, 0.50, 0.50</m:t>
                    </m:r>
                  </m:e>
                </m:d>
              </m:oMath>
            </m:oMathPara>
          </w:p>
        </w:tc>
        <w:tc>
          <w:tcPr>
            <w:tcW w:w="1667" w:type="pct"/>
            <w:vAlign w:val="bottom"/>
          </w:tcPr>
          <w:p w14:paraId="75EDB105" w14:textId="77777777" w:rsidR="00CE2C38" w:rsidRPr="00CE2C38" w:rsidRDefault="00CE2C38" w:rsidP="00351629">
            <w:pPr>
              <w:keepNext/>
              <w:spacing w:line="360" w:lineRule="auto"/>
              <w:ind w:firstLine="0"/>
              <w:jc w:val="center"/>
            </w:pPr>
            <w:r w:rsidRPr="00CE2C38">
              <w:t>0.485</w:t>
            </w:r>
          </w:p>
        </w:tc>
        <w:tc>
          <w:tcPr>
            <w:tcW w:w="1666" w:type="pct"/>
            <w:vAlign w:val="bottom"/>
          </w:tcPr>
          <w:p w14:paraId="3AAD14D0" w14:textId="77777777" w:rsidR="00CE2C38" w:rsidRPr="00CE2C38" w:rsidRDefault="00CE2C38" w:rsidP="00351629">
            <w:pPr>
              <w:keepNext/>
              <w:spacing w:line="360" w:lineRule="auto"/>
              <w:ind w:firstLine="0"/>
              <w:jc w:val="center"/>
            </w:pPr>
            <w:r w:rsidRPr="00CE2C38">
              <w:t>0.500</w:t>
            </w:r>
          </w:p>
        </w:tc>
      </w:tr>
      <w:tr w:rsidR="00CE2C38" w:rsidRPr="00CE2C38" w14:paraId="53B2B446" w14:textId="77777777" w:rsidTr="00834DA9">
        <w:tc>
          <w:tcPr>
            <w:tcW w:w="1667" w:type="pct"/>
            <w:vAlign w:val="bottom"/>
          </w:tcPr>
          <w:p w14:paraId="46A95B4D" w14:textId="7E39023C" w:rsidR="00CE2C38" w:rsidRPr="00CE2C38" w:rsidRDefault="005813E5" w:rsidP="00351629">
            <w:pPr>
              <w:keepNext/>
              <w:spacing w:line="360" w:lineRule="auto"/>
              <w:ind w:firstLine="0"/>
            </w:pPr>
            <m:oMathPara>
              <m:oMathParaPr>
                <m:jc m:val="left"/>
              </m:oMathParaPr>
              <m:oMath>
                <m:r>
                  <w:rPr>
                    <w:rFonts w:ascii="Cambria Math" w:eastAsiaTheme="minorEastAsia" w:hAnsi="Cambria Math" w:cs="Times New Roman"/>
                  </w:rPr>
                  <m:t xml:space="preserve">M3=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0.75, 0.75, 0.75</m:t>
                    </m:r>
                  </m:e>
                </m:d>
              </m:oMath>
            </m:oMathPara>
          </w:p>
        </w:tc>
        <w:tc>
          <w:tcPr>
            <w:tcW w:w="1667" w:type="pct"/>
            <w:vAlign w:val="bottom"/>
          </w:tcPr>
          <w:p w14:paraId="6A2063AD" w14:textId="77777777" w:rsidR="00CE2C38" w:rsidRPr="00CE2C38" w:rsidRDefault="00CE2C38" w:rsidP="00351629">
            <w:pPr>
              <w:keepNext/>
              <w:spacing w:line="360" w:lineRule="auto"/>
              <w:ind w:firstLine="0"/>
              <w:jc w:val="center"/>
            </w:pPr>
            <w:r w:rsidRPr="00CE2C38">
              <w:t>0.761</w:t>
            </w:r>
          </w:p>
        </w:tc>
        <w:tc>
          <w:tcPr>
            <w:tcW w:w="1666" w:type="pct"/>
            <w:vAlign w:val="bottom"/>
          </w:tcPr>
          <w:p w14:paraId="779CC15B" w14:textId="77777777" w:rsidR="00CE2C38" w:rsidRPr="00CE2C38" w:rsidRDefault="00CE2C38" w:rsidP="00351629">
            <w:pPr>
              <w:keepNext/>
              <w:spacing w:line="360" w:lineRule="auto"/>
              <w:ind w:firstLine="0"/>
              <w:jc w:val="center"/>
            </w:pPr>
            <w:r w:rsidRPr="00CE2C38">
              <w:t>0.778</w:t>
            </w:r>
          </w:p>
        </w:tc>
      </w:tr>
      <w:tr w:rsidR="00CE2C38" w:rsidRPr="00CE2C38" w14:paraId="3143EF90" w14:textId="77777777" w:rsidTr="00834DA9">
        <w:tc>
          <w:tcPr>
            <w:tcW w:w="1667" w:type="pct"/>
            <w:vAlign w:val="bottom"/>
          </w:tcPr>
          <w:p w14:paraId="09BAB0C8" w14:textId="04BC4C5F" w:rsidR="00CE2C38" w:rsidRPr="00CE2C38" w:rsidRDefault="005813E5" w:rsidP="00351629">
            <w:pPr>
              <w:keepNext/>
              <w:spacing w:line="360" w:lineRule="auto"/>
              <w:ind w:firstLine="0"/>
            </w:pPr>
            <m:oMathPara>
              <m:oMathParaPr>
                <m:jc m:val="left"/>
              </m:oMathParaPr>
              <m:oMath>
                <m:r>
                  <w:rPr>
                    <w:rFonts w:ascii="Cambria Math" w:eastAsiaTheme="minorEastAsia" w:hAnsi="Cambria Math" w:cs="Times New Roman"/>
                  </w:rPr>
                  <m:t xml:space="preserve">M4=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1, 1, 1</m:t>
                    </m:r>
                  </m:e>
                </m:d>
              </m:oMath>
            </m:oMathPara>
          </w:p>
        </w:tc>
        <w:tc>
          <w:tcPr>
            <w:tcW w:w="1667" w:type="pct"/>
            <w:vAlign w:val="bottom"/>
          </w:tcPr>
          <w:p w14:paraId="5A1CA9D8" w14:textId="77777777" w:rsidR="00CE2C38" w:rsidRPr="00CE2C38" w:rsidRDefault="00CE2C38" w:rsidP="00351629">
            <w:pPr>
              <w:keepNext/>
              <w:spacing w:line="360" w:lineRule="auto"/>
              <w:ind w:firstLine="0"/>
              <w:jc w:val="center"/>
            </w:pPr>
            <w:r w:rsidRPr="00CE2C38">
              <w:t>0.870</w:t>
            </w:r>
          </w:p>
        </w:tc>
        <w:tc>
          <w:tcPr>
            <w:tcW w:w="1666" w:type="pct"/>
            <w:vAlign w:val="bottom"/>
          </w:tcPr>
          <w:p w14:paraId="18AC9E5C" w14:textId="77777777" w:rsidR="00CE2C38" w:rsidRPr="00CE2C38" w:rsidRDefault="00CE2C38" w:rsidP="00351629">
            <w:pPr>
              <w:keepNext/>
              <w:spacing w:line="360" w:lineRule="auto"/>
              <w:ind w:firstLine="0"/>
              <w:jc w:val="center"/>
            </w:pPr>
            <w:r w:rsidRPr="00CE2C38">
              <w:t>0.877</w:t>
            </w:r>
          </w:p>
        </w:tc>
      </w:tr>
      <w:tr w:rsidR="00CE2C38" w:rsidRPr="00CE2C38" w14:paraId="68F943D4" w14:textId="77777777" w:rsidTr="00DD33F5">
        <w:tc>
          <w:tcPr>
            <w:tcW w:w="1667" w:type="pct"/>
            <w:vAlign w:val="bottom"/>
          </w:tcPr>
          <w:p w14:paraId="164A2D60" w14:textId="7FAD44C6" w:rsidR="00CE2C38" w:rsidRPr="00CE2C38" w:rsidRDefault="005813E5" w:rsidP="00351629">
            <w:pPr>
              <w:keepNext/>
              <w:spacing w:line="360" w:lineRule="auto"/>
              <w:ind w:firstLine="0"/>
            </w:pPr>
            <m:oMathPara>
              <m:oMathParaPr>
                <m:jc m:val="left"/>
              </m:oMathParaPr>
              <m:oMath>
                <m:r>
                  <w:rPr>
                    <w:rFonts w:ascii="Cambria Math" w:eastAsiaTheme="minorEastAsia" w:hAnsi="Cambria Math" w:cs="Times New Roman"/>
                  </w:rPr>
                  <m:t xml:space="preserve">M5=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0.75, 0.75, 0</m:t>
                    </m:r>
                  </m:e>
                </m:d>
              </m:oMath>
            </m:oMathPara>
          </w:p>
        </w:tc>
        <w:tc>
          <w:tcPr>
            <w:tcW w:w="1667" w:type="pct"/>
            <w:vAlign w:val="bottom"/>
          </w:tcPr>
          <w:p w14:paraId="36BB68FC" w14:textId="77777777" w:rsidR="00CE2C38" w:rsidRPr="00CE2C38" w:rsidRDefault="00CE2C38" w:rsidP="00351629">
            <w:pPr>
              <w:keepNext/>
              <w:spacing w:line="360" w:lineRule="auto"/>
              <w:ind w:firstLine="0"/>
              <w:jc w:val="center"/>
            </w:pPr>
            <w:r w:rsidRPr="00CE2C38">
              <w:t>0.461</w:t>
            </w:r>
          </w:p>
        </w:tc>
        <w:tc>
          <w:tcPr>
            <w:tcW w:w="1666" w:type="pct"/>
            <w:vAlign w:val="bottom"/>
          </w:tcPr>
          <w:p w14:paraId="4EB74C5C" w14:textId="77777777" w:rsidR="00CE2C38" w:rsidRPr="00CE2C38" w:rsidRDefault="00CE2C38" w:rsidP="00351629">
            <w:pPr>
              <w:keepNext/>
              <w:spacing w:line="360" w:lineRule="auto"/>
              <w:ind w:firstLine="0"/>
              <w:jc w:val="center"/>
            </w:pPr>
            <w:r w:rsidRPr="00CE2C38">
              <w:t>0.475</w:t>
            </w:r>
          </w:p>
        </w:tc>
      </w:tr>
      <w:tr w:rsidR="00CE2C38" w:rsidRPr="00CE2C38" w14:paraId="02783AE9" w14:textId="77777777" w:rsidTr="00DD33F5">
        <w:tc>
          <w:tcPr>
            <w:tcW w:w="1667" w:type="pct"/>
            <w:tcBorders>
              <w:bottom w:val="single" w:sz="4" w:space="0" w:color="auto"/>
            </w:tcBorders>
            <w:vAlign w:val="bottom"/>
          </w:tcPr>
          <w:p w14:paraId="3DAC1720" w14:textId="620D4FD3" w:rsidR="00CE2C38" w:rsidRPr="00CE2C38" w:rsidRDefault="005813E5" w:rsidP="00351629">
            <w:pPr>
              <w:keepNext/>
              <w:spacing w:line="360" w:lineRule="auto"/>
              <w:ind w:firstLine="0"/>
            </w:pPr>
            <m:oMathPara>
              <m:oMathParaPr>
                <m:jc m:val="left"/>
              </m:oMathParaPr>
              <m:oMath>
                <m:r>
                  <w:rPr>
                    <w:rFonts w:ascii="Cambria Math" w:eastAsiaTheme="minorEastAsia" w:hAnsi="Cambria Math" w:cs="Times New Roman"/>
                  </w:rPr>
                  <m:t xml:space="preserve">M6= </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1.5, 0, 0</m:t>
                    </m:r>
                  </m:e>
                </m:d>
              </m:oMath>
            </m:oMathPara>
          </w:p>
        </w:tc>
        <w:tc>
          <w:tcPr>
            <w:tcW w:w="1667" w:type="pct"/>
            <w:tcBorders>
              <w:bottom w:val="single" w:sz="4" w:space="0" w:color="auto"/>
            </w:tcBorders>
            <w:vAlign w:val="bottom"/>
          </w:tcPr>
          <w:p w14:paraId="0DFFEAD0" w14:textId="77777777" w:rsidR="00CE2C38" w:rsidRPr="00CE2C38" w:rsidRDefault="00CE2C38" w:rsidP="00351629">
            <w:pPr>
              <w:keepNext/>
              <w:spacing w:line="360" w:lineRule="auto"/>
              <w:ind w:firstLine="0"/>
              <w:jc w:val="center"/>
            </w:pPr>
            <w:r w:rsidRPr="00CE2C38">
              <w:t>0.402</w:t>
            </w:r>
          </w:p>
        </w:tc>
        <w:tc>
          <w:tcPr>
            <w:tcW w:w="1666" w:type="pct"/>
            <w:tcBorders>
              <w:bottom w:val="single" w:sz="4" w:space="0" w:color="auto"/>
            </w:tcBorders>
            <w:vAlign w:val="bottom"/>
          </w:tcPr>
          <w:p w14:paraId="2DDFEC47" w14:textId="77777777" w:rsidR="00CE2C38" w:rsidRPr="00CE2C38" w:rsidRDefault="00CE2C38" w:rsidP="00351629">
            <w:pPr>
              <w:keepNext/>
              <w:spacing w:line="360" w:lineRule="auto"/>
              <w:ind w:firstLine="0"/>
              <w:jc w:val="center"/>
            </w:pPr>
            <w:r w:rsidRPr="00CE2C38">
              <w:t>0.417</w:t>
            </w:r>
          </w:p>
        </w:tc>
      </w:tr>
    </w:tbl>
    <w:p w14:paraId="6E925156" w14:textId="7BC2790D" w:rsidR="00190458" w:rsidRDefault="00190458" w:rsidP="00E33D68">
      <w:pPr>
        <w:ind w:firstLine="0"/>
      </w:pPr>
    </w:p>
    <w:p w14:paraId="4C1B373A" w14:textId="45FB2B93" w:rsidR="00BF541C" w:rsidRDefault="007C2549" w:rsidP="007C2549">
      <w:pPr>
        <w:rPr>
          <w:rFonts w:eastAsiaTheme="minorEastAsia"/>
        </w:rPr>
      </w:pPr>
      <w:r>
        <w:t xml:space="preserve">Because the test information functions were peaked near </w:t>
      </w:r>
      <m:oMath>
        <m:r>
          <m:rPr>
            <m:sty m:val="p"/>
          </m:rPr>
          <w:rPr>
            <w:rFonts w:ascii="Cambria Math" w:hAnsi="Cambria Math"/>
          </w:rPr>
          <m:t>θ</m:t>
        </m:r>
        <m:r>
          <w:rPr>
            <w:rFonts w:ascii="Cambria Math" w:hAnsi="Cambria Math"/>
          </w:rPr>
          <m:t>= 0</m:t>
        </m:r>
      </m:oMath>
      <w:r>
        <w:rPr>
          <w:rFonts w:eastAsiaTheme="minorEastAsia"/>
        </w:rPr>
        <w:t xml:space="preserve">, but the average </w:t>
      </w:r>
      <m:oMath>
        <m:r>
          <m:rPr>
            <m:sty m:val="p"/>
          </m:rPr>
          <w:rPr>
            <w:rFonts w:ascii="Cambria Math" w:hAnsi="Cambria Math"/>
          </w:rPr>
          <m:t>θ</m:t>
        </m:r>
      </m:oMath>
      <w:r>
        <w:rPr>
          <w:rFonts w:eastAsiaTheme="minorEastAsia"/>
        </w:rPr>
        <w:t xml:space="preserve"> in change conditions was not at </w:t>
      </w:r>
      <m:oMath>
        <m:r>
          <m:rPr>
            <m:sty m:val="p"/>
          </m:rPr>
          <w:rPr>
            <w:rFonts w:ascii="Cambria Math" w:hAnsi="Cambria Math"/>
          </w:rPr>
          <m:t>θ</m:t>
        </m:r>
        <m:r>
          <w:rPr>
            <w:rFonts w:ascii="Cambria Math" w:hAnsi="Cambria Math"/>
          </w:rPr>
          <m:t>= 0</m:t>
        </m:r>
      </m:oMath>
      <w:r>
        <w:rPr>
          <w:rFonts w:eastAsiaTheme="minorEastAsia"/>
        </w:rPr>
        <w:t xml:space="preserve">, the SEMs were investigated. The SEMs for each condition and each dimension are presented in Table 2. </w:t>
      </w:r>
      <w:r w:rsidR="007744B7">
        <w:t>The SEMs did not differ significantly between the r = 0 and r = 0.50 conditions. The SEMs increase</w:t>
      </w:r>
      <w:r w:rsidR="00EB1A18">
        <w:t>d</w:t>
      </w:r>
      <w:r w:rsidR="007744B7">
        <w:t xml:space="preserve"> in Dimensions 1 and 2 as the magnitude of change increased. The test for Dimension 3 provided higher information at higher </w:t>
      </w:r>
      <m:oMath>
        <m:r>
          <m:rPr>
            <m:sty m:val="p"/>
          </m:rPr>
          <w:rPr>
            <w:rFonts w:ascii="Cambria Math" w:hAnsi="Cambria Math"/>
          </w:rPr>
          <m:t>θs</m:t>
        </m:r>
      </m:oMath>
      <w:r w:rsidR="007744B7">
        <w:rPr>
          <w:rFonts w:eastAsiaTheme="minorEastAsia"/>
        </w:rPr>
        <w:t xml:space="preserve"> compared to the other two dimensions, and the SEM did not increase nearly as much.</w:t>
      </w:r>
      <w:r w:rsidR="00016965">
        <w:rPr>
          <w:rFonts w:eastAsiaTheme="minorEastAsia"/>
        </w:rPr>
        <w:t xml:space="preserve"> For conditions M5 and M6, the average SEM across the three dimensions was higher than that of M2, the condition with the equivalent average change. This was to be expected, as the non-uniform change in M5 and M6 resulted in </w:t>
      </w:r>
      <m:oMath>
        <m:r>
          <m:rPr>
            <m:sty m:val="p"/>
          </m:rPr>
          <w:rPr>
            <w:rFonts w:ascii="Cambria Math" w:hAnsi="Cambria Math"/>
          </w:rPr>
          <m:t>θ</m:t>
        </m:r>
      </m:oMath>
      <w:r w:rsidR="00016965">
        <w:rPr>
          <w:rFonts w:eastAsiaTheme="minorEastAsia"/>
        </w:rPr>
        <w:t xml:space="preserve">s further from the peak of the test information functions for the dimensions in which the change was concentrated. </w:t>
      </w:r>
    </w:p>
    <w:p w14:paraId="5DF2CBE7" w14:textId="58A4F1ED" w:rsidR="00E93CE3" w:rsidRDefault="00E93CE3" w:rsidP="007744B7">
      <w:pPr>
        <w:pStyle w:val="Caption"/>
        <w:keepNext/>
        <w:rPr>
          <w:b/>
          <w:bCs/>
          <w:i w:val="0"/>
          <w:iCs w:val="0"/>
          <w:sz w:val="24"/>
          <w:szCs w:val="24"/>
        </w:rPr>
      </w:pPr>
      <w:r w:rsidRPr="00E93CE3">
        <w:rPr>
          <w:b/>
          <w:bCs/>
          <w:i w:val="0"/>
          <w:iCs w:val="0"/>
          <w:sz w:val="24"/>
          <w:szCs w:val="24"/>
        </w:rPr>
        <w:t xml:space="preserve">Table </w:t>
      </w:r>
      <w:r w:rsidRPr="00E93CE3">
        <w:rPr>
          <w:b/>
          <w:bCs/>
          <w:i w:val="0"/>
          <w:iCs w:val="0"/>
          <w:sz w:val="24"/>
          <w:szCs w:val="24"/>
        </w:rPr>
        <w:fldChar w:fldCharType="begin"/>
      </w:r>
      <w:r w:rsidRPr="00E93CE3">
        <w:rPr>
          <w:b/>
          <w:bCs/>
          <w:i w:val="0"/>
          <w:iCs w:val="0"/>
          <w:sz w:val="24"/>
          <w:szCs w:val="24"/>
        </w:rPr>
        <w:instrText xml:space="preserve"> SEQ Table \* ARABIC </w:instrText>
      </w:r>
      <w:r w:rsidRPr="00E93CE3">
        <w:rPr>
          <w:b/>
          <w:bCs/>
          <w:i w:val="0"/>
          <w:iCs w:val="0"/>
          <w:sz w:val="24"/>
          <w:szCs w:val="24"/>
        </w:rPr>
        <w:fldChar w:fldCharType="separate"/>
      </w:r>
      <w:r w:rsidR="002C576A">
        <w:rPr>
          <w:b/>
          <w:bCs/>
          <w:i w:val="0"/>
          <w:iCs w:val="0"/>
          <w:noProof/>
          <w:sz w:val="24"/>
          <w:szCs w:val="24"/>
        </w:rPr>
        <w:t>2</w:t>
      </w:r>
      <w:r w:rsidRPr="00E93CE3">
        <w:rPr>
          <w:b/>
          <w:bCs/>
          <w:i w:val="0"/>
          <w:iCs w:val="0"/>
          <w:sz w:val="24"/>
          <w:szCs w:val="24"/>
        </w:rPr>
        <w:fldChar w:fldCharType="end"/>
      </w:r>
    </w:p>
    <w:p w14:paraId="1E3B0C4E" w14:textId="353E0A84" w:rsidR="00E93CE3" w:rsidRPr="00E93CE3" w:rsidRDefault="00E93CE3" w:rsidP="007744B7">
      <w:pPr>
        <w:keepNext/>
        <w:ind w:firstLine="0"/>
        <w:rPr>
          <w:i/>
          <w:iCs/>
        </w:rPr>
      </w:pPr>
      <w:r>
        <w:rPr>
          <w:i/>
          <w:iCs/>
        </w:rPr>
        <w:t>Standard Error of Measurements for Each Dimension and Each Condition</w:t>
      </w:r>
    </w:p>
    <w:tbl>
      <w:tblPr>
        <w:tblW w:w="5000" w:type="pct"/>
        <w:tblLook w:val="07E0" w:firstRow="1" w:lastRow="1" w:firstColumn="1" w:lastColumn="1" w:noHBand="1" w:noVBand="1"/>
      </w:tblPr>
      <w:tblGrid>
        <w:gridCol w:w="1440"/>
        <w:gridCol w:w="1320"/>
        <w:gridCol w:w="1320"/>
        <w:gridCol w:w="1320"/>
        <w:gridCol w:w="1320"/>
        <w:gridCol w:w="1320"/>
        <w:gridCol w:w="1320"/>
      </w:tblGrid>
      <w:tr w:rsidR="000C6867" w:rsidRPr="00CE2C38" w14:paraId="2B6A5603" w14:textId="77777777" w:rsidTr="007744B7">
        <w:trPr>
          <w:cantSplit/>
        </w:trPr>
        <w:tc>
          <w:tcPr>
            <w:tcW w:w="769" w:type="pct"/>
            <w:tcBorders>
              <w:top w:val="single" w:sz="4" w:space="0" w:color="auto"/>
            </w:tcBorders>
          </w:tcPr>
          <w:p w14:paraId="30E35C87" w14:textId="0A1A8065" w:rsidR="000C6867" w:rsidRPr="00CE2C38" w:rsidRDefault="000C6867" w:rsidP="00E93CE3">
            <w:pPr>
              <w:keepNext/>
              <w:spacing w:after="40" w:line="240" w:lineRule="auto"/>
              <w:ind w:firstLine="0"/>
            </w:pPr>
          </w:p>
        </w:tc>
        <w:tc>
          <w:tcPr>
            <w:tcW w:w="2115" w:type="pct"/>
            <w:gridSpan w:val="3"/>
            <w:tcBorders>
              <w:top w:val="single" w:sz="4" w:space="0" w:color="auto"/>
              <w:bottom w:val="single" w:sz="0" w:space="0" w:color="auto"/>
            </w:tcBorders>
            <w:vAlign w:val="bottom"/>
          </w:tcPr>
          <w:p w14:paraId="76E246F5" w14:textId="010D7571" w:rsidR="000C6867" w:rsidRPr="00CE2C38" w:rsidRDefault="000C6867" w:rsidP="00E93CE3">
            <w:pPr>
              <w:keepNext/>
              <w:spacing w:after="40" w:line="240" w:lineRule="auto"/>
              <w:ind w:firstLine="0"/>
              <w:jc w:val="center"/>
            </w:pPr>
            <w:r>
              <w:t>r = 0</w:t>
            </w:r>
          </w:p>
        </w:tc>
        <w:tc>
          <w:tcPr>
            <w:tcW w:w="2115" w:type="pct"/>
            <w:gridSpan w:val="3"/>
            <w:tcBorders>
              <w:top w:val="single" w:sz="4" w:space="0" w:color="auto"/>
              <w:bottom w:val="single" w:sz="0" w:space="0" w:color="auto"/>
            </w:tcBorders>
            <w:vAlign w:val="bottom"/>
          </w:tcPr>
          <w:p w14:paraId="5B1E1076" w14:textId="05611B7C" w:rsidR="000C6867" w:rsidRPr="00CE2C38" w:rsidRDefault="000C6867" w:rsidP="00E93CE3">
            <w:pPr>
              <w:keepNext/>
              <w:spacing w:after="40" w:line="240" w:lineRule="auto"/>
              <w:ind w:firstLine="0"/>
              <w:jc w:val="center"/>
            </w:pPr>
            <w:r>
              <w:t>r = 0.50</w:t>
            </w:r>
          </w:p>
        </w:tc>
      </w:tr>
      <w:tr w:rsidR="000C6867" w:rsidRPr="00CE2C38" w14:paraId="02E4EF0D" w14:textId="77777777" w:rsidTr="000C6867">
        <w:trPr>
          <w:cantSplit/>
        </w:trPr>
        <w:tc>
          <w:tcPr>
            <w:tcW w:w="769" w:type="pct"/>
            <w:tcBorders>
              <w:bottom w:val="single" w:sz="0" w:space="0" w:color="auto"/>
            </w:tcBorders>
          </w:tcPr>
          <w:p w14:paraId="6D3917B4" w14:textId="7F11C1F9" w:rsidR="00CE2C38" w:rsidRPr="00CE2C38" w:rsidRDefault="000C6867" w:rsidP="00E93CE3">
            <w:pPr>
              <w:keepNext/>
              <w:spacing w:after="40" w:line="240" w:lineRule="auto"/>
              <w:ind w:firstLine="0"/>
            </w:pPr>
            <w:r>
              <w:t>Condition</w:t>
            </w:r>
          </w:p>
        </w:tc>
        <w:tc>
          <w:tcPr>
            <w:tcW w:w="705" w:type="pct"/>
            <w:tcBorders>
              <w:bottom w:val="single" w:sz="0" w:space="0" w:color="auto"/>
            </w:tcBorders>
            <w:vAlign w:val="bottom"/>
          </w:tcPr>
          <w:p w14:paraId="424F3473" w14:textId="05DF66C6" w:rsidR="00CE2C38" w:rsidRPr="00CE2C38" w:rsidRDefault="00CE2C38" w:rsidP="00E93CE3">
            <w:pPr>
              <w:keepNext/>
              <w:spacing w:after="40" w:line="240" w:lineRule="auto"/>
              <w:ind w:firstLine="0"/>
              <w:jc w:val="center"/>
            </w:pPr>
            <w:r w:rsidRPr="00CE2C38">
              <w:t>Dim</w:t>
            </w:r>
            <w:r w:rsidR="000C6867">
              <w:t>.</w:t>
            </w:r>
            <w:r w:rsidRPr="00CE2C38">
              <w:t xml:space="preserve"> 1</w:t>
            </w:r>
          </w:p>
        </w:tc>
        <w:tc>
          <w:tcPr>
            <w:tcW w:w="705" w:type="pct"/>
            <w:tcBorders>
              <w:bottom w:val="single" w:sz="0" w:space="0" w:color="auto"/>
            </w:tcBorders>
            <w:vAlign w:val="bottom"/>
          </w:tcPr>
          <w:p w14:paraId="739BF485" w14:textId="68FC78B1" w:rsidR="00CE2C38" w:rsidRPr="00CE2C38" w:rsidRDefault="00CE2C38" w:rsidP="00E93CE3">
            <w:pPr>
              <w:keepNext/>
              <w:spacing w:after="40" w:line="240" w:lineRule="auto"/>
              <w:ind w:firstLine="0"/>
              <w:jc w:val="center"/>
            </w:pPr>
            <w:r w:rsidRPr="00CE2C38">
              <w:t>Dim</w:t>
            </w:r>
            <w:r w:rsidR="000C6867">
              <w:t>.</w:t>
            </w:r>
            <w:r w:rsidRPr="00CE2C38">
              <w:t xml:space="preserve"> 2</w:t>
            </w:r>
          </w:p>
        </w:tc>
        <w:tc>
          <w:tcPr>
            <w:tcW w:w="705" w:type="pct"/>
            <w:tcBorders>
              <w:bottom w:val="single" w:sz="0" w:space="0" w:color="auto"/>
            </w:tcBorders>
            <w:vAlign w:val="bottom"/>
          </w:tcPr>
          <w:p w14:paraId="41007CDD" w14:textId="21C60EA6" w:rsidR="00CE2C38" w:rsidRPr="00CE2C38" w:rsidRDefault="000C6867" w:rsidP="00E93CE3">
            <w:pPr>
              <w:keepNext/>
              <w:spacing w:after="40" w:line="240" w:lineRule="auto"/>
              <w:ind w:firstLine="0"/>
              <w:jc w:val="center"/>
            </w:pPr>
            <w:r>
              <w:t>Dim.</w:t>
            </w:r>
            <w:r w:rsidR="00CE2C38" w:rsidRPr="00CE2C38">
              <w:t xml:space="preserve"> 3</w:t>
            </w:r>
          </w:p>
        </w:tc>
        <w:tc>
          <w:tcPr>
            <w:tcW w:w="705" w:type="pct"/>
            <w:tcBorders>
              <w:bottom w:val="single" w:sz="0" w:space="0" w:color="auto"/>
            </w:tcBorders>
            <w:vAlign w:val="bottom"/>
          </w:tcPr>
          <w:p w14:paraId="4AC30F83" w14:textId="3ACBEDD1" w:rsidR="00CE2C38" w:rsidRPr="00CE2C38" w:rsidRDefault="000C6867" w:rsidP="00E93CE3">
            <w:pPr>
              <w:keepNext/>
              <w:spacing w:after="40" w:line="240" w:lineRule="auto"/>
              <w:ind w:firstLine="0"/>
              <w:jc w:val="center"/>
            </w:pPr>
            <w:r>
              <w:t>Dim.</w:t>
            </w:r>
            <w:r w:rsidR="00CE2C38" w:rsidRPr="00CE2C38">
              <w:t xml:space="preserve"> 1</w:t>
            </w:r>
          </w:p>
        </w:tc>
        <w:tc>
          <w:tcPr>
            <w:tcW w:w="705" w:type="pct"/>
            <w:tcBorders>
              <w:bottom w:val="single" w:sz="0" w:space="0" w:color="auto"/>
            </w:tcBorders>
            <w:vAlign w:val="bottom"/>
          </w:tcPr>
          <w:p w14:paraId="3836FDA4" w14:textId="4EBF6FDC" w:rsidR="00CE2C38" w:rsidRPr="00CE2C38" w:rsidRDefault="000C6867" w:rsidP="00E93CE3">
            <w:pPr>
              <w:keepNext/>
              <w:spacing w:after="40" w:line="240" w:lineRule="auto"/>
              <w:ind w:firstLine="0"/>
              <w:jc w:val="center"/>
            </w:pPr>
            <w:r>
              <w:t>Dim.</w:t>
            </w:r>
            <w:r w:rsidR="00CE2C38" w:rsidRPr="00CE2C38">
              <w:t xml:space="preserve"> 2</w:t>
            </w:r>
          </w:p>
        </w:tc>
        <w:tc>
          <w:tcPr>
            <w:tcW w:w="705" w:type="pct"/>
            <w:tcBorders>
              <w:bottom w:val="single" w:sz="0" w:space="0" w:color="auto"/>
            </w:tcBorders>
            <w:vAlign w:val="bottom"/>
          </w:tcPr>
          <w:p w14:paraId="30AD4962" w14:textId="3E36275E" w:rsidR="00CE2C38" w:rsidRPr="00CE2C38" w:rsidRDefault="000C6867" w:rsidP="00E93CE3">
            <w:pPr>
              <w:keepNext/>
              <w:spacing w:after="40" w:line="240" w:lineRule="auto"/>
              <w:ind w:firstLine="0"/>
              <w:jc w:val="center"/>
            </w:pPr>
            <w:r>
              <w:t>Dim.</w:t>
            </w:r>
            <w:r w:rsidR="00CE2C38" w:rsidRPr="00CE2C38">
              <w:t xml:space="preserve"> 3</w:t>
            </w:r>
          </w:p>
        </w:tc>
      </w:tr>
      <w:tr w:rsidR="000C6867" w:rsidRPr="00CE2C38" w14:paraId="07B43B44" w14:textId="77777777" w:rsidTr="000C6867">
        <w:trPr>
          <w:cantSplit/>
        </w:trPr>
        <w:tc>
          <w:tcPr>
            <w:tcW w:w="769" w:type="pct"/>
          </w:tcPr>
          <w:p w14:paraId="23B36CEA" w14:textId="2D2093F2" w:rsidR="00CE2C38" w:rsidRPr="00CE2C38" w:rsidRDefault="000C6867" w:rsidP="009D3EF7">
            <w:pPr>
              <w:keepNext/>
              <w:spacing w:before="40" w:line="360" w:lineRule="auto"/>
              <w:ind w:firstLine="0"/>
            </w:pPr>
            <w:r>
              <w:t>Time 1</w:t>
            </w:r>
          </w:p>
        </w:tc>
        <w:tc>
          <w:tcPr>
            <w:tcW w:w="705" w:type="pct"/>
            <w:vAlign w:val="bottom"/>
          </w:tcPr>
          <w:p w14:paraId="35660069" w14:textId="77777777" w:rsidR="00CE2C38" w:rsidRPr="00CE2C38" w:rsidRDefault="00CE2C38" w:rsidP="009D3EF7">
            <w:pPr>
              <w:keepNext/>
              <w:spacing w:before="40" w:line="360" w:lineRule="auto"/>
              <w:ind w:firstLine="0"/>
              <w:jc w:val="center"/>
            </w:pPr>
            <w:r w:rsidRPr="00CE2C38">
              <w:t>0.325</w:t>
            </w:r>
          </w:p>
        </w:tc>
        <w:tc>
          <w:tcPr>
            <w:tcW w:w="705" w:type="pct"/>
            <w:vAlign w:val="bottom"/>
          </w:tcPr>
          <w:p w14:paraId="252A9DDA" w14:textId="77777777" w:rsidR="00CE2C38" w:rsidRPr="00CE2C38" w:rsidRDefault="00CE2C38" w:rsidP="009D3EF7">
            <w:pPr>
              <w:keepNext/>
              <w:spacing w:before="40" w:line="360" w:lineRule="auto"/>
              <w:ind w:firstLine="0"/>
              <w:jc w:val="center"/>
            </w:pPr>
            <w:r w:rsidRPr="00CE2C38">
              <w:t>0.343</w:t>
            </w:r>
          </w:p>
        </w:tc>
        <w:tc>
          <w:tcPr>
            <w:tcW w:w="705" w:type="pct"/>
            <w:vAlign w:val="bottom"/>
          </w:tcPr>
          <w:p w14:paraId="6EF688A3" w14:textId="77777777" w:rsidR="00CE2C38" w:rsidRPr="00CE2C38" w:rsidRDefault="00CE2C38" w:rsidP="009D3EF7">
            <w:pPr>
              <w:keepNext/>
              <w:spacing w:before="40" w:line="360" w:lineRule="auto"/>
              <w:ind w:firstLine="0"/>
              <w:jc w:val="center"/>
            </w:pPr>
            <w:r w:rsidRPr="00CE2C38">
              <w:t>0.319</w:t>
            </w:r>
          </w:p>
        </w:tc>
        <w:tc>
          <w:tcPr>
            <w:tcW w:w="705" w:type="pct"/>
            <w:vAlign w:val="bottom"/>
          </w:tcPr>
          <w:p w14:paraId="02E4CA42" w14:textId="77777777" w:rsidR="00CE2C38" w:rsidRPr="00CE2C38" w:rsidRDefault="00CE2C38" w:rsidP="009D3EF7">
            <w:pPr>
              <w:keepNext/>
              <w:spacing w:before="40" w:line="360" w:lineRule="auto"/>
              <w:ind w:firstLine="0"/>
              <w:jc w:val="center"/>
            </w:pPr>
            <w:r w:rsidRPr="00CE2C38">
              <w:t>0.325</w:t>
            </w:r>
          </w:p>
        </w:tc>
        <w:tc>
          <w:tcPr>
            <w:tcW w:w="705" w:type="pct"/>
            <w:vAlign w:val="bottom"/>
          </w:tcPr>
          <w:p w14:paraId="1E2FEEF7" w14:textId="77777777" w:rsidR="00CE2C38" w:rsidRPr="00CE2C38" w:rsidRDefault="00CE2C38" w:rsidP="009D3EF7">
            <w:pPr>
              <w:keepNext/>
              <w:spacing w:before="40" w:line="360" w:lineRule="auto"/>
              <w:ind w:firstLine="0"/>
              <w:jc w:val="center"/>
            </w:pPr>
            <w:r w:rsidRPr="00CE2C38">
              <w:t>0.333</w:t>
            </w:r>
          </w:p>
        </w:tc>
        <w:tc>
          <w:tcPr>
            <w:tcW w:w="705" w:type="pct"/>
            <w:vAlign w:val="bottom"/>
          </w:tcPr>
          <w:p w14:paraId="2FEF3AEC" w14:textId="77777777" w:rsidR="00CE2C38" w:rsidRPr="00CE2C38" w:rsidRDefault="00CE2C38" w:rsidP="009D3EF7">
            <w:pPr>
              <w:keepNext/>
              <w:spacing w:before="40" w:line="360" w:lineRule="auto"/>
              <w:ind w:firstLine="0"/>
              <w:jc w:val="center"/>
            </w:pPr>
            <w:r w:rsidRPr="00CE2C38">
              <w:t>0.324</w:t>
            </w:r>
          </w:p>
        </w:tc>
      </w:tr>
      <w:tr w:rsidR="000C6867" w:rsidRPr="00CE2C38" w14:paraId="1EED75DC" w14:textId="77777777" w:rsidTr="000C6867">
        <w:trPr>
          <w:cantSplit/>
        </w:trPr>
        <w:tc>
          <w:tcPr>
            <w:tcW w:w="769" w:type="pct"/>
          </w:tcPr>
          <w:p w14:paraId="285256C7" w14:textId="1FF97D0F" w:rsidR="00CE2C38" w:rsidRPr="00CE2C38" w:rsidRDefault="000C6867" w:rsidP="00E93CE3">
            <w:pPr>
              <w:keepNext/>
              <w:spacing w:line="360" w:lineRule="auto"/>
              <w:ind w:firstLine="0"/>
            </w:pPr>
            <w:r>
              <w:t xml:space="preserve">No </w:t>
            </w:r>
            <w:r w:rsidR="00D03925">
              <w:t>C</w:t>
            </w:r>
            <w:r>
              <w:t>hange</w:t>
            </w:r>
          </w:p>
        </w:tc>
        <w:tc>
          <w:tcPr>
            <w:tcW w:w="705" w:type="pct"/>
            <w:vAlign w:val="bottom"/>
          </w:tcPr>
          <w:p w14:paraId="79D7D72C" w14:textId="77777777" w:rsidR="00CE2C38" w:rsidRPr="00CE2C38" w:rsidRDefault="00CE2C38" w:rsidP="00E93CE3">
            <w:pPr>
              <w:keepNext/>
              <w:spacing w:line="360" w:lineRule="auto"/>
              <w:ind w:firstLine="0"/>
              <w:jc w:val="center"/>
            </w:pPr>
            <w:r w:rsidRPr="00CE2C38">
              <w:t>0.330</w:t>
            </w:r>
          </w:p>
        </w:tc>
        <w:tc>
          <w:tcPr>
            <w:tcW w:w="705" w:type="pct"/>
            <w:vAlign w:val="bottom"/>
          </w:tcPr>
          <w:p w14:paraId="6866ACBE" w14:textId="77777777" w:rsidR="00CE2C38" w:rsidRPr="00CE2C38" w:rsidRDefault="00CE2C38" w:rsidP="00E93CE3">
            <w:pPr>
              <w:keepNext/>
              <w:spacing w:line="360" w:lineRule="auto"/>
              <w:ind w:firstLine="0"/>
              <w:jc w:val="center"/>
            </w:pPr>
            <w:r w:rsidRPr="00CE2C38">
              <w:t>0.342</w:t>
            </w:r>
          </w:p>
        </w:tc>
        <w:tc>
          <w:tcPr>
            <w:tcW w:w="705" w:type="pct"/>
            <w:vAlign w:val="bottom"/>
          </w:tcPr>
          <w:p w14:paraId="45FDD54E" w14:textId="77777777" w:rsidR="00CE2C38" w:rsidRPr="00CE2C38" w:rsidRDefault="00CE2C38" w:rsidP="00E93CE3">
            <w:pPr>
              <w:keepNext/>
              <w:spacing w:line="360" w:lineRule="auto"/>
              <w:ind w:firstLine="0"/>
              <w:jc w:val="center"/>
            </w:pPr>
            <w:r w:rsidRPr="00CE2C38">
              <w:t>0.319</w:t>
            </w:r>
          </w:p>
        </w:tc>
        <w:tc>
          <w:tcPr>
            <w:tcW w:w="705" w:type="pct"/>
            <w:vAlign w:val="bottom"/>
          </w:tcPr>
          <w:p w14:paraId="35ECFAD6" w14:textId="77777777" w:rsidR="00CE2C38" w:rsidRPr="00CE2C38" w:rsidRDefault="00CE2C38" w:rsidP="00E93CE3">
            <w:pPr>
              <w:keepNext/>
              <w:spacing w:line="360" w:lineRule="auto"/>
              <w:ind w:firstLine="0"/>
              <w:jc w:val="center"/>
            </w:pPr>
            <w:r w:rsidRPr="00CE2C38">
              <w:t>0.331</w:t>
            </w:r>
          </w:p>
        </w:tc>
        <w:tc>
          <w:tcPr>
            <w:tcW w:w="705" w:type="pct"/>
            <w:vAlign w:val="bottom"/>
          </w:tcPr>
          <w:p w14:paraId="5F5FB3FD" w14:textId="77777777" w:rsidR="00CE2C38" w:rsidRPr="00CE2C38" w:rsidRDefault="00CE2C38" w:rsidP="00E93CE3">
            <w:pPr>
              <w:keepNext/>
              <w:spacing w:line="360" w:lineRule="auto"/>
              <w:ind w:firstLine="0"/>
              <w:jc w:val="center"/>
            </w:pPr>
            <w:r w:rsidRPr="00CE2C38">
              <w:t>0.332</w:t>
            </w:r>
          </w:p>
        </w:tc>
        <w:tc>
          <w:tcPr>
            <w:tcW w:w="705" w:type="pct"/>
            <w:vAlign w:val="bottom"/>
          </w:tcPr>
          <w:p w14:paraId="7588DF5A" w14:textId="77777777" w:rsidR="00CE2C38" w:rsidRPr="00CE2C38" w:rsidRDefault="00CE2C38" w:rsidP="00E93CE3">
            <w:pPr>
              <w:keepNext/>
              <w:spacing w:line="360" w:lineRule="auto"/>
              <w:ind w:firstLine="0"/>
              <w:jc w:val="center"/>
            </w:pPr>
            <w:r w:rsidRPr="00CE2C38">
              <w:t>0.321</w:t>
            </w:r>
          </w:p>
        </w:tc>
      </w:tr>
      <w:tr w:rsidR="000C6867" w:rsidRPr="00CE2C38" w14:paraId="0EFE11FB" w14:textId="77777777" w:rsidTr="000C6867">
        <w:trPr>
          <w:cantSplit/>
        </w:trPr>
        <w:tc>
          <w:tcPr>
            <w:tcW w:w="769" w:type="pct"/>
          </w:tcPr>
          <w:p w14:paraId="16CF3DA2" w14:textId="6AE8DA22" w:rsidR="00CE2C38" w:rsidRPr="00CE2C38" w:rsidRDefault="000C6867" w:rsidP="00E93CE3">
            <w:pPr>
              <w:keepNext/>
              <w:spacing w:line="360" w:lineRule="auto"/>
              <w:ind w:firstLine="0"/>
            </w:pPr>
            <w:r>
              <w:t>M1</w:t>
            </w:r>
          </w:p>
        </w:tc>
        <w:tc>
          <w:tcPr>
            <w:tcW w:w="705" w:type="pct"/>
            <w:vAlign w:val="bottom"/>
          </w:tcPr>
          <w:p w14:paraId="277C38FC" w14:textId="77777777" w:rsidR="00CE2C38" w:rsidRPr="00CE2C38" w:rsidRDefault="00CE2C38" w:rsidP="00E93CE3">
            <w:pPr>
              <w:keepNext/>
              <w:spacing w:line="360" w:lineRule="auto"/>
              <w:ind w:firstLine="0"/>
              <w:jc w:val="center"/>
            </w:pPr>
            <w:r w:rsidRPr="00CE2C38">
              <w:t>0.337</w:t>
            </w:r>
          </w:p>
        </w:tc>
        <w:tc>
          <w:tcPr>
            <w:tcW w:w="705" w:type="pct"/>
            <w:vAlign w:val="bottom"/>
          </w:tcPr>
          <w:p w14:paraId="63A2D9CF" w14:textId="77777777" w:rsidR="00CE2C38" w:rsidRPr="00CE2C38" w:rsidRDefault="00CE2C38" w:rsidP="00E93CE3">
            <w:pPr>
              <w:keepNext/>
              <w:spacing w:line="360" w:lineRule="auto"/>
              <w:ind w:firstLine="0"/>
              <w:jc w:val="center"/>
            </w:pPr>
            <w:r w:rsidRPr="00CE2C38">
              <w:t>0.349</w:t>
            </w:r>
          </w:p>
        </w:tc>
        <w:tc>
          <w:tcPr>
            <w:tcW w:w="705" w:type="pct"/>
            <w:vAlign w:val="bottom"/>
          </w:tcPr>
          <w:p w14:paraId="798AD83A" w14:textId="77777777" w:rsidR="00CE2C38" w:rsidRPr="00CE2C38" w:rsidRDefault="00CE2C38" w:rsidP="00E93CE3">
            <w:pPr>
              <w:keepNext/>
              <w:spacing w:line="360" w:lineRule="auto"/>
              <w:ind w:firstLine="0"/>
              <w:jc w:val="center"/>
            </w:pPr>
            <w:r w:rsidRPr="00CE2C38">
              <w:t>0.315</w:t>
            </w:r>
          </w:p>
        </w:tc>
        <w:tc>
          <w:tcPr>
            <w:tcW w:w="705" w:type="pct"/>
            <w:vAlign w:val="bottom"/>
          </w:tcPr>
          <w:p w14:paraId="5E9616D7" w14:textId="77777777" w:rsidR="00CE2C38" w:rsidRPr="00CE2C38" w:rsidRDefault="00CE2C38" w:rsidP="00E93CE3">
            <w:pPr>
              <w:keepNext/>
              <w:spacing w:line="360" w:lineRule="auto"/>
              <w:ind w:firstLine="0"/>
              <w:jc w:val="center"/>
            </w:pPr>
            <w:r w:rsidRPr="00CE2C38">
              <w:t>0.333</w:t>
            </w:r>
          </w:p>
        </w:tc>
        <w:tc>
          <w:tcPr>
            <w:tcW w:w="705" w:type="pct"/>
            <w:vAlign w:val="bottom"/>
          </w:tcPr>
          <w:p w14:paraId="3EF713FE" w14:textId="77777777" w:rsidR="00CE2C38" w:rsidRPr="00CE2C38" w:rsidRDefault="00CE2C38" w:rsidP="00E93CE3">
            <w:pPr>
              <w:keepNext/>
              <w:spacing w:line="360" w:lineRule="auto"/>
              <w:ind w:firstLine="0"/>
              <w:jc w:val="center"/>
            </w:pPr>
            <w:r w:rsidRPr="00CE2C38">
              <w:t>0.345</w:t>
            </w:r>
          </w:p>
        </w:tc>
        <w:tc>
          <w:tcPr>
            <w:tcW w:w="705" w:type="pct"/>
            <w:vAlign w:val="bottom"/>
          </w:tcPr>
          <w:p w14:paraId="27C6C19B" w14:textId="77777777" w:rsidR="00CE2C38" w:rsidRPr="00CE2C38" w:rsidRDefault="00CE2C38" w:rsidP="00E93CE3">
            <w:pPr>
              <w:keepNext/>
              <w:spacing w:line="360" w:lineRule="auto"/>
              <w:ind w:firstLine="0"/>
              <w:jc w:val="center"/>
            </w:pPr>
            <w:r w:rsidRPr="00CE2C38">
              <w:t>0.318</w:t>
            </w:r>
          </w:p>
        </w:tc>
      </w:tr>
      <w:tr w:rsidR="000C6867" w:rsidRPr="00CE2C38" w14:paraId="6EA0516C" w14:textId="77777777" w:rsidTr="000C6867">
        <w:trPr>
          <w:cantSplit/>
        </w:trPr>
        <w:tc>
          <w:tcPr>
            <w:tcW w:w="769" w:type="pct"/>
          </w:tcPr>
          <w:p w14:paraId="44048647" w14:textId="1D2FDC2F" w:rsidR="00CE2C38" w:rsidRPr="00CE2C38" w:rsidRDefault="000C6867" w:rsidP="00E93CE3">
            <w:pPr>
              <w:keepNext/>
              <w:spacing w:line="360" w:lineRule="auto"/>
              <w:ind w:firstLine="0"/>
            </w:pPr>
            <w:r>
              <w:t>M2</w:t>
            </w:r>
          </w:p>
        </w:tc>
        <w:tc>
          <w:tcPr>
            <w:tcW w:w="705" w:type="pct"/>
            <w:vAlign w:val="bottom"/>
          </w:tcPr>
          <w:p w14:paraId="7CA01F31" w14:textId="77777777" w:rsidR="00CE2C38" w:rsidRPr="00CE2C38" w:rsidRDefault="00CE2C38" w:rsidP="00E93CE3">
            <w:pPr>
              <w:keepNext/>
              <w:spacing w:line="360" w:lineRule="auto"/>
              <w:ind w:firstLine="0"/>
              <w:jc w:val="center"/>
            </w:pPr>
            <w:r w:rsidRPr="00CE2C38">
              <w:t>0.359</w:t>
            </w:r>
          </w:p>
        </w:tc>
        <w:tc>
          <w:tcPr>
            <w:tcW w:w="705" w:type="pct"/>
            <w:vAlign w:val="bottom"/>
          </w:tcPr>
          <w:p w14:paraId="25D98CFE" w14:textId="77777777" w:rsidR="00CE2C38" w:rsidRPr="00CE2C38" w:rsidRDefault="00CE2C38" w:rsidP="00E93CE3">
            <w:pPr>
              <w:keepNext/>
              <w:spacing w:line="360" w:lineRule="auto"/>
              <w:ind w:firstLine="0"/>
              <w:jc w:val="center"/>
            </w:pPr>
            <w:r w:rsidRPr="00CE2C38">
              <w:t>0.366</w:t>
            </w:r>
          </w:p>
        </w:tc>
        <w:tc>
          <w:tcPr>
            <w:tcW w:w="705" w:type="pct"/>
            <w:vAlign w:val="bottom"/>
          </w:tcPr>
          <w:p w14:paraId="2602BF39" w14:textId="77777777" w:rsidR="00CE2C38" w:rsidRPr="00CE2C38" w:rsidRDefault="00CE2C38" w:rsidP="00E93CE3">
            <w:pPr>
              <w:keepNext/>
              <w:spacing w:line="360" w:lineRule="auto"/>
              <w:ind w:firstLine="0"/>
              <w:jc w:val="center"/>
            </w:pPr>
            <w:r w:rsidRPr="00CE2C38">
              <w:t>0.322</w:t>
            </w:r>
          </w:p>
        </w:tc>
        <w:tc>
          <w:tcPr>
            <w:tcW w:w="705" w:type="pct"/>
            <w:vAlign w:val="bottom"/>
          </w:tcPr>
          <w:p w14:paraId="526EA41B" w14:textId="77777777" w:rsidR="00CE2C38" w:rsidRPr="00CE2C38" w:rsidRDefault="00CE2C38" w:rsidP="00E93CE3">
            <w:pPr>
              <w:keepNext/>
              <w:spacing w:line="360" w:lineRule="auto"/>
              <w:ind w:firstLine="0"/>
              <w:jc w:val="center"/>
            </w:pPr>
            <w:r w:rsidRPr="00CE2C38">
              <w:t>0.360</w:t>
            </w:r>
          </w:p>
        </w:tc>
        <w:tc>
          <w:tcPr>
            <w:tcW w:w="705" w:type="pct"/>
            <w:vAlign w:val="bottom"/>
          </w:tcPr>
          <w:p w14:paraId="799A74B3" w14:textId="77777777" w:rsidR="00CE2C38" w:rsidRPr="00CE2C38" w:rsidRDefault="00CE2C38" w:rsidP="00E93CE3">
            <w:pPr>
              <w:keepNext/>
              <w:spacing w:line="360" w:lineRule="auto"/>
              <w:ind w:firstLine="0"/>
              <w:jc w:val="center"/>
            </w:pPr>
            <w:r w:rsidRPr="00CE2C38">
              <w:t>0.364</w:t>
            </w:r>
          </w:p>
        </w:tc>
        <w:tc>
          <w:tcPr>
            <w:tcW w:w="705" w:type="pct"/>
            <w:vAlign w:val="bottom"/>
          </w:tcPr>
          <w:p w14:paraId="357BEF83" w14:textId="77777777" w:rsidR="00CE2C38" w:rsidRPr="00CE2C38" w:rsidRDefault="00CE2C38" w:rsidP="00E93CE3">
            <w:pPr>
              <w:keepNext/>
              <w:spacing w:line="360" w:lineRule="auto"/>
              <w:ind w:firstLine="0"/>
              <w:jc w:val="center"/>
            </w:pPr>
            <w:r w:rsidRPr="00CE2C38">
              <w:t>0.319</w:t>
            </w:r>
          </w:p>
        </w:tc>
      </w:tr>
      <w:tr w:rsidR="000C6867" w:rsidRPr="00CE2C38" w14:paraId="2B35FE91" w14:textId="77777777" w:rsidTr="000C6867">
        <w:trPr>
          <w:cantSplit/>
        </w:trPr>
        <w:tc>
          <w:tcPr>
            <w:tcW w:w="769" w:type="pct"/>
          </w:tcPr>
          <w:p w14:paraId="17609E76" w14:textId="461F8DC4" w:rsidR="00CE2C38" w:rsidRPr="00CE2C38" w:rsidRDefault="000C6867" w:rsidP="00E93CE3">
            <w:pPr>
              <w:keepNext/>
              <w:spacing w:line="360" w:lineRule="auto"/>
              <w:ind w:firstLine="0"/>
            </w:pPr>
            <w:r>
              <w:t>M3</w:t>
            </w:r>
          </w:p>
        </w:tc>
        <w:tc>
          <w:tcPr>
            <w:tcW w:w="705" w:type="pct"/>
            <w:vAlign w:val="bottom"/>
          </w:tcPr>
          <w:p w14:paraId="70ABE304" w14:textId="77777777" w:rsidR="00CE2C38" w:rsidRPr="00CE2C38" w:rsidRDefault="00CE2C38" w:rsidP="00E93CE3">
            <w:pPr>
              <w:keepNext/>
              <w:spacing w:line="360" w:lineRule="auto"/>
              <w:ind w:firstLine="0"/>
              <w:jc w:val="center"/>
            </w:pPr>
            <w:r w:rsidRPr="00CE2C38">
              <w:t>0.401</w:t>
            </w:r>
          </w:p>
        </w:tc>
        <w:tc>
          <w:tcPr>
            <w:tcW w:w="705" w:type="pct"/>
            <w:vAlign w:val="bottom"/>
          </w:tcPr>
          <w:p w14:paraId="0D30FB9B" w14:textId="77777777" w:rsidR="00CE2C38" w:rsidRPr="00CE2C38" w:rsidRDefault="00CE2C38" w:rsidP="00E93CE3">
            <w:pPr>
              <w:keepNext/>
              <w:spacing w:line="360" w:lineRule="auto"/>
              <w:ind w:firstLine="0"/>
              <w:jc w:val="center"/>
            </w:pPr>
            <w:r w:rsidRPr="00CE2C38">
              <w:t>0.411</w:t>
            </w:r>
          </w:p>
        </w:tc>
        <w:tc>
          <w:tcPr>
            <w:tcW w:w="705" w:type="pct"/>
            <w:vAlign w:val="bottom"/>
          </w:tcPr>
          <w:p w14:paraId="2B311332" w14:textId="77777777" w:rsidR="00CE2C38" w:rsidRPr="00CE2C38" w:rsidRDefault="00CE2C38" w:rsidP="00E93CE3">
            <w:pPr>
              <w:keepNext/>
              <w:spacing w:line="360" w:lineRule="auto"/>
              <w:ind w:firstLine="0"/>
              <w:jc w:val="center"/>
            </w:pPr>
            <w:r w:rsidRPr="00CE2C38">
              <w:t>0.334</w:t>
            </w:r>
          </w:p>
        </w:tc>
        <w:tc>
          <w:tcPr>
            <w:tcW w:w="705" w:type="pct"/>
            <w:vAlign w:val="bottom"/>
          </w:tcPr>
          <w:p w14:paraId="14BA2D40" w14:textId="77777777" w:rsidR="00CE2C38" w:rsidRPr="00CE2C38" w:rsidRDefault="00CE2C38" w:rsidP="00E93CE3">
            <w:pPr>
              <w:keepNext/>
              <w:spacing w:line="360" w:lineRule="auto"/>
              <w:ind w:firstLine="0"/>
              <w:jc w:val="center"/>
            </w:pPr>
            <w:r w:rsidRPr="00CE2C38">
              <w:t>0.396</w:t>
            </w:r>
          </w:p>
        </w:tc>
        <w:tc>
          <w:tcPr>
            <w:tcW w:w="705" w:type="pct"/>
            <w:vAlign w:val="bottom"/>
          </w:tcPr>
          <w:p w14:paraId="456699AF" w14:textId="77777777" w:rsidR="00CE2C38" w:rsidRPr="00CE2C38" w:rsidRDefault="00CE2C38" w:rsidP="00E93CE3">
            <w:pPr>
              <w:keepNext/>
              <w:spacing w:line="360" w:lineRule="auto"/>
              <w:ind w:firstLine="0"/>
              <w:jc w:val="center"/>
            </w:pPr>
            <w:r w:rsidRPr="00CE2C38">
              <w:t>0.405</w:t>
            </w:r>
          </w:p>
        </w:tc>
        <w:tc>
          <w:tcPr>
            <w:tcW w:w="705" w:type="pct"/>
            <w:vAlign w:val="bottom"/>
          </w:tcPr>
          <w:p w14:paraId="0C22B993" w14:textId="77777777" w:rsidR="00CE2C38" w:rsidRPr="00CE2C38" w:rsidRDefault="00CE2C38" w:rsidP="00E93CE3">
            <w:pPr>
              <w:keepNext/>
              <w:spacing w:line="360" w:lineRule="auto"/>
              <w:ind w:firstLine="0"/>
              <w:jc w:val="center"/>
            </w:pPr>
            <w:r w:rsidRPr="00CE2C38">
              <w:t>0.332</w:t>
            </w:r>
          </w:p>
        </w:tc>
      </w:tr>
      <w:tr w:rsidR="000C6867" w:rsidRPr="00CE2C38" w14:paraId="68B5694D" w14:textId="77777777" w:rsidTr="000C6867">
        <w:trPr>
          <w:cantSplit/>
        </w:trPr>
        <w:tc>
          <w:tcPr>
            <w:tcW w:w="769" w:type="pct"/>
          </w:tcPr>
          <w:p w14:paraId="5173C310" w14:textId="4921B408" w:rsidR="00CE2C38" w:rsidRPr="00CE2C38" w:rsidRDefault="000C6867" w:rsidP="00E93CE3">
            <w:pPr>
              <w:keepNext/>
              <w:spacing w:line="360" w:lineRule="auto"/>
              <w:ind w:firstLine="0"/>
            </w:pPr>
            <w:r>
              <w:t>M4</w:t>
            </w:r>
          </w:p>
        </w:tc>
        <w:tc>
          <w:tcPr>
            <w:tcW w:w="705" w:type="pct"/>
            <w:vAlign w:val="bottom"/>
          </w:tcPr>
          <w:p w14:paraId="610F141A" w14:textId="77777777" w:rsidR="00CE2C38" w:rsidRPr="00CE2C38" w:rsidRDefault="00CE2C38" w:rsidP="00E93CE3">
            <w:pPr>
              <w:keepNext/>
              <w:spacing w:line="360" w:lineRule="auto"/>
              <w:ind w:firstLine="0"/>
              <w:jc w:val="center"/>
            </w:pPr>
            <w:r w:rsidRPr="00CE2C38">
              <w:t>0.453</w:t>
            </w:r>
          </w:p>
        </w:tc>
        <w:tc>
          <w:tcPr>
            <w:tcW w:w="705" w:type="pct"/>
            <w:vAlign w:val="bottom"/>
          </w:tcPr>
          <w:p w14:paraId="1A831ABD" w14:textId="77777777" w:rsidR="00CE2C38" w:rsidRPr="00CE2C38" w:rsidRDefault="00CE2C38" w:rsidP="00E93CE3">
            <w:pPr>
              <w:keepNext/>
              <w:spacing w:line="360" w:lineRule="auto"/>
              <w:ind w:firstLine="0"/>
              <w:jc w:val="center"/>
            </w:pPr>
            <w:r w:rsidRPr="00CE2C38">
              <w:t>0.475</w:t>
            </w:r>
          </w:p>
        </w:tc>
        <w:tc>
          <w:tcPr>
            <w:tcW w:w="705" w:type="pct"/>
            <w:vAlign w:val="bottom"/>
          </w:tcPr>
          <w:p w14:paraId="32A590B7" w14:textId="77777777" w:rsidR="00CE2C38" w:rsidRPr="00CE2C38" w:rsidRDefault="00CE2C38" w:rsidP="00E93CE3">
            <w:pPr>
              <w:keepNext/>
              <w:spacing w:line="360" w:lineRule="auto"/>
              <w:ind w:firstLine="0"/>
              <w:jc w:val="center"/>
            </w:pPr>
            <w:r w:rsidRPr="00CE2C38">
              <w:t>0.351</w:t>
            </w:r>
          </w:p>
        </w:tc>
        <w:tc>
          <w:tcPr>
            <w:tcW w:w="705" w:type="pct"/>
            <w:vAlign w:val="bottom"/>
          </w:tcPr>
          <w:p w14:paraId="14AD7DF9" w14:textId="77777777" w:rsidR="00CE2C38" w:rsidRPr="00CE2C38" w:rsidRDefault="00CE2C38" w:rsidP="00E93CE3">
            <w:pPr>
              <w:keepNext/>
              <w:spacing w:line="360" w:lineRule="auto"/>
              <w:ind w:firstLine="0"/>
              <w:jc w:val="center"/>
            </w:pPr>
            <w:r w:rsidRPr="00CE2C38">
              <w:t>0.451</w:t>
            </w:r>
          </w:p>
        </w:tc>
        <w:tc>
          <w:tcPr>
            <w:tcW w:w="705" w:type="pct"/>
            <w:vAlign w:val="bottom"/>
          </w:tcPr>
          <w:p w14:paraId="5EC6637E" w14:textId="77777777" w:rsidR="00CE2C38" w:rsidRPr="00CE2C38" w:rsidRDefault="00CE2C38" w:rsidP="00E93CE3">
            <w:pPr>
              <w:keepNext/>
              <w:spacing w:line="360" w:lineRule="auto"/>
              <w:ind w:firstLine="0"/>
              <w:jc w:val="center"/>
            </w:pPr>
            <w:r w:rsidRPr="00CE2C38">
              <w:t>0.472</w:t>
            </w:r>
          </w:p>
        </w:tc>
        <w:tc>
          <w:tcPr>
            <w:tcW w:w="705" w:type="pct"/>
            <w:vAlign w:val="bottom"/>
          </w:tcPr>
          <w:p w14:paraId="7BE3AECA" w14:textId="77777777" w:rsidR="00CE2C38" w:rsidRPr="00CE2C38" w:rsidRDefault="00CE2C38" w:rsidP="00E93CE3">
            <w:pPr>
              <w:keepNext/>
              <w:spacing w:line="360" w:lineRule="auto"/>
              <w:ind w:firstLine="0"/>
              <w:jc w:val="center"/>
            </w:pPr>
            <w:r w:rsidRPr="00CE2C38">
              <w:t>0.348</w:t>
            </w:r>
          </w:p>
        </w:tc>
      </w:tr>
      <w:tr w:rsidR="000C6867" w:rsidRPr="00CE2C38" w14:paraId="1C1EB404" w14:textId="77777777" w:rsidTr="00DD33F5">
        <w:trPr>
          <w:cantSplit/>
        </w:trPr>
        <w:tc>
          <w:tcPr>
            <w:tcW w:w="769" w:type="pct"/>
          </w:tcPr>
          <w:p w14:paraId="12959ACC" w14:textId="1FCA9106" w:rsidR="00CE2C38" w:rsidRPr="00CE2C38" w:rsidRDefault="000C6867" w:rsidP="00E93CE3">
            <w:pPr>
              <w:keepNext/>
              <w:spacing w:line="360" w:lineRule="auto"/>
              <w:ind w:firstLine="0"/>
            </w:pPr>
            <w:r>
              <w:t>M5</w:t>
            </w:r>
          </w:p>
        </w:tc>
        <w:tc>
          <w:tcPr>
            <w:tcW w:w="705" w:type="pct"/>
            <w:vAlign w:val="bottom"/>
          </w:tcPr>
          <w:p w14:paraId="10604633" w14:textId="77777777" w:rsidR="00CE2C38" w:rsidRPr="00CE2C38" w:rsidRDefault="00CE2C38" w:rsidP="00E93CE3">
            <w:pPr>
              <w:keepNext/>
              <w:spacing w:line="360" w:lineRule="auto"/>
              <w:ind w:firstLine="0"/>
              <w:jc w:val="center"/>
            </w:pPr>
            <w:r w:rsidRPr="00CE2C38">
              <w:t>0.400</w:t>
            </w:r>
          </w:p>
        </w:tc>
        <w:tc>
          <w:tcPr>
            <w:tcW w:w="705" w:type="pct"/>
            <w:vAlign w:val="bottom"/>
          </w:tcPr>
          <w:p w14:paraId="5871CDF2" w14:textId="77777777" w:rsidR="00CE2C38" w:rsidRPr="00CE2C38" w:rsidRDefault="00CE2C38" w:rsidP="00E93CE3">
            <w:pPr>
              <w:keepNext/>
              <w:spacing w:line="360" w:lineRule="auto"/>
              <w:ind w:firstLine="0"/>
              <w:jc w:val="center"/>
            </w:pPr>
            <w:r w:rsidRPr="00CE2C38">
              <w:t>0.416</w:t>
            </w:r>
          </w:p>
        </w:tc>
        <w:tc>
          <w:tcPr>
            <w:tcW w:w="705" w:type="pct"/>
            <w:vAlign w:val="bottom"/>
          </w:tcPr>
          <w:p w14:paraId="20F69854" w14:textId="77777777" w:rsidR="00CE2C38" w:rsidRPr="00CE2C38" w:rsidRDefault="00CE2C38" w:rsidP="00E93CE3">
            <w:pPr>
              <w:keepNext/>
              <w:spacing w:line="360" w:lineRule="auto"/>
              <w:ind w:firstLine="0"/>
              <w:jc w:val="center"/>
            </w:pPr>
            <w:r w:rsidRPr="00CE2C38">
              <w:t>0.321</w:t>
            </w:r>
          </w:p>
        </w:tc>
        <w:tc>
          <w:tcPr>
            <w:tcW w:w="705" w:type="pct"/>
            <w:vAlign w:val="bottom"/>
          </w:tcPr>
          <w:p w14:paraId="2F3E9912" w14:textId="77777777" w:rsidR="00CE2C38" w:rsidRPr="00CE2C38" w:rsidRDefault="00CE2C38" w:rsidP="00E93CE3">
            <w:pPr>
              <w:keepNext/>
              <w:spacing w:line="360" w:lineRule="auto"/>
              <w:ind w:firstLine="0"/>
              <w:jc w:val="center"/>
            </w:pPr>
            <w:r w:rsidRPr="00CE2C38">
              <w:t>0.400</w:t>
            </w:r>
          </w:p>
        </w:tc>
        <w:tc>
          <w:tcPr>
            <w:tcW w:w="705" w:type="pct"/>
            <w:vAlign w:val="bottom"/>
          </w:tcPr>
          <w:p w14:paraId="0F83171E" w14:textId="77777777" w:rsidR="00CE2C38" w:rsidRPr="00CE2C38" w:rsidRDefault="00CE2C38" w:rsidP="00E93CE3">
            <w:pPr>
              <w:keepNext/>
              <w:spacing w:line="360" w:lineRule="auto"/>
              <w:ind w:firstLine="0"/>
              <w:jc w:val="center"/>
            </w:pPr>
            <w:r w:rsidRPr="00CE2C38">
              <w:t>0.410</w:t>
            </w:r>
          </w:p>
        </w:tc>
        <w:tc>
          <w:tcPr>
            <w:tcW w:w="705" w:type="pct"/>
            <w:vAlign w:val="bottom"/>
          </w:tcPr>
          <w:p w14:paraId="331A89A1" w14:textId="77777777" w:rsidR="00CE2C38" w:rsidRPr="00CE2C38" w:rsidRDefault="00CE2C38" w:rsidP="00E93CE3">
            <w:pPr>
              <w:keepNext/>
              <w:spacing w:line="360" w:lineRule="auto"/>
              <w:ind w:firstLine="0"/>
              <w:jc w:val="center"/>
            </w:pPr>
            <w:r w:rsidRPr="00CE2C38">
              <w:t>0.324</w:t>
            </w:r>
          </w:p>
        </w:tc>
      </w:tr>
      <w:tr w:rsidR="000C6867" w:rsidRPr="00CE2C38" w14:paraId="68E46C9C" w14:textId="77777777" w:rsidTr="00DD33F5">
        <w:trPr>
          <w:cantSplit/>
        </w:trPr>
        <w:tc>
          <w:tcPr>
            <w:tcW w:w="769" w:type="pct"/>
            <w:tcBorders>
              <w:bottom w:val="single" w:sz="4" w:space="0" w:color="auto"/>
            </w:tcBorders>
          </w:tcPr>
          <w:p w14:paraId="60ECBEB7" w14:textId="29BC807A" w:rsidR="00CE2C38" w:rsidRPr="00CE2C38" w:rsidRDefault="000C6867" w:rsidP="00E93CE3">
            <w:pPr>
              <w:keepNext/>
              <w:spacing w:line="360" w:lineRule="auto"/>
              <w:ind w:firstLine="0"/>
            </w:pPr>
            <w:r>
              <w:t>M6</w:t>
            </w:r>
          </w:p>
        </w:tc>
        <w:tc>
          <w:tcPr>
            <w:tcW w:w="705" w:type="pct"/>
            <w:tcBorders>
              <w:bottom w:val="single" w:sz="4" w:space="0" w:color="auto"/>
            </w:tcBorders>
            <w:vAlign w:val="bottom"/>
          </w:tcPr>
          <w:p w14:paraId="755D5455" w14:textId="77777777" w:rsidR="00CE2C38" w:rsidRPr="00CE2C38" w:rsidRDefault="00CE2C38" w:rsidP="00E93CE3">
            <w:pPr>
              <w:keepNext/>
              <w:spacing w:line="360" w:lineRule="auto"/>
              <w:ind w:firstLine="0"/>
              <w:jc w:val="center"/>
            </w:pPr>
            <w:r w:rsidRPr="00CE2C38">
              <w:t>0.613</w:t>
            </w:r>
          </w:p>
        </w:tc>
        <w:tc>
          <w:tcPr>
            <w:tcW w:w="705" w:type="pct"/>
            <w:tcBorders>
              <w:bottom w:val="single" w:sz="4" w:space="0" w:color="auto"/>
            </w:tcBorders>
            <w:vAlign w:val="bottom"/>
          </w:tcPr>
          <w:p w14:paraId="187949A0" w14:textId="77777777" w:rsidR="00CE2C38" w:rsidRPr="00CE2C38" w:rsidRDefault="00CE2C38" w:rsidP="00E93CE3">
            <w:pPr>
              <w:keepNext/>
              <w:spacing w:line="360" w:lineRule="auto"/>
              <w:ind w:firstLine="0"/>
              <w:jc w:val="center"/>
            </w:pPr>
            <w:r w:rsidRPr="00CE2C38">
              <w:t>0.339</w:t>
            </w:r>
          </w:p>
        </w:tc>
        <w:tc>
          <w:tcPr>
            <w:tcW w:w="705" w:type="pct"/>
            <w:tcBorders>
              <w:bottom w:val="single" w:sz="4" w:space="0" w:color="auto"/>
            </w:tcBorders>
            <w:vAlign w:val="bottom"/>
          </w:tcPr>
          <w:p w14:paraId="000A45A3" w14:textId="77777777" w:rsidR="00CE2C38" w:rsidRPr="00CE2C38" w:rsidRDefault="00CE2C38" w:rsidP="00E93CE3">
            <w:pPr>
              <w:keepNext/>
              <w:spacing w:line="360" w:lineRule="auto"/>
              <w:ind w:firstLine="0"/>
              <w:jc w:val="center"/>
            </w:pPr>
            <w:r w:rsidRPr="00CE2C38">
              <w:t>0.321</w:t>
            </w:r>
          </w:p>
        </w:tc>
        <w:tc>
          <w:tcPr>
            <w:tcW w:w="705" w:type="pct"/>
            <w:tcBorders>
              <w:bottom w:val="single" w:sz="4" w:space="0" w:color="auto"/>
            </w:tcBorders>
            <w:vAlign w:val="bottom"/>
          </w:tcPr>
          <w:p w14:paraId="251E2EC5" w14:textId="77777777" w:rsidR="00CE2C38" w:rsidRPr="00CE2C38" w:rsidRDefault="00CE2C38" w:rsidP="00E93CE3">
            <w:pPr>
              <w:keepNext/>
              <w:spacing w:line="360" w:lineRule="auto"/>
              <w:ind w:firstLine="0"/>
              <w:jc w:val="center"/>
            </w:pPr>
            <w:r w:rsidRPr="00CE2C38">
              <w:t>0.608</w:t>
            </w:r>
          </w:p>
        </w:tc>
        <w:tc>
          <w:tcPr>
            <w:tcW w:w="705" w:type="pct"/>
            <w:tcBorders>
              <w:bottom w:val="single" w:sz="4" w:space="0" w:color="auto"/>
            </w:tcBorders>
            <w:vAlign w:val="bottom"/>
          </w:tcPr>
          <w:p w14:paraId="11F50A05" w14:textId="77777777" w:rsidR="00CE2C38" w:rsidRPr="00CE2C38" w:rsidRDefault="00CE2C38" w:rsidP="00E93CE3">
            <w:pPr>
              <w:keepNext/>
              <w:spacing w:line="360" w:lineRule="auto"/>
              <w:ind w:firstLine="0"/>
              <w:jc w:val="center"/>
            </w:pPr>
            <w:r w:rsidRPr="00CE2C38">
              <w:t>0.336</w:t>
            </w:r>
          </w:p>
        </w:tc>
        <w:tc>
          <w:tcPr>
            <w:tcW w:w="705" w:type="pct"/>
            <w:tcBorders>
              <w:bottom w:val="single" w:sz="4" w:space="0" w:color="auto"/>
            </w:tcBorders>
            <w:vAlign w:val="bottom"/>
          </w:tcPr>
          <w:p w14:paraId="008E29C0" w14:textId="77777777" w:rsidR="00CE2C38" w:rsidRPr="00CE2C38" w:rsidRDefault="00CE2C38" w:rsidP="00E93CE3">
            <w:pPr>
              <w:keepNext/>
              <w:spacing w:line="360" w:lineRule="auto"/>
              <w:ind w:firstLine="0"/>
              <w:jc w:val="center"/>
            </w:pPr>
            <w:r w:rsidRPr="00CE2C38">
              <w:t>0.324</w:t>
            </w:r>
          </w:p>
        </w:tc>
      </w:tr>
    </w:tbl>
    <w:p w14:paraId="771ECBB7" w14:textId="77777777" w:rsidR="00CE2C38" w:rsidRPr="00E33D68" w:rsidRDefault="00CE2C38" w:rsidP="00E33D68">
      <w:pPr>
        <w:ind w:firstLine="0"/>
      </w:pPr>
    </w:p>
    <w:sectPr w:rsidR="00CE2C38" w:rsidRPr="00E33D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6367D" w14:textId="77777777" w:rsidR="006A54F1" w:rsidRDefault="006A54F1" w:rsidP="00A22A32">
      <w:pPr>
        <w:spacing w:line="240" w:lineRule="auto"/>
      </w:pPr>
      <w:r>
        <w:separator/>
      </w:r>
    </w:p>
  </w:endnote>
  <w:endnote w:type="continuationSeparator" w:id="0">
    <w:p w14:paraId="6C63EDCB" w14:textId="77777777" w:rsidR="006A54F1" w:rsidRDefault="006A54F1"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94D05" w14:textId="77777777" w:rsidR="006A54F1" w:rsidRDefault="006A54F1" w:rsidP="00A22A32">
      <w:pPr>
        <w:spacing w:line="240" w:lineRule="auto"/>
      </w:pPr>
      <w:r>
        <w:separator/>
      </w:r>
    </w:p>
  </w:footnote>
  <w:footnote w:type="continuationSeparator" w:id="0">
    <w:p w14:paraId="6D9FF72B" w14:textId="77777777" w:rsidR="006A54F1" w:rsidRDefault="006A54F1"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18494" w14:textId="3315B9D2" w:rsidR="000E0286" w:rsidRDefault="000E0286" w:rsidP="00A22A32">
    <w:pPr>
      <w:pStyle w:val="Header"/>
      <w:ind w:firstLine="0"/>
      <w:jc w:val="right"/>
    </w:pPr>
    <w:r>
      <w:tab/>
    </w:r>
    <w:r>
      <w:tab/>
    </w:r>
    <w:sdt>
      <w:sdtPr>
        <w:id w:val="-1480924818"/>
        <w:docPartObj>
          <w:docPartGallery w:val="Page Numbers (Top of Page)"/>
          <w:docPartUnique/>
        </w:docPartObj>
      </w:sdtPr>
      <w:sdtEndPr/>
      <w:sdtContent>
        <w:r>
          <w:fldChar w:fldCharType="begin"/>
        </w:r>
        <w:r>
          <w:instrText>PAGE   \* MERGEFORMAT</w:instrText>
        </w:r>
        <w:r>
          <w:fldChar w:fldCharType="separate"/>
        </w:r>
        <w:r w:rsidR="005B000C" w:rsidRPr="005B000C">
          <w:rPr>
            <w:noProof/>
            <w:lang w:val="nl-NL"/>
          </w:rPr>
          <w:t>1</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AA6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6ADA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C067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F6C4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D0F9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28D6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3E8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3472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83E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CA"/>
    <w:rsid w:val="000036E4"/>
    <w:rsid w:val="00006E0D"/>
    <w:rsid w:val="00011E8A"/>
    <w:rsid w:val="00016965"/>
    <w:rsid w:val="00046ED2"/>
    <w:rsid w:val="000517E5"/>
    <w:rsid w:val="00060DD0"/>
    <w:rsid w:val="00066A72"/>
    <w:rsid w:val="00071366"/>
    <w:rsid w:val="00093A07"/>
    <w:rsid w:val="000B1B2E"/>
    <w:rsid w:val="000C6849"/>
    <w:rsid w:val="000C6867"/>
    <w:rsid w:val="000D0949"/>
    <w:rsid w:val="000D167F"/>
    <w:rsid w:val="000E0286"/>
    <w:rsid w:val="000E0D26"/>
    <w:rsid w:val="000E5314"/>
    <w:rsid w:val="000E79FA"/>
    <w:rsid w:val="000F5BC8"/>
    <w:rsid w:val="000F6420"/>
    <w:rsid w:val="000F6500"/>
    <w:rsid w:val="00114DC6"/>
    <w:rsid w:val="00117442"/>
    <w:rsid w:val="0012368B"/>
    <w:rsid w:val="00126DA2"/>
    <w:rsid w:val="001319C8"/>
    <w:rsid w:val="001460B0"/>
    <w:rsid w:val="001607FD"/>
    <w:rsid w:val="00185709"/>
    <w:rsid w:val="00190458"/>
    <w:rsid w:val="0019563B"/>
    <w:rsid w:val="001B1191"/>
    <w:rsid w:val="001B1DC2"/>
    <w:rsid w:val="001B56BE"/>
    <w:rsid w:val="001C2E22"/>
    <w:rsid w:val="001C4342"/>
    <w:rsid w:val="001C6D6D"/>
    <w:rsid w:val="001E04BA"/>
    <w:rsid w:val="001F3DD2"/>
    <w:rsid w:val="001F72D3"/>
    <w:rsid w:val="00204C74"/>
    <w:rsid w:val="00216071"/>
    <w:rsid w:val="002349C0"/>
    <w:rsid w:val="00243DCA"/>
    <w:rsid w:val="00247904"/>
    <w:rsid w:val="00265F03"/>
    <w:rsid w:val="0027689A"/>
    <w:rsid w:val="00282647"/>
    <w:rsid w:val="002831F3"/>
    <w:rsid w:val="00292E32"/>
    <w:rsid w:val="00293E7C"/>
    <w:rsid w:val="00297AEE"/>
    <w:rsid w:val="002B0355"/>
    <w:rsid w:val="002B0ADE"/>
    <w:rsid w:val="002B0DAF"/>
    <w:rsid w:val="002B5981"/>
    <w:rsid w:val="002C576A"/>
    <w:rsid w:val="002C79D3"/>
    <w:rsid w:val="002F1F72"/>
    <w:rsid w:val="003070BA"/>
    <w:rsid w:val="0031109E"/>
    <w:rsid w:val="00312A96"/>
    <w:rsid w:val="003146C1"/>
    <w:rsid w:val="0032012D"/>
    <w:rsid w:val="00321A4B"/>
    <w:rsid w:val="00323065"/>
    <w:rsid w:val="00332919"/>
    <w:rsid w:val="00351629"/>
    <w:rsid w:val="0035638D"/>
    <w:rsid w:val="00360112"/>
    <w:rsid w:val="00360322"/>
    <w:rsid w:val="0036146D"/>
    <w:rsid w:val="00367F15"/>
    <w:rsid w:val="00372543"/>
    <w:rsid w:val="00376F86"/>
    <w:rsid w:val="00380FD1"/>
    <w:rsid w:val="0038222D"/>
    <w:rsid w:val="003830F1"/>
    <w:rsid w:val="00384D47"/>
    <w:rsid w:val="00396096"/>
    <w:rsid w:val="003A55C4"/>
    <w:rsid w:val="003A6BFC"/>
    <w:rsid w:val="003B0564"/>
    <w:rsid w:val="003B4801"/>
    <w:rsid w:val="003C625C"/>
    <w:rsid w:val="003E10BB"/>
    <w:rsid w:val="003F5F20"/>
    <w:rsid w:val="00411E27"/>
    <w:rsid w:val="00413D17"/>
    <w:rsid w:val="004164B1"/>
    <w:rsid w:val="00427A21"/>
    <w:rsid w:val="00435729"/>
    <w:rsid w:val="00436934"/>
    <w:rsid w:val="00445201"/>
    <w:rsid w:val="00445289"/>
    <w:rsid w:val="0044681E"/>
    <w:rsid w:val="004508B5"/>
    <w:rsid w:val="0045562D"/>
    <w:rsid w:val="00457A7A"/>
    <w:rsid w:val="004603C4"/>
    <w:rsid w:val="00463F74"/>
    <w:rsid w:val="004662F6"/>
    <w:rsid w:val="004703E0"/>
    <w:rsid w:val="004A7BA6"/>
    <w:rsid w:val="004A7C05"/>
    <w:rsid w:val="004B0995"/>
    <w:rsid w:val="004B38E9"/>
    <w:rsid w:val="004B6BD5"/>
    <w:rsid w:val="004C0852"/>
    <w:rsid w:val="004C6220"/>
    <w:rsid w:val="004C6737"/>
    <w:rsid w:val="004C706D"/>
    <w:rsid w:val="004D675C"/>
    <w:rsid w:val="004E3374"/>
    <w:rsid w:val="004E4683"/>
    <w:rsid w:val="004F1009"/>
    <w:rsid w:val="00504138"/>
    <w:rsid w:val="00507CE9"/>
    <w:rsid w:val="00512032"/>
    <w:rsid w:val="0051241F"/>
    <w:rsid w:val="005141E1"/>
    <w:rsid w:val="0052234B"/>
    <w:rsid w:val="005309BA"/>
    <w:rsid w:val="0054015B"/>
    <w:rsid w:val="005405AE"/>
    <w:rsid w:val="00546760"/>
    <w:rsid w:val="00553535"/>
    <w:rsid w:val="005632CA"/>
    <w:rsid w:val="00564AF2"/>
    <w:rsid w:val="005763BA"/>
    <w:rsid w:val="005813E5"/>
    <w:rsid w:val="00582754"/>
    <w:rsid w:val="005900E6"/>
    <w:rsid w:val="00593070"/>
    <w:rsid w:val="005B000C"/>
    <w:rsid w:val="005B06AD"/>
    <w:rsid w:val="005B56B7"/>
    <w:rsid w:val="005C08FA"/>
    <w:rsid w:val="005E03B6"/>
    <w:rsid w:val="005E4D00"/>
    <w:rsid w:val="0060509C"/>
    <w:rsid w:val="006063EA"/>
    <w:rsid w:val="00622F01"/>
    <w:rsid w:val="006316CA"/>
    <w:rsid w:val="00632572"/>
    <w:rsid w:val="0064316C"/>
    <w:rsid w:val="00643A72"/>
    <w:rsid w:val="00655069"/>
    <w:rsid w:val="00660F6F"/>
    <w:rsid w:val="00664398"/>
    <w:rsid w:val="0068659F"/>
    <w:rsid w:val="00690FAB"/>
    <w:rsid w:val="006A54F1"/>
    <w:rsid w:val="006A5B57"/>
    <w:rsid w:val="006C1A22"/>
    <w:rsid w:val="006F09C0"/>
    <w:rsid w:val="006F6EEA"/>
    <w:rsid w:val="006F78F7"/>
    <w:rsid w:val="00703B38"/>
    <w:rsid w:val="0070405D"/>
    <w:rsid w:val="00706A6F"/>
    <w:rsid w:val="007253FC"/>
    <w:rsid w:val="00731DF4"/>
    <w:rsid w:val="00734D2C"/>
    <w:rsid w:val="00737A5D"/>
    <w:rsid w:val="0074521A"/>
    <w:rsid w:val="00756304"/>
    <w:rsid w:val="00757DF2"/>
    <w:rsid w:val="00760686"/>
    <w:rsid w:val="00761FF8"/>
    <w:rsid w:val="00762C65"/>
    <w:rsid w:val="00765E49"/>
    <w:rsid w:val="007715B5"/>
    <w:rsid w:val="007744B7"/>
    <w:rsid w:val="007814F1"/>
    <w:rsid w:val="00785544"/>
    <w:rsid w:val="007901EE"/>
    <w:rsid w:val="007943AB"/>
    <w:rsid w:val="00797206"/>
    <w:rsid w:val="007A1A8F"/>
    <w:rsid w:val="007B1583"/>
    <w:rsid w:val="007B4DA8"/>
    <w:rsid w:val="007B72DC"/>
    <w:rsid w:val="007C06FE"/>
    <w:rsid w:val="007C2549"/>
    <w:rsid w:val="007C79BD"/>
    <w:rsid w:val="007D24D7"/>
    <w:rsid w:val="007D3146"/>
    <w:rsid w:val="007D6CE7"/>
    <w:rsid w:val="007E2989"/>
    <w:rsid w:val="007E63EF"/>
    <w:rsid w:val="00803EDD"/>
    <w:rsid w:val="00806EC0"/>
    <w:rsid w:val="00817094"/>
    <w:rsid w:val="008221AB"/>
    <w:rsid w:val="00822D77"/>
    <w:rsid w:val="00823918"/>
    <w:rsid w:val="008263D0"/>
    <w:rsid w:val="00827847"/>
    <w:rsid w:val="00833C87"/>
    <w:rsid w:val="00834DA9"/>
    <w:rsid w:val="00834E7F"/>
    <w:rsid w:val="00835321"/>
    <w:rsid w:val="00836711"/>
    <w:rsid w:val="00844C5F"/>
    <w:rsid w:val="00847367"/>
    <w:rsid w:val="00853866"/>
    <w:rsid w:val="008565CC"/>
    <w:rsid w:val="00862269"/>
    <w:rsid w:val="00870E2B"/>
    <w:rsid w:val="00873D3A"/>
    <w:rsid w:val="008801F2"/>
    <w:rsid w:val="00884B0F"/>
    <w:rsid w:val="00891C44"/>
    <w:rsid w:val="0089257B"/>
    <w:rsid w:val="008A0AD0"/>
    <w:rsid w:val="008A629F"/>
    <w:rsid w:val="008A6EDA"/>
    <w:rsid w:val="008B3D2F"/>
    <w:rsid w:val="008B58AF"/>
    <w:rsid w:val="008C3545"/>
    <w:rsid w:val="008C4F01"/>
    <w:rsid w:val="008D4E76"/>
    <w:rsid w:val="008D52FB"/>
    <w:rsid w:val="008E383D"/>
    <w:rsid w:val="008F51D4"/>
    <w:rsid w:val="00915CA4"/>
    <w:rsid w:val="00927142"/>
    <w:rsid w:val="0093594C"/>
    <w:rsid w:val="00937EFC"/>
    <w:rsid w:val="00950137"/>
    <w:rsid w:val="00962B11"/>
    <w:rsid w:val="00970F97"/>
    <w:rsid w:val="009770A7"/>
    <w:rsid w:val="009851BC"/>
    <w:rsid w:val="0098552A"/>
    <w:rsid w:val="00990379"/>
    <w:rsid w:val="00995AB6"/>
    <w:rsid w:val="009A18F9"/>
    <w:rsid w:val="009A6872"/>
    <w:rsid w:val="009B232C"/>
    <w:rsid w:val="009C64CD"/>
    <w:rsid w:val="009C74DA"/>
    <w:rsid w:val="009D3EF7"/>
    <w:rsid w:val="009F0C14"/>
    <w:rsid w:val="009F7B1C"/>
    <w:rsid w:val="00A01F9E"/>
    <w:rsid w:val="00A16624"/>
    <w:rsid w:val="00A211E1"/>
    <w:rsid w:val="00A22A32"/>
    <w:rsid w:val="00A325DD"/>
    <w:rsid w:val="00A45E22"/>
    <w:rsid w:val="00A535DF"/>
    <w:rsid w:val="00A5701C"/>
    <w:rsid w:val="00A85945"/>
    <w:rsid w:val="00A86967"/>
    <w:rsid w:val="00A96501"/>
    <w:rsid w:val="00A972C0"/>
    <w:rsid w:val="00AA7E52"/>
    <w:rsid w:val="00AC57A0"/>
    <w:rsid w:val="00AC5B94"/>
    <w:rsid w:val="00AE3B5B"/>
    <w:rsid w:val="00AF5EBA"/>
    <w:rsid w:val="00B12472"/>
    <w:rsid w:val="00B13425"/>
    <w:rsid w:val="00B2259A"/>
    <w:rsid w:val="00B24280"/>
    <w:rsid w:val="00B24DCE"/>
    <w:rsid w:val="00B279A8"/>
    <w:rsid w:val="00B30E9C"/>
    <w:rsid w:val="00B318E5"/>
    <w:rsid w:val="00B4483A"/>
    <w:rsid w:val="00B4687F"/>
    <w:rsid w:val="00B50DE0"/>
    <w:rsid w:val="00B53E38"/>
    <w:rsid w:val="00B54EB6"/>
    <w:rsid w:val="00B55133"/>
    <w:rsid w:val="00B56985"/>
    <w:rsid w:val="00B85380"/>
    <w:rsid w:val="00B86CB9"/>
    <w:rsid w:val="00B9482C"/>
    <w:rsid w:val="00B96704"/>
    <w:rsid w:val="00BA183E"/>
    <w:rsid w:val="00BB06F1"/>
    <w:rsid w:val="00BB6430"/>
    <w:rsid w:val="00BC368D"/>
    <w:rsid w:val="00BD63BB"/>
    <w:rsid w:val="00BF2B81"/>
    <w:rsid w:val="00BF541C"/>
    <w:rsid w:val="00C02289"/>
    <w:rsid w:val="00C0408F"/>
    <w:rsid w:val="00C07450"/>
    <w:rsid w:val="00C146FB"/>
    <w:rsid w:val="00C15701"/>
    <w:rsid w:val="00C22C23"/>
    <w:rsid w:val="00C355CE"/>
    <w:rsid w:val="00C377CE"/>
    <w:rsid w:val="00C5046D"/>
    <w:rsid w:val="00C542D5"/>
    <w:rsid w:val="00C56799"/>
    <w:rsid w:val="00C63C93"/>
    <w:rsid w:val="00C71361"/>
    <w:rsid w:val="00C76900"/>
    <w:rsid w:val="00C83904"/>
    <w:rsid w:val="00C8533F"/>
    <w:rsid w:val="00CA515E"/>
    <w:rsid w:val="00CB7AF7"/>
    <w:rsid w:val="00CC077D"/>
    <w:rsid w:val="00CD34BF"/>
    <w:rsid w:val="00CD567B"/>
    <w:rsid w:val="00CE08D7"/>
    <w:rsid w:val="00CE1DFE"/>
    <w:rsid w:val="00CE2C38"/>
    <w:rsid w:val="00CF1134"/>
    <w:rsid w:val="00CF3BFE"/>
    <w:rsid w:val="00CF4540"/>
    <w:rsid w:val="00D03925"/>
    <w:rsid w:val="00D12343"/>
    <w:rsid w:val="00D31E83"/>
    <w:rsid w:val="00D31E9D"/>
    <w:rsid w:val="00D34AA6"/>
    <w:rsid w:val="00D57EB1"/>
    <w:rsid w:val="00D719F6"/>
    <w:rsid w:val="00D71D27"/>
    <w:rsid w:val="00D71D7C"/>
    <w:rsid w:val="00D83FCE"/>
    <w:rsid w:val="00D941EA"/>
    <w:rsid w:val="00D96FD7"/>
    <w:rsid w:val="00DC1025"/>
    <w:rsid w:val="00DC7609"/>
    <w:rsid w:val="00DD33F5"/>
    <w:rsid w:val="00DD4A8A"/>
    <w:rsid w:val="00DE2584"/>
    <w:rsid w:val="00DE5050"/>
    <w:rsid w:val="00DE5E9C"/>
    <w:rsid w:val="00DF4D3C"/>
    <w:rsid w:val="00E25267"/>
    <w:rsid w:val="00E30006"/>
    <w:rsid w:val="00E30F3D"/>
    <w:rsid w:val="00E33D68"/>
    <w:rsid w:val="00E33DF2"/>
    <w:rsid w:val="00E42C5C"/>
    <w:rsid w:val="00E4775A"/>
    <w:rsid w:val="00E567E3"/>
    <w:rsid w:val="00E66C0F"/>
    <w:rsid w:val="00E75F0D"/>
    <w:rsid w:val="00E8120D"/>
    <w:rsid w:val="00E82180"/>
    <w:rsid w:val="00E87AC9"/>
    <w:rsid w:val="00E93CE3"/>
    <w:rsid w:val="00E96872"/>
    <w:rsid w:val="00E9712A"/>
    <w:rsid w:val="00EA0298"/>
    <w:rsid w:val="00EB1A18"/>
    <w:rsid w:val="00EB5A67"/>
    <w:rsid w:val="00EC3D7E"/>
    <w:rsid w:val="00EC4E2D"/>
    <w:rsid w:val="00EE2516"/>
    <w:rsid w:val="00EE39BE"/>
    <w:rsid w:val="00EF50BE"/>
    <w:rsid w:val="00F006A7"/>
    <w:rsid w:val="00F01EAB"/>
    <w:rsid w:val="00F02280"/>
    <w:rsid w:val="00F04753"/>
    <w:rsid w:val="00F05836"/>
    <w:rsid w:val="00F20970"/>
    <w:rsid w:val="00F225FC"/>
    <w:rsid w:val="00F333A6"/>
    <w:rsid w:val="00F339E0"/>
    <w:rsid w:val="00F37869"/>
    <w:rsid w:val="00F45BB0"/>
    <w:rsid w:val="00F51FED"/>
    <w:rsid w:val="00F53A83"/>
    <w:rsid w:val="00F63685"/>
    <w:rsid w:val="00F716F5"/>
    <w:rsid w:val="00F76CDE"/>
    <w:rsid w:val="00F818FA"/>
    <w:rsid w:val="00F963B4"/>
    <w:rsid w:val="00F9679F"/>
    <w:rsid w:val="00F96836"/>
    <w:rsid w:val="00F97952"/>
    <w:rsid w:val="00FA683B"/>
    <w:rsid w:val="00FB1A06"/>
    <w:rsid w:val="00FB4275"/>
    <w:rsid w:val="00FB5813"/>
    <w:rsid w:val="00FC75E5"/>
    <w:rsid w:val="00FD0BE9"/>
    <w:rsid w:val="00FE7FEE"/>
    <w:rsid w:val="00FF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BalloonText">
    <w:name w:val="Balloon Text"/>
    <w:basedOn w:val="Normal"/>
    <w:link w:val="BalloonTextChar"/>
    <w:uiPriority w:val="99"/>
    <w:semiHidden/>
    <w:unhideWhenUsed/>
    <w:rsid w:val="00785544"/>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85544"/>
    <w:rPr>
      <w:rFonts w:ascii="Times New Roman" w:hAnsi="Times New Roman" w:cs="Times New Roman"/>
      <w:sz w:val="18"/>
      <w:szCs w:val="18"/>
    </w:rPr>
  </w:style>
  <w:style w:type="table" w:styleId="TableGrid">
    <w:name w:val="Table Grid"/>
    <w:basedOn w:val="TableNormal"/>
    <w:uiPriority w:val="39"/>
    <w:rsid w:val="00BC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7B4DA8"/>
    <w:pPr>
      <w:spacing w:after="120"/>
    </w:pPr>
  </w:style>
  <w:style w:type="character" w:customStyle="1" w:styleId="BodyTextChar">
    <w:name w:val="Body Text Char"/>
    <w:basedOn w:val="DefaultParagraphFont"/>
    <w:link w:val="BodyText"/>
    <w:uiPriority w:val="99"/>
    <w:rsid w:val="007B4DA8"/>
    <w:rPr>
      <w:rFonts w:ascii="Times New Roman" w:hAnsi="Times New Roman"/>
      <w:sz w:val="24"/>
    </w:rPr>
  </w:style>
  <w:style w:type="character" w:customStyle="1" w:styleId="VerbatimChar">
    <w:name w:val="Verbatim Char"/>
    <w:basedOn w:val="DefaultParagraphFont"/>
    <w:link w:val="SourceCode"/>
    <w:rsid w:val="007B4DA8"/>
    <w:rPr>
      <w:rFonts w:ascii="Consolas" w:hAnsi="Consolas"/>
      <w:shd w:val="clear" w:color="auto" w:fill="F8F8F8"/>
    </w:rPr>
  </w:style>
  <w:style w:type="paragraph" w:customStyle="1" w:styleId="SourceCode">
    <w:name w:val="Source Code"/>
    <w:basedOn w:val="Normal"/>
    <w:link w:val="VerbatimChar"/>
    <w:rsid w:val="007B4DA8"/>
    <w:pPr>
      <w:shd w:val="clear" w:color="auto" w:fill="F8F8F8"/>
      <w:wordWrap w:val="0"/>
      <w:spacing w:after="200" w:line="240" w:lineRule="auto"/>
      <w:ind w:firstLine="0"/>
    </w:pPr>
    <w:rPr>
      <w:rFonts w:ascii="Consolas" w:hAnsi="Consolas"/>
      <w:sz w:val="22"/>
    </w:rPr>
  </w:style>
  <w:style w:type="character" w:customStyle="1" w:styleId="KeywordTok">
    <w:name w:val="KeywordTok"/>
    <w:basedOn w:val="VerbatimChar"/>
    <w:rsid w:val="007B4DA8"/>
    <w:rPr>
      <w:rFonts w:ascii="Consolas" w:hAnsi="Consolas"/>
      <w:b/>
      <w:color w:val="204A87"/>
      <w:shd w:val="clear" w:color="auto" w:fill="F8F8F8"/>
    </w:rPr>
  </w:style>
  <w:style w:type="character" w:customStyle="1" w:styleId="StringTok">
    <w:name w:val="StringTok"/>
    <w:basedOn w:val="VerbatimChar"/>
    <w:rsid w:val="007B4DA8"/>
    <w:rPr>
      <w:rFonts w:ascii="Consolas" w:hAnsi="Consolas"/>
      <w:color w:val="4E9A06"/>
      <w:shd w:val="clear" w:color="auto" w:fill="F8F8F8"/>
    </w:rPr>
  </w:style>
  <w:style w:type="character" w:customStyle="1" w:styleId="NormalTok">
    <w:name w:val="NormalTok"/>
    <w:basedOn w:val="VerbatimChar"/>
    <w:rsid w:val="007B4DA8"/>
    <w:rPr>
      <w:rFonts w:ascii="Consolas" w:hAnsi="Consolas"/>
      <w:shd w:val="clear" w:color="auto" w:fill="F8F8F8"/>
    </w:rPr>
  </w:style>
  <w:style w:type="character" w:customStyle="1" w:styleId="DataTypeTok">
    <w:name w:val="DataTypeTok"/>
    <w:basedOn w:val="VerbatimChar"/>
    <w:rsid w:val="007B4DA8"/>
    <w:rPr>
      <w:rFonts w:ascii="Consolas" w:hAnsi="Consolas"/>
      <w:color w:val="204A87"/>
      <w:sz w:val="22"/>
      <w:shd w:val="clear" w:color="auto" w:fill="F8F8F8"/>
    </w:rPr>
  </w:style>
  <w:style w:type="character" w:customStyle="1" w:styleId="UnresolvedMention">
    <w:name w:val="Unresolved Mention"/>
    <w:basedOn w:val="DefaultParagraphFont"/>
    <w:uiPriority w:val="99"/>
    <w:semiHidden/>
    <w:unhideWhenUsed/>
    <w:rsid w:val="00185709"/>
    <w:rPr>
      <w:color w:val="605E5C"/>
      <w:shd w:val="clear" w:color="auto" w:fill="E1DFDD"/>
    </w:rPr>
  </w:style>
  <w:style w:type="character" w:styleId="FollowedHyperlink">
    <w:name w:val="FollowedHyperlink"/>
    <w:basedOn w:val="DefaultParagraphFont"/>
    <w:uiPriority w:val="99"/>
    <w:semiHidden/>
    <w:unhideWhenUsed/>
    <w:rsid w:val="00D71D27"/>
    <w:rPr>
      <w:color w:val="954F72" w:themeColor="followedHyperlink"/>
      <w:u w:val="single"/>
    </w:rPr>
  </w:style>
  <w:style w:type="character" w:customStyle="1" w:styleId="DecValTok">
    <w:name w:val="DecValTok"/>
    <w:basedOn w:val="VerbatimChar"/>
    <w:rsid w:val="00DE2584"/>
    <w:rPr>
      <w:rFonts w:ascii="Consolas" w:hAnsi="Consolas"/>
      <w:color w:val="0000CF"/>
      <w:sz w:val="22"/>
      <w:shd w:val="clear" w:color="auto" w:fill="F8F8F8"/>
    </w:rPr>
  </w:style>
  <w:style w:type="character" w:customStyle="1" w:styleId="FloatTok">
    <w:name w:val="FloatTok"/>
    <w:basedOn w:val="VerbatimChar"/>
    <w:rsid w:val="00DE2584"/>
    <w:rPr>
      <w:rFonts w:ascii="Consolas" w:hAnsi="Consolas"/>
      <w:color w:val="0000CF"/>
      <w:sz w:val="22"/>
      <w:shd w:val="clear" w:color="auto" w:fill="F8F8F8"/>
    </w:rPr>
  </w:style>
  <w:style w:type="character" w:customStyle="1" w:styleId="CommentTok">
    <w:name w:val="CommentTok"/>
    <w:basedOn w:val="VerbatimChar"/>
    <w:rsid w:val="00DE2584"/>
    <w:rPr>
      <w:rFonts w:ascii="Consolas" w:hAnsi="Consolas"/>
      <w:i/>
      <w:color w:val="8F5902"/>
      <w:sz w:val="22"/>
      <w:shd w:val="clear" w:color="auto" w:fill="F8F8F8"/>
    </w:rPr>
  </w:style>
  <w:style w:type="character" w:customStyle="1" w:styleId="OtherTok">
    <w:name w:val="OtherTok"/>
    <w:basedOn w:val="VerbatimChar"/>
    <w:rsid w:val="00DE2584"/>
    <w:rPr>
      <w:rFonts w:ascii="Consolas" w:hAnsi="Consolas"/>
      <w:color w:val="8F5902"/>
      <w:sz w:val="22"/>
      <w:shd w:val="clear" w:color="auto" w:fill="F8F8F8"/>
    </w:rPr>
  </w:style>
  <w:style w:type="character" w:customStyle="1" w:styleId="OperatorTok">
    <w:name w:val="OperatorTok"/>
    <w:basedOn w:val="VerbatimChar"/>
    <w:rsid w:val="00DE2584"/>
    <w:rPr>
      <w:rFonts w:ascii="Consolas" w:hAnsi="Consolas"/>
      <w:b/>
      <w:color w:val="CE5C00"/>
      <w:sz w:val="22"/>
      <w:shd w:val="clear" w:color="auto" w:fill="F8F8F8"/>
    </w:rPr>
  </w:style>
  <w:style w:type="character" w:styleId="PlaceholderText">
    <w:name w:val="Placeholder Text"/>
    <w:basedOn w:val="DefaultParagraphFont"/>
    <w:uiPriority w:val="99"/>
    <w:semiHidden/>
    <w:rsid w:val="008A0AD0"/>
    <w:rPr>
      <w:color w:val="808080"/>
    </w:rPr>
  </w:style>
  <w:style w:type="paragraph" w:styleId="NormalWeb">
    <w:name w:val="Normal (Web)"/>
    <w:basedOn w:val="Normal"/>
    <w:uiPriority w:val="99"/>
    <w:semiHidden/>
    <w:unhideWhenUsed/>
    <w:rsid w:val="00B30E9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8160">
      <w:bodyDiv w:val="1"/>
      <w:marLeft w:val="0"/>
      <w:marRight w:val="0"/>
      <w:marTop w:val="0"/>
      <w:marBottom w:val="0"/>
      <w:divBdr>
        <w:top w:val="none" w:sz="0" w:space="0" w:color="auto"/>
        <w:left w:val="none" w:sz="0" w:space="0" w:color="auto"/>
        <w:bottom w:val="none" w:sz="0" w:space="0" w:color="auto"/>
        <w:right w:val="none" w:sz="0" w:space="0" w:color="auto"/>
      </w:divBdr>
      <w:divsChild>
        <w:div w:id="1021706714">
          <w:marLeft w:val="0"/>
          <w:marRight w:val="0"/>
          <w:marTop w:val="0"/>
          <w:marBottom w:val="0"/>
          <w:divBdr>
            <w:top w:val="none" w:sz="0" w:space="0" w:color="auto"/>
            <w:left w:val="none" w:sz="0" w:space="0" w:color="auto"/>
            <w:bottom w:val="none" w:sz="0" w:space="0" w:color="auto"/>
            <w:right w:val="none" w:sz="0" w:space="0" w:color="auto"/>
          </w:divBdr>
          <w:divsChild>
            <w:div w:id="1597206180">
              <w:marLeft w:val="0"/>
              <w:marRight w:val="0"/>
              <w:marTop w:val="0"/>
              <w:marBottom w:val="0"/>
              <w:divBdr>
                <w:top w:val="none" w:sz="0" w:space="0" w:color="auto"/>
                <w:left w:val="none" w:sz="0" w:space="0" w:color="auto"/>
                <w:bottom w:val="none" w:sz="0" w:space="0" w:color="auto"/>
                <w:right w:val="none" w:sz="0" w:space="0" w:color="auto"/>
              </w:divBdr>
              <w:divsChild>
                <w:div w:id="1270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159152277">
      <w:bodyDiv w:val="1"/>
      <w:marLeft w:val="0"/>
      <w:marRight w:val="0"/>
      <w:marTop w:val="0"/>
      <w:marBottom w:val="0"/>
      <w:divBdr>
        <w:top w:val="none" w:sz="0" w:space="0" w:color="auto"/>
        <w:left w:val="none" w:sz="0" w:space="0" w:color="auto"/>
        <w:bottom w:val="none" w:sz="0" w:space="0" w:color="auto"/>
        <w:right w:val="none" w:sz="0" w:space="0" w:color="auto"/>
      </w:divBdr>
      <w:divsChild>
        <w:div w:id="1168256003">
          <w:marLeft w:val="0"/>
          <w:marRight w:val="0"/>
          <w:marTop w:val="0"/>
          <w:marBottom w:val="0"/>
          <w:divBdr>
            <w:top w:val="none" w:sz="0" w:space="0" w:color="auto"/>
            <w:left w:val="none" w:sz="0" w:space="0" w:color="auto"/>
            <w:bottom w:val="none" w:sz="0" w:space="0" w:color="auto"/>
            <w:right w:val="none" w:sz="0" w:space="0" w:color="auto"/>
          </w:divBdr>
          <w:divsChild>
            <w:div w:id="2118482954">
              <w:marLeft w:val="0"/>
              <w:marRight w:val="0"/>
              <w:marTop w:val="0"/>
              <w:marBottom w:val="0"/>
              <w:divBdr>
                <w:top w:val="none" w:sz="0" w:space="0" w:color="auto"/>
                <w:left w:val="none" w:sz="0" w:space="0" w:color="auto"/>
                <w:bottom w:val="none" w:sz="0" w:space="0" w:color="auto"/>
                <w:right w:val="none" w:sz="0" w:space="0" w:color="auto"/>
              </w:divBdr>
              <w:divsChild>
                <w:div w:id="877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46865">
      <w:bodyDiv w:val="1"/>
      <w:marLeft w:val="0"/>
      <w:marRight w:val="0"/>
      <w:marTop w:val="0"/>
      <w:marBottom w:val="0"/>
      <w:divBdr>
        <w:top w:val="none" w:sz="0" w:space="0" w:color="auto"/>
        <w:left w:val="none" w:sz="0" w:space="0" w:color="auto"/>
        <w:bottom w:val="none" w:sz="0" w:space="0" w:color="auto"/>
        <w:right w:val="none" w:sz="0" w:space="0" w:color="auto"/>
      </w:divBdr>
      <w:divsChild>
        <w:div w:id="640815182">
          <w:marLeft w:val="0"/>
          <w:marRight w:val="0"/>
          <w:marTop w:val="0"/>
          <w:marBottom w:val="0"/>
          <w:divBdr>
            <w:top w:val="none" w:sz="0" w:space="0" w:color="auto"/>
            <w:left w:val="none" w:sz="0" w:space="0" w:color="auto"/>
            <w:bottom w:val="none" w:sz="0" w:space="0" w:color="auto"/>
            <w:right w:val="none" w:sz="0" w:space="0" w:color="auto"/>
          </w:divBdr>
          <w:divsChild>
            <w:div w:id="1322923199">
              <w:marLeft w:val="0"/>
              <w:marRight w:val="0"/>
              <w:marTop w:val="0"/>
              <w:marBottom w:val="0"/>
              <w:divBdr>
                <w:top w:val="none" w:sz="0" w:space="0" w:color="auto"/>
                <w:left w:val="none" w:sz="0" w:space="0" w:color="auto"/>
                <w:bottom w:val="none" w:sz="0" w:space="0" w:color="auto"/>
                <w:right w:val="none" w:sz="0" w:space="0" w:color="auto"/>
              </w:divBdr>
              <w:divsChild>
                <w:div w:id="3585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639766948">
      <w:bodyDiv w:val="1"/>
      <w:marLeft w:val="0"/>
      <w:marRight w:val="0"/>
      <w:marTop w:val="0"/>
      <w:marBottom w:val="0"/>
      <w:divBdr>
        <w:top w:val="none" w:sz="0" w:space="0" w:color="auto"/>
        <w:left w:val="none" w:sz="0" w:space="0" w:color="auto"/>
        <w:bottom w:val="none" w:sz="0" w:space="0" w:color="auto"/>
        <w:right w:val="none" w:sz="0" w:space="0" w:color="auto"/>
      </w:divBdr>
      <w:divsChild>
        <w:div w:id="1429304506">
          <w:marLeft w:val="480"/>
          <w:marRight w:val="0"/>
          <w:marTop w:val="0"/>
          <w:marBottom w:val="0"/>
          <w:divBdr>
            <w:top w:val="none" w:sz="0" w:space="0" w:color="auto"/>
            <w:left w:val="none" w:sz="0" w:space="0" w:color="auto"/>
            <w:bottom w:val="none" w:sz="0" w:space="0" w:color="auto"/>
            <w:right w:val="none" w:sz="0" w:space="0" w:color="auto"/>
          </w:divBdr>
          <w:divsChild>
            <w:div w:id="19687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106466814">
      <w:bodyDiv w:val="1"/>
      <w:marLeft w:val="0"/>
      <w:marRight w:val="0"/>
      <w:marTop w:val="0"/>
      <w:marBottom w:val="0"/>
      <w:divBdr>
        <w:top w:val="none" w:sz="0" w:space="0" w:color="auto"/>
        <w:left w:val="none" w:sz="0" w:space="0" w:color="auto"/>
        <w:bottom w:val="none" w:sz="0" w:space="0" w:color="auto"/>
        <w:right w:val="none" w:sz="0" w:space="0" w:color="auto"/>
      </w:divBdr>
      <w:divsChild>
        <w:div w:id="303463504">
          <w:marLeft w:val="480"/>
          <w:marRight w:val="0"/>
          <w:marTop w:val="0"/>
          <w:marBottom w:val="0"/>
          <w:divBdr>
            <w:top w:val="none" w:sz="0" w:space="0" w:color="auto"/>
            <w:left w:val="none" w:sz="0" w:space="0" w:color="auto"/>
            <w:bottom w:val="none" w:sz="0" w:space="0" w:color="auto"/>
            <w:right w:val="none" w:sz="0" w:space="0" w:color="auto"/>
          </w:divBdr>
          <w:divsChild>
            <w:div w:id="2087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762">
      <w:bodyDiv w:val="1"/>
      <w:marLeft w:val="0"/>
      <w:marRight w:val="0"/>
      <w:marTop w:val="0"/>
      <w:marBottom w:val="0"/>
      <w:divBdr>
        <w:top w:val="none" w:sz="0" w:space="0" w:color="auto"/>
        <w:left w:val="none" w:sz="0" w:space="0" w:color="auto"/>
        <w:bottom w:val="none" w:sz="0" w:space="0" w:color="auto"/>
        <w:right w:val="none" w:sz="0" w:space="0" w:color="auto"/>
      </w:divBdr>
      <w:divsChild>
        <w:div w:id="1932424633">
          <w:marLeft w:val="480"/>
          <w:marRight w:val="0"/>
          <w:marTop w:val="0"/>
          <w:marBottom w:val="0"/>
          <w:divBdr>
            <w:top w:val="none" w:sz="0" w:space="0" w:color="auto"/>
            <w:left w:val="none" w:sz="0" w:space="0" w:color="auto"/>
            <w:bottom w:val="none" w:sz="0" w:space="0" w:color="auto"/>
            <w:right w:val="none" w:sz="0" w:space="0" w:color="auto"/>
          </w:divBdr>
          <w:divsChild>
            <w:div w:id="3847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890916837">
      <w:bodyDiv w:val="1"/>
      <w:marLeft w:val="0"/>
      <w:marRight w:val="0"/>
      <w:marTop w:val="0"/>
      <w:marBottom w:val="0"/>
      <w:divBdr>
        <w:top w:val="none" w:sz="0" w:space="0" w:color="auto"/>
        <w:left w:val="none" w:sz="0" w:space="0" w:color="auto"/>
        <w:bottom w:val="none" w:sz="0" w:space="0" w:color="auto"/>
        <w:right w:val="none" w:sz="0" w:space="0" w:color="auto"/>
      </w:divBdr>
      <w:divsChild>
        <w:div w:id="1626544343">
          <w:marLeft w:val="480"/>
          <w:marRight w:val="0"/>
          <w:marTop w:val="0"/>
          <w:marBottom w:val="0"/>
          <w:divBdr>
            <w:top w:val="none" w:sz="0" w:space="0" w:color="auto"/>
            <w:left w:val="none" w:sz="0" w:space="0" w:color="auto"/>
            <w:bottom w:val="none" w:sz="0" w:space="0" w:color="auto"/>
            <w:right w:val="none" w:sz="0" w:space="0" w:color="auto"/>
          </w:divBdr>
          <w:divsChild>
            <w:div w:id="18427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DC1D-7E4C-4131-AFA4-192764CE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3374</Words>
  <Characters>19235</Characters>
  <Application>Microsoft Office Word</Application>
  <DocSecurity>4</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Dave Weiss</cp:lastModifiedBy>
  <cp:revision>2</cp:revision>
  <cp:lastPrinted>2020-05-09T13:42:00Z</cp:lastPrinted>
  <dcterms:created xsi:type="dcterms:W3CDTF">2020-05-15T03:05:00Z</dcterms:created>
  <dcterms:modified xsi:type="dcterms:W3CDTF">2020-05-15T03:05:00Z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id="EJVIPnqa"/&gt;&lt;style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