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Glo-CED India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Glo-CED India is dedicated to character building, ethical leadership, and social transformation.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Vision of Glo-CED India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 promote holistic development from the individual to the nation by nurturing ethically grounded, value-driven, and socially responsible citizens through character building, ethical leadership, and transformative development, thereby contributing to sustainable social and economic progress and inclusive nation-building.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Mission Statement of Glo-CED India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Mission of the Trust is to empower Indian citizens and grassroots communities through comprehensive and inclusive education by fostering ethical leadership, advancing research in sustainable development, and delivering ICT-enabled capacity-building initiatives. The Trust shall function as a strategic bridge between research and policy, translating evidence-based knowledge into actionable solutions, in collaboration with Government bodies, Non-Governmental Organizations, and other stakeholders, for the effective implementation of impactful programmes in health, education, skill development, sustainable development, and livelihood enhancement, thereby contributing to the creation of a resilient, informed, and self-reliant nation.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Value Statement of Glo-CED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Value Statement of Glo-CED defines the core principles that guide our organization's behaviour and decision-making. We stand on these four pillars: 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Integrity &amp; Ethical Leadership: We hold ourselves to the highest ethical standards, ensuring that our leadership and programs serve as a trusted model for the communities and individuals we empower.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Evidence-Based Impact: We are committed to rigorous research and data-driven solutions, ensuring our programs in health, education, and livelihood are both effective and sustainable.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Inclusivity &amp; Empowerment: We believe in the inherent potential of every citizen and prioritize grassroots participation to ensure that development is equitable and reaches the most marginalized.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Collaborative Innovation: We embrace the power of ICT and strategic partnerships with government and NGOs to create scalable, forward-thinking solutions for a resilient nation.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