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虚拟训练系统在应急救援与军事职业教育中的应用价值与场景构建要点</w:t>
      </w:r>
    </w:p>
    <w:p/>
    <w:p>
      <w:pPr>
        <w:pStyle w:val="Quote"/>
      </w:pPr>
      <w:r>
        <w:t>Status: reviewer draft v0.2, non-final.</w:t>
      </w:r>
    </w:p>
    <w:p>
      <w:r>
        <w:t>&gt;</w:t>
      </w:r>
    </w:p>
    <w:p>
      <w:pPr>
        <w:pStyle w:val="Quote"/>
      </w:pPr>
      <w:r>
        <w:t>This draft is for human review and editing. It adds a reference-cleanup draft</w:t>
      </w:r>
    </w:p>
    <w:p>
      <w:pPr>
        <w:pStyle w:val="Quote"/>
      </w:pPr>
      <w:r>
        <w:t>based on local PDF first-page metadata. It is not paper-quality acceptance,</w:t>
      </w:r>
    </w:p>
    <w:p>
      <w:pPr>
        <w:pStyle w:val="Quote"/>
      </w:pPr>
      <w:r>
        <w:t>not final governance acceptance, not production readiness, not broad/general</w:t>
      </w:r>
    </w:p>
    <w:p>
      <w:pPr>
        <w:pStyle w:val="Quote"/>
      </w:pPr>
      <w:r>
        <w:t>RAG readiness, and not RuntimeAuthorization.</w:t>
      </w:r>
    </w:p>
    <w:p/>
    <w:p>
      <w:pPr>
        <w:pStyle w:val="Heading1"/>
      </w:pPr>
      <w:r>
        <w:t>摘要</w:t>
      </w:r>
    </w:p>
    <w:p/>
    <w:p>
      <w:r>
        <w:t>虚拟训练系统为高风险、强情境和高成本的训练任务提供了一种可重复、可控制的辅助训练方式。基于本地授权语料的源文献核对，当前草稿从五个方向展开：地震救援训练目标、国外军用虚拟训练系统特征、灭火救援训练中的虚拟现实应用、虚拟场景构建要点，以及军事职业教育中的训练价值。本文强调虚拟训练的辅助定位：它可以用于训练目标梳理、流程演练、场景复现、交互操作和评价支持，但不能据此直接断言训练效果已经被充分证明。[S1][S2][S3][S5][S6]</w:t>
      </w:r>
    </w:p>
    <w:p/>
    <w:p>
      <w:r>
        <w:t>关键词：虚拟训练；应急救援；灭火救援；虚拟场景；军事职业教育</w:t>
      </w:r>
    </w:p>
    <w:p/>
    <w:p>
      <w:pPr>
        <w:pStyle w:val="Heading1"/>
      </w:pPr>
      <w:r>
        <w:t>1. 应急救援训练为什么需要虚拟训练</w:t>
      </w:r>
    </w:p>
    <w:p/>
    <w:p>
      <w:r>
        <w:t>地震救援等应急训练具有场景复杂、风险较高、装备和场地约束明显等特点。传统训练能够提供真实环境和实装操作经验，但在场地复现、反复训练、危险情境模拟和成本控制方面存在现实限制。因此，虚拟训练更适合作为一种前置准备和补充训练方式：它可以帮助训练者理解救援目标、熟悉基本流程，并在较低风险的环境中反复接触典型灾害场景。[S1]</w:t>
      </w:r>
    </w:p>
    <w:p/>
    <w:p>
      <w:r>
        <w:t>在地震救援场景中，虚拟现实技术的意义不应被表述为取代真实训练，而应被表述为补充真实训练。它更适合承担训练目标组织、救援环境熟悉、流程演练和真实训练前准备等任务。[S1]</w:t>
      </w:r>
    </w:p>
    <w:p/>
    <w:p>
      <w:pPr>
        <w:pStyle w:val="Heading1"/>
      </w:pPr>
      <w:r>
        <w:t>2. 国外军用虚拟训练系统的启示</w:t>
      </w:r>
    </w:p>
    <w:p/>
    <w:p>
      <w:r>
        <w:t>国外军用虚拟训练系统的相关研究可以作为背景参照。现有资料支持把军用虚拟训练理解为一种围绕装备操作、通信环境、战场环境、作战设想和训练评估组织起来的训练体系，而不是单一仿真软件。[S2]</w:t>
      </w:r>
    </w:p>
    <w:p/>
    <w:p>
      <w:r>
        <w:t>对本文来说，这部分背景的价值不在于简单比较“国外先进、国内不足”，而在于提炼虚拟训练系统的一般设计方向：训练场景服务明确任务，训练过程可记录和评估，系统支持重复训练和条件控制，同时承认真实感、运行环境和复杂战场复现方面的限制。[S2]</w:t>
      </w:r>
    </w:p>
    <w:p/>
    <w:p>
      <w:pPr>
        <w:pStyle w:val="Heading1"/>
      </w:pPr>
      <w:r>
        <w:t>3. 虚拟现实对灭火救援训练的支持</w:t>
      </w:r>
    </w:p>
    <w:p/>
    <w:p>
      <w:r>
        <w:t>灭火救援训练同样面临真实场景难复现、危险程度高、训练资源消耗大和重复组织困难等问题。虚拟现实训练系统可以通过三维场景、交互操作和训练流程设置，让受训者在模拟火灾和救援环境中进行观察、路线熟悉、装备选择、操作练习和过程评估。[S3][S4]</w:t>
      </w:r>
    </w:p>
    <w:p/>
    <w:p>
      <w:r>
        <w:t>这类系统的价值主要体现在训练组织层面：它有助于反复接触典型灾情、熟悉装备和操作流程，并通过记录和评价模块形成训练反馈。对于高风险救援任务，这种虚拟训练更适合作为真实训练之前的准备、真实训练之间的巩固，以及难以频繁组织的复杂场景演练。[S3][S4]</w:t>
      </w:r>
    </w:p>
    <w:p/>
    <w:p>
      <w:pPr>
        <w:pStyle w:val="Heading1"/>
      </w:pPr>
      <w:r>
        <w:t>4. 虚拟场景构建的关键因素</w:t>
      </w:r>
    </w:p>
    <w:p/>
    <w:p>
      <w:r>
        <w:t>虚拟场景是虚拟训练系统能否服务训练目标的关键基础。场景构建不能只追求视觉真实，而应围绕训练任务决定需要复现哪些环境要素、保留哪些交互环节、采用何种建模精度，以及如何平衡真实感和实时运行性能。[S5]</w:t>
      </w:r>
    </w:p>
    <w:p/>
    <w:p>
      <w:r>
        <w:t>从设计角度看，虚拟场景建设至少包括四个问题：场景 fidelity 服务训练目标，环境和装备建模覆盖关键对象与空间关系，交互设计支持观察、选择、操作和反馈行为，系统优化保证训练过程实时性。这样处理后，虚拟场景才能从“展示性模型”转向“训练性环境”。[S5]</w:t>
      </w:r>
    </w:p>
    <w:p/>
    <w:p>
      <w:pPr>
        <w:pStyle w:val="Heading1"/>
      </w:pPr>
      <w:r>
        <w:t>5. 军事职业教育中的训练价值</w:t>
      </w:r>
    </w:p>
    <w:p/>
    <w:p>
      <w:r>
        <w:t>在军事职业教育中，虚拟训练的价值主要来自岗位任务和训练内容之间的连接。装备类、操作类和维修类训练往往受到实装数量、训练成本、故障复现难度和练习机会限制。虚拟训练系统可以将装备结构、工作原理、操作流程、参数测试、故障排查和考核评价组织到同一训练环境中。[S6]</w:t>
      </w:r>
    </w:p>
    <w:p/>
    <w:p>
      <w:r>
        <w:t>因此，这一部分更适合强调“岗位导向的训练支持”，而不是直接宣称“能力迁移已经完成”。较稳妥的表述是：虚拟训练可以帮助军事职业教育把理论学习、操作练习、故障处理和评价反馈结合起来，特别适用于需要反复练习但实装训练成本较高的场景。[S6]</w:t>
      </w:r>
    </w:p>
    <w:p/>
    <w:p>
      <w:pPr>
        <w:pStyle w:val="Heading1"/>
      </w:pPr>
      <w:r>
        <w:t>初步结论</w:t>
      </w:r>
    </w:p>
    <w:p/>
    <w:p>
      <w:r>
        <w:t>基于当前授权语料，本文可以形成一条相对清晰的论证路径：应急救援和军事职业教育都存在高成本、高风险或高复杂度训练需求；虚拟训练系统可以通过场景复现、重复演练、交互操作和评价反馈提供辅助支持；其中，虚拟场景构建是系统能否服务训练目标的核心；但虚拟训练应被定位为训练体系中的补充和增强手段，而不是对真实训练、实装操作或最终能力评价的替代。</w:t>
      </w:r>
    </w:p>
    <w:p/>
    <w:p>
      <w:r>
        <w:t>下一步应进入人工论文审阅：检查引用格式、术语准确性、论证强度、是否需要补充更多来源，以及是否需要把“训练价值”部分改写得更谨慎。</w:t>
      </w:r>
    </w:p>
    <w:p/>
    <w:p>
      <w:pPr>
        <w:pStyle w:val="Heading1"/>
      </w:pPr>
      <w:r>
        <w:t>参考文献草案</w:t>
      </w:r>
    </w:p>
    <w:p/>
    <w:p>
      <w:pPr>
        <w:pStyle w:val="Quote"/>
      </w:pPr>
      <w:r>
        <w:t>注意：以下条目来自授权本地 PDF 文件名、PDF 首页文本和 PDF 元数据的本地提取。它们是审阅草案，不是最终 GB/T 7714 条目。年、卷期、页码、期刊名等字段仍需人工从原始 PDF 或可信数据库校订。</w:t>
      </w:r>
    </w:p>
    <w:p/>
    <w:p>
      <w:r>
        <w:t>[S1] 褚鑫杰. 关于利用虚拟现实技术建立“地震救援技术虚拟训练系统”的几点思考[J]. 中国应急救援, 年份待核, 页码待核.</w:t>
      </w:r>
    </w:p>
    <w:p/>
    <w:p>
      <w:r>
        <w:t>[S2] 焦楷哲, 程培源, 刘滔, 孟超. 国外军用虚拟训练系统研究[J]. 期刊名待核, 2012? 收稿, 页码待核.</w:t>
      </w:r>
    </w:p>
    <w:p/>
    <w:p>
      <w:r>
        <w:t>[S3] 张云明, 陈蕾. 基于虚拟现实技术的灭火救援训练系统[J]. 期刊名待核, 2010(11): 996-998? 文章编号: 1009-0029(2010)11-0996-03.</w:t>
      </w:r>
    </w:p>
    <w:p/>
    <w:p>
      <w:r>
        <w:t>[S4] 吴东瑾. 三维建模技术在灭火救援作战训练安全中的应用初探[J]. 今日消防, 2024(12): 46-48? 文章编号: 2096-1227(2024)12-0046-03.</w:t>
      </w:r>
    </w:p>
    <w:p/>
    <w:p>
      <w:r>
        <w:t>[S5] 沈裕喜. 虚拟训练系统的虚拟场景研究[D]. 国防科学技术大学, 2011.</w:t>
      </w:r>
    </w:p>
    <w:p/>
    <w:p>
      <w:r>
        <w:t>[S6] 胡晓琴, 张朝伟, 焦晓丽. 虚拟训练系统在军事职业教育中的应用研究[J]. 产业与科技论坛, 2022, 21(9): 页码待核.</w:t>
      </w:r>
    </w:p>
    <w:p/>
    <w:p>
      <w:pPr>
        <w:pStyle w:val="Heading1"/>
      </w:pPr>
      <w:r>
        <w:t>Source-Claim Matrix</w:t>
      </w:r>
    </w:p>
    <w:p/>
    <w:p>
      <w:r>
        <w:t>Claim | Source | Decision</w:t>
      </w:r>
    </w:p>
    <w:p>
      <w:r>
        <w:t>Virtual training can support earthquake rescue preparation. | S1 | keep, cautious</w:t>
      </w:r>
    </w:p>
    <w:p>
      <w:r>
        <w:t>Virtual training replaces real rescue training. | none | reject</w:t>
      </w:r>
    </w:p>
    <w:p>
      <w:r>
        <w:t>Foreign military systems show repeatable and controllable training traits. | S2 | keep as background</w:t>
      </w:r>
    </w:p>
    <w:p>
      <w:r>
        <w:t>Foreign military systems prove broad superiority. | none | reject</w:t>
      </w:r>
    </w:p>
    <w:p>
      <w:r>
        <w:t>VR supports fire-rescue scenario practice and training functions. | S3, S4 | keep, cautious</w:t>
      </w:r>
    </w:p>
    <w:p>
      <w:r>
        <w:t>VR fire-rescue systems prove operational performance gains. | none | reject</w:t>
      </w:r>
    </w:p>
    <w:p>
      <w:r>
        <w:t>Scene construction is the design core of virtual training systems. | S5 | keep, expand</w:t>
      </w:r>
    </w:p>
    <w:p>
      <w:r>
        <w:t>Vocational education can use virtual training for operation and assessment workflows. | S6 | keep, cautious</w:t>
      </w:r>
    </w:p>
    <w:p>
      <w:r>
        <w:t>Current sources prove stable job skill transfer. | none | reject</w:t>
      </w:r>
    </w:p>
    <w:p/>
    <w:p>
      <w:pPr>
        <w:pStyle w:val="Heading1"/>
      </w:pPr>
      <w:r>
        <w:t>人工审阅清单</w:t>
      </w:r>
    </w:p>
    <w:p/>
    <w:p>
      <w:pPr>
        <w:pStyle w:val="ListBullet"/>
      </w:pPr>
      <w:r>
        <w:t>[ ] 从原始 PDF 或可信书目信息中修复正式引用格式。</w:t>
      </w:r>
    </w:p>
    <w:p>
      <w:pPr>
        <w:pStyle w:val="ListBullet"/>
      </w:pPr>
      <w:r>
        <w:t>[ ] 核对 S1 的发表年份、期刊期号和页码。</w:t>
      </w:r>
    </w:p>
    <w:p>
      <w:pPr>
        <w:pStyle w:val="ListBullet"/>
      </w:pPr>
      <w:r>
        <w:t>[ ] 核对 S2 的期刊名、年份、卷期和页码。</w:t>
      </w:r>
    </w:p>
    <w:p>
      <w:pPr>
        <w:pStyle w:val="ListBullet"/>
      </w:pPr>
      <w:r>
        <w:t>[ ] 核对 S3 的期刊名和页码。</w:t>
      </w:r>
    </w:p>
    <w:p>
      <w:pPr>
        <w:pStyle w:val="ListBullet"/>
      </w:pPr>
      <w:r>
        <w:t>[ ] 核对 S4 的页码是否为 46-48。</w:t>
      </w:r>
    </w:p>
    <w:p>
      <w:pPr>
        <w:pStyle w:val="ListBullet"/>
      </w:pPr>
      <w:r>
        <w:t>[ ] 核对 S5 学位论文学校、年份和作者信息。</w:t>
      </w:r>
    </w:p>
    <w:p>
      <w:pPr>
        <w:pStyle w:val="ListBullet"/>
      </w:pPr>
      <w:r>
        <w:t>[ ] 核对 S6 页码和卷期格式。</w:t>
      </w:r>
    </w:p>
    <w:p>
      <w:pPr>
        <w:pStyle w:val="ListBullet"/>
      </w:pPr>
      <w:r>
        <w:t>[ ] 决定本文定位：短论文、技术札记，还是文献综述备忘。</w:t>
      </w:r>
    </w:p>
    <w:p>
      <w:pPr>
        <w:pStyle w:val="ListBullet"/>
      </w:pPr>
      <w:r>
        <w:t>[ ] 判断 Q4 是否扩展为全文技术核心。</w:t>
      </w:r>
    </w:p>
    <w:p>
      <w:pPr>
        <w:pStyle w:val="ListBullet"/>
      </w:pPr>
      <w:r>
        <w:t>[ ] 若要声称训练效果提升，需要补充更强评价证据。</w:t>
      </w:r>
    </w:p>
    <w:p>
      <w:pPr>
        <w:pStyle w:val="ListBullet"/>
      </w:pPr>
      <w:r>
        <w:t>[ ] Q1/Q3/Q5 在没有额外证据前保持谨慎措辞。</w:t>
      </w:r>
    </w:p>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Quote">
    <w:name w:val="Quote"/>
    <w:basedOn w:val="Normal"/>
    <w:qFormat/>
    <w:pPr>
      <w:ind w:left="720"/>
    </w:pPr>
    <w:rPr>
      <w:i/>
      <w:color w:val="555555"/>
    </w:rPr>
  </w:style>
  <w:style w:type="paragraph" w:styleId="ListBullet">
    <w:name w:val="List Bullet"/>
    <w:basedOn w:val="Normal"/>
    <w:qFormat/>
    <w:pPr>
      <w:ind w:left="72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