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57500"/>
                    </a:xfrm>
                    <a:prstGeom prst="rect">
                      <a:avLst/>
                    </a:prstGeom>
                  </pic:spPr>
                </pic:pic>
              </a:graphicData>
            </a:graphic>
          </wp:inline>
        </w:drawing>
      </w:r>
    </w:p>
    <w:p>
      <w:pPr>
        <w:spacing w:after="60" w:before="200"/>
        <w:jc w:val="center"/>
      </w:pPr>
      <w:r>
        <w:rPr>
          <w:rFonts w:ascii="Arial" w:cs="Arial" w:eastAsia="Arial" w:hAnsi="Arial"/>
          <w:b/>
          <w:bCs/>
          <w:color w:val="1A1A1A"/>
          <w:sz w:val="64"/>
          <w:szCs w:val="64"/>
        </w:rPr>
        <w:t xml:space="preserve">LA FRENCH TOUCH</w:t>
      </w:r>
    </w:p>
    <w:p>
      <w:pPr>
        <w:spacing w:after="40"/>
        <w:jc w:val="center"/>
      </w:pPr>
      <w:r>
        <w:rPr>
          <w:rFonts w:ascii="Arial" w:cs="Arial" w:eastAsia="Arial" w:hAnsi="Arial"/>
          <w:b/>
          <w:bCs/>
          <w:color w:val="D9342B"/>
          <w:sz w:val="30"/>
          <w:szCs w:val="30"/>
        </w:rPr>
        <w:t xml:space="preserve">Pollo a la Brasa — España</w:t>
      </w:r>
    </w:p>
    <w:p>
      <w:pPr>
        <w:pBdr>
          <w:bottom w:val="single" w:color="2A6FB0" w:sz="12" w:space="8"/>
        </w:pBdr>
        <w:spacing w:after="240"/>
        <w:jc w:val="center"/>
      </w:pPr>
      <w:r>
        <w:rPr>
          <w:rFonts w:ascii="Arial" w:cs="Arial" w:eastAsia="Arial" w:hAnsi="Arial"/>
          <w:i/>
          <w:iCs/>
          <w:color w:val="555555"/>
          <w:sz w:val="24"/>
          <w:szCs w:val="24"/>
        </w:rPr>
        <w:t xml:space="preserve">Maspalomas · Gran Canaria</w:t>
      </w:r>
    </w:p>
    <w:p>
      <w:pPr>
        <w:spacing w:after="60" w:before="200"/>
        <w:jc w:val="center"/>
      </w:pPr>
      <w:r>
        <w:rPr>
          <w:rFonts w:ascii="Arial" w:cs="Arial" w:eastAsia="Arial" w:hAnsi="Arial"/>
          <w:b/>
          <w:bCs/>
          <w:color w:val="2A6FB0"/>
          <w:sz w:val="40"/>
          <w:szCs w:val="40"/>
        </w:rPr>
        <w:t xml:space="preserve">BUSINESS PLAN</w:t>
      </w:r>
    </w:p>
    <w:p>
      <w:pPr>
        <w:spacing w:after="20" w:before="200"/>
        <w:jc w:val="center"/>
      </w:pPr>
      <w:r>
        <w:rPr>
          <w:rFonts w:ascii="Arial" w:cs="Arial" w:eastAsia="Arial" w:hAnsi="Arial"/>
          <w:b/>
          <w:bCs/>
          <w:color w:val="555555"/>
          <w:sz w:val="24"/>
          <w:szCs w:val="24"/>
        </w:rPr>
        <w:t xml:space="preserve">STRICTEMENT CONFIDENTIEL</w:t>
      </w:r>
    </w:p>
    <w:p>
      <w:pPr>
        <w:jc w:val="center"/>
      </w:pPr>
      <w:r>
        <w:rPr>
          <w:rFonts w:ascii="Arial" w:cs="Arial" w:eastAsia="Arial" w:hAnsi="Arial"/>
          <w:b/>
          <w:bCs/>
          <w:color w:val="555555"/>
          <w:sz w:val="20"/>
          <w:szCs w:val="20"/>
        </w:rPr>
        <w:t xml:space="preserve">[ 30/06/2026 ]</w:t>
      </w:r>
    </w:p>
    <w:p>
      <w:r>
        <w:br w:type="page"/>
      </w:r>
    </w:p>
    <w:p>
      <w:pPr>
        <w:spacing w:after="240"/>
      </w:pPr>
      <w:r>
        <w:rPr>
          <w:rFonts w:ascii="Arial" w:cs="Arial" w:eastAsia="Arial" w:hAnsi="Arial"/>
          <w:b/>
          <w:bCs/>
          <w:color w:val="1A1A1A"/>
          <w:sz w:val="36"/>
          <w:szCs w:val="36"/>
        </w:rPr>
        <w:t xml:space="preserve">SOMMAIRE</w:t>
      </w:r>
    </w:p>
    <w:p>
      <w:pPr>
        <w:tabs>
          <w:tab w:val="right" w:pos="9026" w:leader="dot"/>
        </w:tabs>
        <w:spacing w:after="120" w:line="300"/>
      </w:pPr>
      <w:r>
        <w:rPr>
          <w:rFonts w:ascii="Arial" w:cs="Arial" w:eastAsia="Arial" w:hAnsi="Arial"/>
          <w:b/>
          <w:bCs/>
          <w:color w:val="D9342B"/>
          <w:sz w:val="22"/>
          <w:szCs w:val="22"/>
        </w:rPr>
        <w:t xml:space="preserve">1.</w:t>
      </w:r>
      <w:r>
        <w:rPr>
          <w:rFonts w:ascii="Arial" w:cs="Arial" w:eastAsia="Arial" w:hAnsi="Arial"/>
          <w:color w:val="1A1A1A"/>
          <w:sz w:val="22"/>
          <w:szCs w:val="22"/>
        </w:rPr>
        <w:t xml:space="preserve">  Résumé</w:t>
      </w:r>
      <w:r>
        <w:rPr>
          <w:rFonts w:ascii="Arial" w:cs="Arial" w:eastAsia="Arial" w:hAnsi="Arial"/>
          <w:color w:val="555555"/>
          <w:sz w:val="22"/>
          <w:szCs w:val="22"/>
        </w:rPr>
        <w:tab/>
      </w:r>
      <w:r>
        <w:rPr>
          <w:rFonts w:ascii="Arial" w:cs="Arial" w:eastAsia="Arial" w:hAnsi="Arial"/>
          <w:b/>
          <w:bCs/>
          <w:color w:val="1A1A1A"/>
          <w:sz w:val="22"/>
          <w:szCs w:val="22"/>
        </w:rPr>
        <w:t xml:space="preserve">3</w:t>
      </w:r>
    </w:p>
    <w:p>
      <w:pPr>
        <w:tabs>
          <w:tab w:val="right" w:pos="9026" w:leader="dot"/>
        </w:tabs>
        <w:spacing w:after="120" w:line="300"/>
      </w:pPr>
      <w:r>
        <w:rPr>
          <w:rFonts w:ascii="Arial" w:cs="Arial" w:eastAsia="Arial" w:hAnsi="Arial"/>
          <w:b/>
          <w:bCs/>
          <w:color w:val="D9342B"/>
          <w:sz w:val="22"/>
          <w:szCs w:val="22"/>
        </w:rPr>
        <w:t xml:space="preserve">2.</w:t>
      </w:r>
      <w:r>
        <w:rPr>
          <w:rFonts w:ascii="Arial" w:cs="Arial" w:eastAsia="Arial" w:hAnsi="Arial"/>
          <w:color w:val="1A1A1A"/>
          <w:sz w:val="22"/>
          <w:szCs w:val="22"/>
        </w:rPr>
        <w:t xml:space="preserve">  Activité</w:t>
      </w:r>
      <w:r>
        <w:rPr>
          <w:rFonts w:ascii="Arial" w:cs="Arial" w:eastAsia="Arial" w:hAnsi="Arial"/>
          <w:color w:val="555555"/>
          <w:sz w:val="22"/>
          <w:szCs w:val="22"/>
        </w:rPr>
        <w:tab/>
      </w:r>
      <w:r>
        <w:rPr>
          <w:rFonts w:ascii="Arial" w:cs="Arial" w:eastAsia="Arial" w:hAnsi="Arial"/>
          <w:b/>
          <w:bCs/>
          <w:color w:val="1A1A1A"/>
          <w:sz w:val="22"/>
          <w:szCs w:val="22"/>
        </w:rPr>
        <w:t xml:space="preserve">3</w:t>
      </w:r>
    </w:p>
    <w:p>
      <w:pPr>
        <w:tabs>
          <w:tab w:val="right" w:pos="9026" w:leader="dot"/>
        </w:tabs>
        <w:spacing w:after="120" w:line="300"/>
      </w:pPr>
      <w:r>
        <w:rPr>
          <w:rFonts w:ascii="Arial" w:cs="Arial" w:eastAsia="Arial" w:hAnsi="Arial"/>
          <w:b/>
          <w:bCs/>
          <w:color w:val="D9342B"/>
          <w:sz w:val="22"/>
          <w:szCs w:val="22"/>
        </w:rPr>
        <w:t xml:space="preserve">3.</w:t>
      </w:r>
      <w:r>
        <w:rPr>
          <w:rFonts w:ascii="Arial" w:cs="Arial" w:eastAsia="Arial" w:hAnsi="Arial"/>
          <w:color w:val="1A1A1A"/>
          <w:sz w:val="22"/>
          <w:szCs w:val="22"/>
        </w:rPr>
        <w:t xml:space="preserve">  Marché</w:t>
      </w:r>
      <w:r>
        <w:rPr>
          <w:rFonts w:ascii="Arial" w:cs="Arial" w:eastAsia="Arial" w:hAnsi="Arial"/>
          <w:color w:val="555555"/>
          <w:sz w:val="22"/>
          <w:szCs w:val="22"/>
        </w:rPr>
        <w:tab/>
      </w:r>
      <w:r>
        <w:rPr>
          <w:rFonts w:ascii="Arial" w:cs="Arial" w:eastAsia="Arial" w:hAnsi="Arial"/>
          <w:b/>
          <w:bCs/>
          <w:color w:val="1A1A1A"/>
          <w:sz w:val="22"/>
          <w:szCs w:val="22"/>
        </w:rPr>
        <w:t xml:space="preserve">4</w:t>
      </w:r>
    </w:p>
    <w:p>
      <w:pPr>
        <w:tabs>
          <w:tab w:val="right" w:pos="9026" w:leader="dot"/>
        </w:tabs>
        <w:spacing w:after="120" w:line="300"/>
      </w:pPr>
      <w:r>
        <w:rPr>
          <w:rFonts w:ascii="Arial" w:cs="Arial" w:eastAsia="Arial" w:hAnsi="Arial"/>
          <w:b/>
          <w:bCs/>
          <w:color w:val="D9342B"/>
          <w:sz w:val="22"/>
          <w:szCs w:val="22"/>
        </w:rPr>
        <w:t xml:space="preserve">4.</w:t>
      </w:r>
      <w:r>
        <w:rPr>
          <w:rFonts w:ascii="Arial" w:cs="Arial" w:eastAsia="Arial" w:hAnsi="Arial"/>
          <w:color w:val="1A1A1A"/>
          <w:sz w:val="22"/>
          <w:szCs w:val="22"/>
        </w:rPr>
        <w:t xml:space="preserve">  Chiffres Clés</w:t>
      </w:r>
      <w:r>
        <w:rPr>
          <w:rFonts w:ascii="Arial" w:cs="Arial" w:eastAsia="Arial" w:hAnsi="Arial"/>
          <w:color w:val="555555"/>
          <w:sz w:val="22"/>
          <w:szCs w:val="22"/>
        </w:rPr>
        <w:tab/>
      </w:r>
      <w:r>
        <w:rPr>
          <w:rFonts w:ascii="Arial" w:cs="Arial" w:eastAsia="Arial" w:hAnsi="Arial"/>
          <w:b/>
          <w:bCs/>
          <w:color w:val="1A1A1A"/>
          <w:sz w:val="22"/>
          <w:szCs w:val="22"/>
        </w:rPr>
        <w:t xml:space="preserve">5</w:t>
      </w:r>
    </w:p>
    <w:p>
      <w:pPr>
        <w:tabs>
          <w:tab w:val="right" w:pos="9026" w:leader="dot"/>
        </w:tabs>
        <w:spacing w:after="120" w:line="300"/>
      </w:pPr>
      <w:r>
        <w:rPr>
          <w:rFonts w:ascii="Arial" w:cs="Arial" w:eastAsia="Arial" w:hAnsi="Arial"/>
          <w:b/>
          <w:bCs/>
          <w:color w:val="D9342B"/>
          <w:sz w:val="22"/>
          <w:szCs w:val="22"/>
        </w:rPr>
        <w:t xml:space="preserve">5.</w:t>
      </w:r>
      <w:r>
        <w:rPr>
          <w:rFonts w:ascii="Arial" w:cs="Arial" w:eastAsia="Arial" w:hAnsi="Arial"/>
          <w:color w:val="1A1A1A"/>
          <w:sz w:val="22"/>
          <w:szCs w:val="22"/>
        </w:rPr>
        <w:t xml:space="preserve">  Besoin</w:t>
      </w:r>
      <w:r>
        <w:rPr>
          <w:rFonts w:ascii="Arial" w:cs="Arial" w:eastAsia="Arial" w:hAnsi="Arial"/>
          <w:color w:val="555555"/>
          <w:sz w:val="22"/>
          <w:szCs w:val="22"/>
        </w:rPr>
        <w:tab/>
      </w:r>
      <w:r>
        <w:rPr>
          <w:rFonts w:ascii="Arial" w:cs="Arial" w:eastAsia="Arial" w:hAnsi="Arial"/>
          <w:b/>
          <w:bCs/>
          <w:color w:val="1A1A1A"/>
          <w:sz w:val="22"/>
          <w:szCs w:val="22"/>
        </w:rPr>
        <w:t xml:space="preserve">6</w:t>
      </w:r>
    </w:p>
    <w:p>
      <w:pPr>
        <w:tabs>
          <w:tab w:val="right" w:pos="9026" w:leader="dot"/>
        </w:tabs>
        <w:spacing w:after="120" w:line="300"/>
      </w:pPr>
      <w:r>
        <w:rPr>
          <w:rFonts w:ascii="Arial" w:cs="Arial" w:eastAsia="Arial" w:hAnsi="Arial"/>
          <w:b/>
          <w:bCs/>
          <w:color w:val="D9342B"/>
          <w:sz w:val="22"/>
          <w:szCs w:val="22"/>
        </w:rPr>
        <w:t xml:space="preserve">6.</w:t>
      </w:r>
      <w:r>
        <w:rPr>
          <w:rFonts w:ascii="Arial" w:cs="Arial" w:eastAsia="Arial" w:hAnsi="Arial"/>
          <w:color w:val="1A1A1A"/>
          <w:sz w:val="22"/>
          <w:szCs w:val="22"/>
        </w:rPr>
        <w:t xml:space="preserve">  Société</w:t>
      </w:r>
      <w:r>
        <w:rPr>
          <w:rFonts w:ascii="Arial" w:cs="Arial" w:eastAsia="Arial" w:hAnsi="Arial"/>
          <w:color w:val="555555"/>
          <w:sz w:val="22"/>
          <w:szCs w:val="22"/>
        </w:rPr>
        <w:tab/>
      </w:r>
      <w:r>
        <w:rPr>
          <w:rFonts w:ascii="Arial" w:cs="Arial" w:eastAsia="Arial" w:hAnsi="Arial"/>
          <w:b/>
          <w:bCs/>
          <w:color w:val="1A1A1A"/>
          <w:sz w:val="22"/>
          <w:szCs w:val="22"/>
        </w:rPr>
        <w:t xml:space="preserve">6</w:t>
      </w:r>
    </w:p>
    <w:p>
      <w:pPr>
        <w:tabs>
          <w:tab w:val="right" w:pos="9026" w:leader="dot"/>
        </w:tabs>
        <w:spacing w:after="120" w:line="300"/>
      </w:pPr>
      <w:r>
        <w:rPr>
          <w:rFonts w:ascii="Arial" w:cs="Arial" w:eastAsia="Arial" w:hAnsi="Arial"/>
          <w:b/>
          <w:bCs/>
          <w:color w:val="D9342B"/>
          <w:sz w:val="22"/>
          <w:szCs w:val="22"/>
        </w:rPr>
        <w:t xml:space="preserve">7.</w:t>
      </w:r>
      <w:r>
        <w:rPr>
          <w:rFonts w:ascii="Arial" w:cs="Arial" w:eastAsia="Arial" w:hAnsi="Arial"/>
          <w:color w:val="1A1A1A"/>
          <w:sz w:val="22"/>
          <w:szCs w:val="22"/>
        </w:rPr>
        <w:t xml:space="preserve">  Structure et Actionnariat</w:t>
      </w:r>
      <w:r>
        <w:rPr>
          <w:rFonts w:ascii="Arial" w:cs="Arial" w:eastAsia="Arial" w:hAnsi="Arial"/>
          <w:color w:val="555555"/>
          <w:sz w:val="22"/>
          <w:szCs w:val="22"/>
        </w:rPr>
        <w:tab/>
      </w:r>
      <w:r>
        <w:rPr>
          <w:rFonts w:ascii="Arial" w:cs="Arial" w:eastAsia="Arial" w:hAnsi="Arial"/>
          <w:b/>
          <w:bCs/>
          <w:color w:val="1A1A1A"/>
          <w:sz w:val="22"/>
          <w:szCs w:val="22"/>
        </w:rPr>
        <w:t xml:space="preserve">7</w:t>
      </w:r>
    </w:p>
    <w:p>
      <w:pPr>
        <w:tabs>
          <w:tab w:val="right" w:pos="9026" w:leader="dot"/>
        </w:tabs>
        <w:spacing w:after="120" w:line="300"/>
      </w:pPr>
      <w:r>
        <w:rPr>
          <w:rFonts w:ascii="Arial" w:cs="Arial" w:eastAsia="Arial" w:hAnsi="Arial"/>
          <w:b/>
          <w:bCs/>
          <w:color w:val="D9342B"/>
          <w:sz w:val="22"/>
          <w:szCs w:val="22"/>
        </w:rPr>
        <w:t xml:space="preserve">8.</w:t>
      </w:r>
      <w:r>
        <w:rPr>
          <w:rFonts w:ascii="Arial" w:cs="Arial" w:eastAsia="Arial" w:hAnsi="Arial"/>
          <w:color w:val="1A1A1A"/>
          <w:sz w:val="22"/>
          <w:szCs w:val="22"/>
        </w:rPr>
        <w:t xml:space="preserve">  Histoire</w:t>
      </w:r>
      <w:r>
        <w:rPr>
          <w:rFonts w:ascii="Arial" w:cs="Arial" w:eastAsia="Arial" w:hAnsi="Arial"/>
          <w:color w:val="555555"/>
          <w:sz w:val="22"/>
          <w:szCs w:val="22"/>
        </w:rPr>
        <w:tab/>
      </w:r>
      <w:r>
        <w:rPr>
          <w:rFonts w:ascii="Arial" w:cs="Arial" w:eastAsia="Arial" w:hAnsi="Arial"/>
          <w:b/>
          <w:bCs/>
          <w:color w:val="1A1A1A"/>
          <w:sz w:val="22"/>
          <w:szCs w:val="22"/>
        </w:rPr>
        <w:t xml:space="preserve">8</w:t>
      </w:r>
    </w:p>
    <w:p>
      <w:pPr>
        <w:tabs>
          <w:tab w:val="right" w:pos="9026" w:leader="dot"/>
        </w:tabs>
        <w:spacing w:after="120" w:line="300"/>
      </w:pPr>
      <w:r>
        <w:rPr>
          <w:rFonts w:ascii="Arial" w:cs="Arial" w:eastAsia="Arial" w:hAnsi="Arial"/>
          <w:b/>
          <w:bCs/>
          <w:color w:val="D9342B"/>
          <w:sz w:val="22"/>
          <w:szCs w:val="22"/>
        </w:rPr>
        <w:t xml:space="preserve">9.</w:t>
      </w:r>
      <w:r>
        <w:rPr>
          <w:rFonts w:ascii="Arial" w:cs="Arial" w:eastAsia="Arial" w:hAnsi="Arial"/>
          <w:color w:val="1A1A1A"/>
          <w:sz w:val="22"/>
          <w:szCs w:val="22"/>
        </w:rPr>
        <w:t xml:space="preserve">  Emplacement</w:t>
      </w:r>
      <w:r>
        <w:rPr>
          <w:rFonts w:ascii="Arial" w:cs="Arial" w:eastAsia="Arial" w:hAnsi="Arial"/>
          <w:color w:val="555555"/>
          <w:sz w:val="22"/>
          <w:szCs w:val="22"/>
        </w:rPr>
        <w:tab/>
      </w:r>
      <w:r>
        <w:rPr>
          <w:rFonts w:ascii="Arial" w:cs="Arial" w:eastAsia="Arial" w:hAnsi="Arial"/>
          <w:b/>
          <w:bCs/>
          <w:color w:val="1A1A1A"/>
          <w:sz w:val="22"/>
          <w:szCs w:val="22"/>
        </w:rPr>
        <w:t xml:space="preserve">8</w:t>
      </w:r>
    </w:p>
    <w:p>
      <w:pPr>
        <w:tabs>
          <w:tab w:val="right" w:pos="9026" w:leader="dot"/>
        </w:tabs>
        <w:spacing w:after="120" w:line="300"/>
      </w:pPr>
      <w:r>
        <w:rPr>
          <w:rFonts w:ascii="Arial" w:cs="Arial" w:eastAsia="Arial" w:hAnsi="Arial"/>
          <w:b/>
          <w:bCs/>
          <w:color w:val="D9342B"/>
          <w:sz w:val="22"/>
          <w:szCs w:val="22"/>
        </w:rPr>
        <w:t xml:space="preserve">10.</w:t>
      </w:r>
      <w:r>
        <w:rPr>
          <w:rFonts w:ascii="Arial" w:cs="Arial" w:eastAsia="Arial" w:hAnsi="Arial"/>
          <w:color w:val="1A1A1A"/>
          <w:sz w:val="22"/>
          <w:szCs w:val="22"/>
        </w:rPr>
        <w:t xml:space="preserve">  Équipe</w:t>
      </w:r>
      <w:r>
        <w:rPr>
          <w:rFonts w:ascii="Arial" w:cs="Arial" w:eastAsia="Arial" w:hAnsi="Arial"/>
          <w:color w:val="555555"/>
          <w:sz w:val="22"/>
          <w:szCs w:val="22"/>
        </w:rPr>
        <w:tab/>
      </w:r>
      <w:r>
        <w:rPr>
          <w:rFonts w:ascii="Arial" w:cs="Arial" w:eastAsia="Arial" w:hAnsi="Arial"/>
          <w:b/>
          <w:bCs/>
          <w:color w:val="1A1A1A"/>
          <w:sz w:val="22"/>
          <w:szCs w:val="22"/>
        </w:rPr>
        <w:t xml:space="preserve">9</w:t>
      </w:r>
    </w:p>
    <w:p>
      <w:pPr>
        <w:tabs>
          <w:tab w:val="right" w:pos="9026" w:leader="dot"/>
        </w:tabs>
        <w:spacing w:after="120" w:line="300"/>
      </w:pPr>
      <w:r>
        <w:rPr>
          <w:rFonts w:ascii="Arial" w:cs="Arial" w:eastAsia="Arial" w:hAnsi="Arial"/>
          <w:b/>
          <w:bCs/>
          <w:color w:val="D9342B"/>
          <w:sz w:val="22"/>
          <w:szCs w:val="22"/>
        </w:rPr>
        <w:t xml:space="preserve">11.</w:t>
      </w:r>
      <w:r>
        <w:rPr>
          <w:rFonts w:ascii="Arial" w:cs="Arial" w:eastAsia="Arial" w:hAnsi="Arial"/>
          <w:color w:val="1A1A1A"/>
          <w:sz w:val="22"/>
          <w:szCs w:val="22"/>
        </w:rPr>
        <w:t xml:space="preserve">  Produits et Services</w:t>
      </w:r>
      <w:r>
        <w:rPr>
          <w:rFonts w:ascii="Arial" w:cs="Arial" w:eastAsia="Arial" w:hAnsi="Arial"/>
          <w:color w:val="555555"/>
          <w:sz w:val="22"/>
          <w:szCs w:val="22"/>
        </w:rPr>
        <w:tab/>
      </w:r>
      <w:r>
        <w:rPr>
          <w:rFonts w:ascii="Arial" w:cs="Arial" w:eastAsia="Arial" w:hAnsi="Arial"/>
          <w:b/>
          <w:bCs/>
          <w:color w:val="1A1A1A"/>
          <w:sz w:val="22"/>
          <w:szCs w:val="22"/>
        </w:rPr>
        <w:t xml:space="preserve">9</w:t>
      </w:r>
    </w:p>
    <w:p>
      <w:pPr>
        <w:tabs>
          <w:tab w:val="right" w:pos="9026" w:leader="dot"/>
        </w:tabs>
        <w:spacing w:after="120" w:line="300"/>
      </w:pPr>
      <w:r>
        <w:rPr>
          <w:rFonts w:ascii="Arial" w:cs="Arial" w:eastAsia="Arial" w:hAnsi="Arial"/>
          <w:b/>
          <w:bCs/>
          <w:color w:val="D9342B"/>
          <w:sz w:val="22"/>
          <w:szCs w:val="22"/>
        </w:rPr>
        <w:t xml:space="preserve">12.</w:t>
      </w:r>
      <w:r>
        <w:rPr>
          <w:rFonts w:ascii="Arial" w:cs="Arial" w:eastAsia="Arial" w:hAnsi="Arial"/>
          <w:color w:val="1A1A1A"/>
          <w:sz w:val="22"/>
          <w:szCs w:val="22"/>
        </w:rPr>
        <w:t xml:space="preserve">  Stratégie</w:t>
      </w:r>
      <w:r>
        <w:rPr>
          <w:rFonts w:ascii="Arial" w:cs="Arial" w:eastAsia="Arial" w:hAnsi="Arial"/>
          <w:color w:val="555555"/>
          <w:sz w:val="22"/>
          <w:szCs w:val="22"/>
        </w:rPr>
        <w:tab/>
      </w:r>
      <w:r>
        <w:rPr>
          <w:rFonts w:ascii="Arial" w:cs="Arial" w:eastAsia="Arial" w:hAnsi="Arial"/>
          <w:b/>
          <w:bCs/>
          <w:color w:val="1A1A1A"/>
          <w:sz w:val="22"/>
          <w:szCs w:val="22"/>
        </w:rPr>
        <w:t xml:space="preserve">10</w:t>
      </w:r>
    </w:p>
    <w:p>
      <w:pPr>
        <w:tabs>
          <w:tab w:val="right" w:pos="9026" w:leader="dot"/>
        </w:tabs>
        <w:spacing w:after="120" w:line="300"/>
      </w:pPr>
      <w:r>
        <w:rPr>
          <w:rFonts w:ascii="Arial" w:cs="Arial" w:eastAsia="Arial" w:hAnsi="Arial"/>
          <w:b/>
          <w:bCs/>
          <w:color w:val="D9342B"/>
          <w:sz w:val="22"/>
          <w:szCs w:val="22"/>
        </w:rPr>
        <w:t xml:space="preserve">13.</w:t>
      </w:r>
      <w:r>
        <w:rPr>
          <w:rFonts w:ascii="Arial" w:cs="Arial" w:eastAsia="Arial" w:hAnsi="Arial"/>
          <w:color w:val="1A1A1A"/>
          <w:sz w:val="22"/>
          <w:szCs w:val="22"/>
        </w:rPr>
        <w:t xml:space="preserve">  Avantage Concurrentiel</w:t>
      </w:r>
      <w:r>
        <w:rPr>
          <w:rFonts w:ascii="Arial" w:cs="Arial" w:eastAsia="Arial" w:hAnsi="Arial"/>
          <w:color w:val="555555"/>
          <w:sz w:val="22"/>
          <w:szCs w:val="22"/>
        </w:rPr>
        <w:tab/>
      </w:r>
      <w:r>
        <w:rPr>
          <w:rFonts w:ascii="Arial" w:cs="Arial" w:eastAsia="Arial" w:hAnsi="Arial"/>
          <w:b/>
          <w:bCs/>
          <w:color w:val="1A1A1A"/>
          <w:sz w:val="22"/>
          <w:szCs w:val="22"/>
        </w:rPr>
        <w:t xml:space="preserve">11</w:t>
      </w:r>
    </w:p>
    <w:p>
      <w:pPr>
        <w:tabs>
          <w:tab w:val="right" w:pos="9026" w:leader="dot"/>
        </w:tabs>
        <w:spacing w:after="120" w:line="300"/>
      </w:pPr>
      <w:r>
        <w:rPr>
          <w:rFonts w:ascii="Arial" w:cs="Arial" w:eastAsia="Arial" w:hAnsi="Arial"/>
          <w:b/>
          <w:bCs/>
          <w:color w:val="D9342B"/>
          <w:sz w:val="22"/>
          <w:szCs w:val="22"/>
        </w:rPr>
        <w:t xml:space="preserve">14.</w:t>
      </w:r>
      <w:r>
        <w:rPr>
          <w:rFonts w:ascii="Arial" w:cs="Arial" w:eastAsia="Arial" w:hAnsi="Arial"/>
          <w:color w:val="1A1A1A"/>
          <w:sz w:val="22"/>
          <w:szCs w:val="22"/>
        </w:rPr>
        <w:t xml:space="preserve">  Prix</w:t>
      </w:r>
      <w:r>
        <w:rPr>
          <w:rFonts w:ascii="Arial" w:cs="Arial" w:eastAsia="Arial" w:hAnsi="Arial"/>
          <w:color w:val="555555"/>
          <w:sz w:val="22"/>
          <w:szCs w:val="22"/>
        </w:rPr>
        <w:tab/>
      </w:r>
      <w:r>
        <w:rPr>
          <w:rFonts w:ascii="Arial" w:cs="Arial" w:eastAsia="Arial" w:hAnsi="Arial"/>
          <w:b/>
          <w:bCs/>
          <w:color w:val="1A1A1A"/>
          <w:sz w:val="22"/>
          <w:szCs w:val="22"/>
        </w:rPr>
        <w:t xml:space="preserve">12</w:t>
      </w:r>
    </w:p>
    <w:p>
      <w:pPr>
        <w:tabs>
          <w:tab w:val="right" w:pos="9026" w:leader="dot"/>
        </w:tabs>
        <w:spacing w:after="120" w:line="300"/>
      </w:pPr>
      <w:r>
        <w:rPr>
          <w:rFonts w:ascii="Arial" w:cs="Arial" w:eastAsia="Arial" w:hAnsi="Arial"/>
          <w:b/>
          <w:bCs/>
          <w:color w:val="D9342B"/>
          <w:sz w:val="22"/>
          <w:szCs w:val="22"/>
        </w:rPr>
        <w:t xml:space="preserve">15.</w:t>
      </w:r>
      <w:r>
        <w:rPr>
          <w:rFonts w:ascii="Arial" w:cs="Arial" w:eastAsia="Arial" w:hAnsi="Arial"/>
          <w:color w:val="1A1A1A"/>
          <w:sz w:val="22"/>
          <w:szCs w:val="22"/>
        </w:rPr>
        <w:t xml:space="preserve">  Plan Commercial</w:t>
      </w:r>
      <w:r>
        <w:rPr>
          <w:rFonts w:ascii="Arial" w:cs="Arial" w:eastAsia="Arial" w:hAnsi="Arial"/>
          <w:color w:val="555555"/>
          <w:sz w:val="22"/>
          <w:szCs w:val="22"/>
        </w:rPr>
        <w:tab/>
      </w:r>
      <w:r>
        <w:rPr>
          <w:rFonts w:ascii="Arial" w:cs="Arial" w:eastAsia="Arial" w:hAnsi="Arial"/>
          <w:b/>
          <w:bCs/>
          <w:color w:val="1A1A1A"/>
          <w:sz w:val="22"/>
          <w:szCs w:val="22"/>
        </w:rPr>
        <w:t xml:space="preserve">13</w:t>
      </w:r>
    </w:p>
    <w:p>
      <w:pPr>
        <w:tabs>
          <w:tab w:val="right" w:pos="9026" w:leader="dot"/>
        </w:tabs>
        <w:spacing w:after="120" w:line="300"/>
      </w:pPr>
      <w:r>
        <w:rPr>
          <w:rFonts w:ascii="Arial" w:cs="Arial" w:eastAsia="Arial" w:hAnsi="Arial"/>
          <w:b/>
          <w:bCs/>
          <w:color w:val="D9342B"/>
          <w:sz w:val="22"/>
          <w:szCs w:val="22"/>
        </w:rPr>
        <w:t xml:space="preserve">16.</w:t>
      </w:r>
      <w:r>
        <w:rPr>
          <w:rFonts w:ascii="Arial" w:cs="Arial" w:eastAsia="Arial" w:hAnsi="Arial"/>
          <w:color w:val="1A1A1A"/>
          <w:sz w:val="22"/>
          <w:szCs w:val="22"/>
        </w:rPr>
        <w:t xml:space="preserve">  Étapes de développement</w:t>
      </w:r>
      <w:r>
        <w:rPr>
          <w:rFonts w:ascii="Arial" w:cs="Arial" w:eastAsia="Arial" w:hAnsi="Arial"/>
          <w:color w:val="555555"/>
          <w:sz w:val="22"/>
          <w:szCs w:val="22"/>
        </w:rPr>
        <w:tab/>
      </w:r>
      <w:r>
        <w:rPr>
          <w:rFonts w:ascii="Arial" w:cs="Arial" w:eastAsia="Arial" w:hAnsi="Arial"/>
          <w:b/>
          <w:bCs/>
          <w:color w:val="1A1A1A"/>
          <w:sz w:val="22"/>
          <w:szCs w:val="22"/>
        </w:rPr>
        <w:t xml:space="preserve">14</w:t>
      </w:r>
    </w:p>
    <w:p>
      <w:pPr>
        <w:tabs>
          <w:tab w:val="right" w:pos="9026" w:leader="dot"/>
        </w:tabs>
        <w:spacing w:after="120" w:line="300"/>
      </w:pPr>
      <w:r>
        <w:rPr>
          <w:rFonts w:ascii="Arial" w:cs="Arial" w:eastAsia="Arial" w:hAnsi="Arial"/>
          <w:b/>
          <w:bCs/>
          <w:color w:val="D9342B"/>
          <w:sz w:val="22"/>
          <w:szCs w:val="22"/>
        </w:rPr>
        <w:t xml:space="preserve">17.</w:t>
      </w:r>
      <w:r>
        <w:rPr>
          <w:rFonts w:ascii="Arial" w:cs="Arial" w:eastAsia="Arial" w:hAnsi="Arial"/>
          <w:color w:val="1A1A1A"/>
          <w:sz w:val="22"/>
          <w:szCs w:val="22"/>
        </w:rPr>
        <w:t xml:space="preserve">  Risques</w:t>
      </w:r>
      <w:r>
        <w:rPr>
          <w:rFonts w:ascii="Arial" w:cs="Arial" w:eastAsia="Arial" w:hAnsi="Arial"/>
          <w:color w:val="555555"/>
          <w:sz w:val="22"/>
          <w:szCs w:val="22"/>
        </w:rPr>
        <w:tab/>
      </w:r>
      <w:r>
        <w:rPr>
          <w:rFonts w:ascii="Arial" w:cs="Arial" w:eastAsia="Arial" w:hAnsi="Arial"/>
          <w:b/>
          <w:bCs/>
          <w:color w:val="1A1A1A"/>
          <w:sz w:val="22"/>
          <w:szCs w:val="22"/>
        </w:rPr>
        <w:t xml:space="preserve">15</w:t>
      </w:r>
    </w:p>
    <w:p>
      <w:pPr>
        <w:tabs>
          <w:tab w:val="right" w:pos="9026" w:leader="dot"/>
        </w:tabs>
        <w:spacing w:after="120" w:line="300"/>
      </w:pPr>
      <w:r>
        <w:rPr>
          <w:rFonts w:ascii="Arial" w:cs="Arial" w:eastAsia="Arial" w:hAnsi="Arial"/>
          <w:b/>
          <w:bCs/>
          <w:color w:val="D9342B"/>
          <w:sz w:val="22"/>
          <w:szCs w:val="22"/>
        </w:rPr>
        <w:t xml:space="preserve">18.</w:t>
      </w:r>
      <w:r>
        <w:rPr>
          <w:rFonts w:ascii="Arial" w:cs="Arial" w:eastAsia="Arial" w:hAnsi="Arial"/>
          <w:color w:val="1A1A1A"/>
          <w:sz w:val="22"/>
          <w:szCs w:val="22"/>
        </w:rPr>
        <w:t xml:space="preserve">  Opérations</w:t>
      </w:r>
      <w:r>
        <w:rPr>
          <w:rFonts w:ascii="Arial" w:cs="Arial" w:eastAsia="Arial" w:hAnsi="Arial"/>
          <w:color w:val="555555"/>
          <w:sz w:val="22"/>
          <w:szCs w:val="22"/>
        </w:rPr>
        <w:tab/>
      </w:r>
      <w:r>
        <w:rPr>
          <w:rFonts w:ascii="Arial" w:cs="Arial" w:eastAsia="Arial" w:hAnsi="Arial"/>
          <w:b/>
          <w:bCs/>
          <w:color w:val="1A1A1A"/>
          <w:sz w:val="22"/>
          <w:szCs w:val="22"/>
        </w:rPr>
        <w:t xml:space="preserve">16</w:t>
      </w:r>
    </w:p>
    <w:p>
      <w:pPr>
        <w:tabs>
          <w:tab w:val="right" w:pos="9026" w:leader="dot"/>
        </w:tabs>
        <w:spacing w:after="120" w:line="300"/>
      </w:pPr>
      <w:r>
        <w:rPr>
          <w:rFonts w:ascii="Arial" w:cs="Arial" w:eastAsia="Arial" w:hAnsi="Arial"/>
          <w:b/>
          <w:bCs/>
          <w:color w:val="D9342B"/>
          <w:sz w:val="22"/>
          <w:szCs w:val="22"/>
        </w:rPr>
        <w:t xml:space="preserve">19.</w:t>
      </w:r>
      <w:r>
        <w:rPr>
          <w:rFonts w:ascii="Arial" w:cs="Arial" w:eastAsia="Arial" w:hAnsi="Arial"/>
          <w:color w:val="1A1A1A"/>
          <w:sz w:val="22"/>
          <w:szCs w:val="22"/>
        </w:rPr>
        <w:t xml:space="preserve">  Plan de Personnel</w:t>
      </w:r>
      <w:r>
        <w:rPr>
          <w:rFonts w:ascii="Arial" w:cs="Arial" w:eastAsia="Arial" w:hAnsi="Arial"/>
          <w:color w:val="555555"/>
          <w:sz w:val="22"/>
          <w:szCs w:val="22"/>
        </w:rPr>
        <w:tab/>
      </w:r>
      <w:r>
        <w:rPr>
          <w:rFonts w:ascii="Arial" w:cs="Arial" w:eastAsia="Arial" w:hAnsi="Arial"/>
          <w:b/>
          <w:bCs/>
          <w:color w:val="1A1A1A"/>
          <w:sz w:val="22"/>
          <w:szCs w:val="22"/>
        </w:rPr>
        <w:t xml:space="preserve">17</w:t>
      </w:r>
    </w:p>
    <w:p>
      <w:r>
        <w:br w:type="page"/>
      </w:r>
    </w:p>
    <w:p>
      <w:pPr>
        <w:pStyle w:val="Heading1"/>
        <w:pBdr>
          <w:bottom w:val="single" w:color="D9342B" w:sz="18" w:space="6"/>
        </w:pBdr>
        <w:spacing w:after="60" w:before="360"/>
      </w:pPr>
      <w:r>
        <w:rPr>
          <w:rFonts w:ascii="Arial" w:cs="Arial" w:eastAsia="Arial" w:hAnsi="Arial"/>
          <w:b/>
          <w:bCs/>
          <w:color w:val="1A1A1A"/>
          <w:sz w:val="34"/>
          <w:szCs w:val="34"/>
        </w:rPr>
        <w:t xml:space="preserve">Résumé</w:t>
      </w:r>
    </w:p>
    <w:p>
      <w:pPr>
        <w:spacing w:after="160" w:line="276"/>
        <w:jc w:val="both"/>
      </w:pPr>
      <w:r>
        <w:rPr>
          <w:rFonts w:ascii="Arial" w:cs="Arial" w:eastAsia="Arial" w:hAnsi="Arial"/>
          <w:b w:val="false"/>
          <w:bCs w:val="false"/>
          <w:i w:val="false"/>
          <w:iCs w:val="false"/>
          <w:color w:val="222222"/>
          <w:sz w:val="22"/>
          <w:szCs w:val="22"/>
        </w:rPr>
        <w:t xml:space="preserve">La French Touch est une rôtisserie-restaurant de poulet rôti à la braise (pollo a la brasa) revisité avec une « touche française » : recettes et sauces signature françaises, accompagnements et desserts français, le tout porté par une image de marque française assumée et immédiatement reconnaissable. Implantée sur le front de mer de Maspalomas (San Bartolomé de Tirajana, Gran Canaria), l'un des cœurs touristiques les plus fréquentés d'Espagne, l'enseigne vise une ouverture dans les 6 à 12 prochains mois.</w:t>
      </w:r>
    </w:p>
    <w:p>
      <w:pPr>
        <w:spacing w:after="160" w:line="276"/>
        <w:jc w:val="both"/>
      </w:pPr>
      <w:r>
        <w:rPr>
          <w:rFonts w:ascii="Arial" w:cs="Arial" w:eastAsia="Arial" w:hAnsi="Arial"/>
          <w:b w:val="false"/>
          <w:bCs w:val="false"/>
          <w:i w:val="false"/>
          <w:iCs w:val="false"/>
          <w:color w:val="222222"/>
          <w:sz w:val="22"/>
          <w:szCs w:val="22"/>
        </w:rPr>
        <w:t xml:space="preserve">Notre mission est d'offrir une expérience de restauration accessible, qualitative et identitaire, aussi bien aux touristes internationaux qu'aux résidents locaux. Le projet repose sur un double canal de distribution : un service en salle de 30 à 60 couverts, conçu comme un lieu photogénique et immersif aux couleurs de la marque, et une activité de vente à emporter et de livraison via les principales plateformes (Glovo, Just Eat, Uber Eats) ainsi que le service local GC Express. Le ticket moyen visé est volontairement accessible, à moins de 12 € par personne.</w:t>
      </w:r>
    </w:p>
    <w:p>
      <w:pPr>
        <w:spacing w:after="160" w:line="276"/>
        <w:jc w:val="both"/>
      </w:pPr>
      <w:r>
        <w:rPr>
          <w:rFonts w:ascii="Arial" w:cs="Arial" w:eastAsia="Arial" w:hAnsi="Arial"/>
          <w:b w:val="false"/>
          <w:bCs w:val="false"/>
          <w:i w:val="false"/>
          <w:iCs w:val="false"/>
          <w:color w:val="222222"/>
          <w:sz w:val="22"/>
          <w:szCs w:val="22"/>
        </w:rPr>
        <w:t xml:space="preserve">Le marché est porteur : Gran Canaria a clôturé 2025 sur un record de 4,85 millions de touristes, et Maspalomas est la 3ᵉ destination d'Espagne en nombre de nuitées. Sur ce territoire, l'offre de poulet rôti est dense mais largement indifférenciée — aucune enseigne ne combine produit populaire, identité de marque forte et distribution moderne. La French Touch occupe précisément ce positionnement vacant : un poulet rôti identitaire, servi le soir comme le midi, à prix doux, là où les asaderos classiques ferment vers 16 h et où les grills différenciés restent chers.</w:t>
      </w:r>
    </w:p>
    <w:p>
      <w:pPr>
        <w:spacing w:after="160" w:line="276"/>
        <w:jc w:val="both"/>
      </w:pPr>
      <w:r>
        <w:rPr>
          <w:rFonts w:ascii="Arial" w:cs="Arial" w:eastAsia="Arial" w:hAnsi="Arial"/>
          <w:b w:val="false"/>
          <w:bCs w:val="false"/>
          <w:i w:val="false"/>
          <w:iCs w:val="false"/>
          <w:color w:val="222222"/>
          <w:sz w:val="22"/>
          <w:szCs w:val="22"/>
        </w:rPr>
        <w:t xml:space="preserve">La société sera constituée sous forme de Sociedad Limitada (SL) de droit espagnol, réunissant quatre associés à parts égales (25 % chacun) : deux opérationnels présents sur place à Maspalomas — dont un véritable professionnel de la restauration — et deux investisseurs. Le projet bénéficie pleinement de la fiscalité avantageuse des Canaries (REF) : IGIC à 3 % sur la restauration, impôt sur les sociétés à 15 % pour les entreprises nouvellement créées, et dispositif RIC de réinvestissement.</w:t>
      </w:r>
    </w:p>
    <w:p>
      <w:pPr>
        <w:spacing w:after="160" w:line="276"/>
        <w:jc w:val="both"/>
      </w:pPr>
      <w:r>
        <w:rPr>
          <w:rFonts w:ascii="Arial" w:cs="Arial" w:eastAsia="Arial" w:hAnsi="Arial"/>
          <w:b w:val="false"/>
          <w:bCs w:val="false"/>
          <w:i w:val="false"/>
          <w:iCs w:val="false"/>
          <w:color w:val="222222"/>
          <w:sz w:val="22"/>
          <w:szCs w:val="22"/>
        </w:rPr>
        <w:t xml:space="preserve">Avec un chiffre d'affaires cible de l'ordre de 176 000 € la première année et une forte croissance attendue dès la deuxième année une fois la notoriété installée, La French Touch dispose d'un solide potentiel de développement, à condition d'une exécution rigoureuse : emplacement, qualité constante du produit et présence digitale offensive sur les réseaux sociaux.</w:t>
      </w:r>
    </w:p>
    <w:p>
      <w:pPr>
        <w:pStyle w:val="Heading1"/>
        <w:pBdr>
          <w:bottom w:val="single" w:color="D9342B" w:sz="18" w:space="6"/>
        </w:pBdr>
        <w:spacing w:after="60" w:before="360"/>
      </w:pPr>
      <w:r>
        <w:rPr>
          <w:rFonts w:ascii="Arial" w:cs="Arial" w:eastAsia="Arial" w:hAnsi="Arial"/>
          <w:b/>
          <w:bCs/>
          <w:color w:val="1A1A1A"/>
          <w:sz w:val="34"/>
          <w:szCs w:val="34"/>
        </w:rPr>
        <w:t xml:space="preserve">Activité</w:t>
      </w:r>
    </w:p>
    <w:p>
      <w:pPr>
        <w:spacing w:after="160" w:line="276"/>
        <w:jc w:val="both"/>
      </w:pPr>
      <w:r>
        <w:rPr>
          <w:rFonts w:ascii="Arial" w:cs="Arial" w:eastAsia="Arial" w:hAnsi="Arial"/>
          <w:b w:val="false"/>
          <w:bCs w:val="false"/>
          <w:i w:val="false"/>
          <w:iCs w:val="false"/>
          <w:color w:val="222222"/>
          <w:sz w:val="22"/>
          <w:szCs w:val="22"/>
        </w:rPr>
        <w:t xml:space="preserve">La French Touch se concentre sur la conception, la production et la commercialisation d'une offre de poulet rôti à la braise « à la française », destinée à une clientèle mixte de touristes internationaux et de résidents de la zone de Maspalomas. Le cœur de métier est la restauration : un produit populaire et universel — le poulet rôti — sublimé par un savoir-faire et une identité de marque français, et distribué sur un double canal salle et livraison.</w:t>
      </w:r>
    </w:p>
    <w:p>
      <w:pPr>
        <w:spacing w:after="160" w:line="276"/>
        <w:jc w:val="both"/>
      </w:pPr>
      <w:r>
        <w:rPr>
          <w:rFonts w:ascii="Arial" w:cs="Arial" w:eastAsia="Arial" w:hAnsi="Arial"/>
          <w:b w:val="false"/>
          <w:bCs w:val="false"/>
          <w:i w:val="false"/>
          <w:iCs w:val="false"/>
          <w:color w:val="222222"/>
          <w:sz w:val="22"/>
          <w:szCs w:val="22"/>
        </w:rPr>
        <w:t xml:space="preserve">L'offre s'articule autour de trois axes de revenus complémentaires, chacun pensé pour capter un flux de demande distinct mais convergent :</w:t>
      </w:r>
    </w:p>
    <w:p>
      <w:pPr>
        <w:pStyle w:val="Heading2"/>
        <w:spacing w:after="100" w:before="240"/>
      </w:pPr>
      <w:r>
        <w:rPr>
          <w:rFonts w:ascii="Arial" w:cs="Arial" w:eastAsia="Arial" w:hAnsi="Arial"/>
          <w:b/>
          <w:bCs/>
          <w:color w:val="2A6FB0"/>
          <w:sz w:val="26"/>
          <w:szCs w:val="26"/>
        </w:rPr>
        <w:t xml:space="preserve">Formule Salle — l'expérience sur place</w:t>
      </w:r>
    </w:p>
    <w:p>
      <w:pPr>
        <w:spacing w:after="160" w:line="276"/>
        <w:jc w:val="both"/>
      </w:pPr>
      <w:r>
        <w:rPr>
          <w:rFonts w:ascii="Arial" w:cs="Arial" w:eastAsia="Arial" w:hAnsi="Arial"/>
          <w:b w:val="false"/>
          <w:bCs w:val="false"/>
          <w:i w:val="false"/>
          <w:iCs w:val="false"/>
          <w:color w:val="222222"/>
          <w:sz w:val="22"/>
          <w:szCs w:val="22"/>
        </w:rPr>
        <w:t xml:space="preserve">Un service en salle de 30 à 60 couverts, dans un espace décoré aux couleurs de l'enseigne (noir, rouge, jaune, touches bleu-blanc-rouge), pensé comme un lieu immersif et photogénique. Menus midi et soir, formules famille, terrasse exploitable toute l'année grâce au climat doux. C'est le canal qui incarne la marque et génère le contenu utilisateur (photos, vidéos) qui alimente les réseaux sociaux.</w:t>
      </w:r>
    </w:p>
    <w:p>
      <w:pPr>
        <w:pStyle w:val="Heading2"/>
        <w:spacing w:after="100" w:before="240"/>
      </w:pPr>
      <w:r>
        <w:rPr>
          <w:rFonts w:ascii="Arial" w:cs="Arial" w:eastAsia="Arial" w:hAnsi="Arial"/>
          <w:b/>
          <w:bCs/>
          <w:color w:val="2A6FB0"/>
          <w:sz w:val="26"/>
          <w:szCs w:val="26"/>
        </w:rPr>
        <w:t xml:space="preserve">Formule Emporter — le comptoir rapide</w:t>
      </w:r>
    </w:p>
    <w:p>
      <w:pPr>
        <w:spacing w:after="160" w:line="276"/>
        <w:jc w:val="both"/>
      </w:pPr>
      <w:r>
        <w:rPr>
          <w:rFonts w:ascii="Arial" w:cs="Arial" w:eastAsia="Arial" w:hAnsi="Arial"/>
          <w:b w:val="false"/>
          <w:bCs w:val="false"/>
          <w:i w:val="false"/>
          <w:iCs w:val="false"/>
          <w:color w:val="222222"/>
          <w:sz w:val="22"/>
          <w:szCs w:val="22"/>
        </w:rPr>
        <w:t xml:space="preserve">Une vente à emporter au comptoir, ciblant le flux piéton dense du front de mer et la demande de repas rapides et accessibles. Poulets entiers, demi-poulets, accompagnements et sauces signature à emporter, à un ticket maîtrisé.</w:t>
      </w:r>
    </w:p>
    <w:p>
      <w:pPr>
        <w:pStyle w:val="Heading2"/>
        <w:spacing w:after="100" w:before="240"/>
      </w:pPr>
      <w:r>
        <w:rPr>
          <w:rFonts w:ascii="Arial" w:cs="Arial" w:eastAsia="Arial" w:hAnsi="Arial"/>
          <w:b/>
          <w:bCs/>
          <w:color w:val="2A6FB0"/>
          <w:sz w:val="26"/>
          <w:szCs w:val="26"/>
        </w:rPr>
        <w:t xml:space="preserve">Formule Livraison — la captation à domicile</w:t>
      </w:r>
    </w:p>
    <w:p>
      <w:pPr>
        <w:spacing w:after="160" w:line="276"/>
        <w:jc w:val="both"/>
      </w:pPr>
      <w:r>
        <w:rPr>
          <w:rFonts w:ascii="Arial" w:cs="Arial" w:eastAsia="Arial" w:hAnsi="Arial"/>
          <w:b w:val="false"/>
          <w:bCs w:val="false"/>
          <w:i w:val="false"/>
          <w:iCs w:val="false"/>
          <w:color w:val="222222"/>
          <w:sz w:val="22"/>
          <w:szCs w:val="22"/>
        </w:rPr>
        <w:t xml:space="preserve">Une présence sur les plateformes de livraison (Glovo, Just Eat, Uber Eats) et le service local GC Express, pour capter la demande à domicile et surtout celle des locations de vacances et appartements touristiques, très nombreux dans la zone. Ce canal occupe également le créneau du dîner, peu couvert par les asaderos de midi.</w:t>
      </w:r>
    </w:p>
    <w:p>
      <w:pPr>
        <w:spacing w:after="160" w:before="100" w:line="276"/>
        <w:jc w:val="both"/>
      </w:pPr>
      <w:r>
        <w:rPr>
          <w:rFonts w:ascii="Arial" w:cs="Arial" w:eastAsia="Arial" w:hAnsi="Arial"/>
          <w:b w:val="false"/>
          <w:bCs w:val="false"/>
          <w:i w:val="false"/>
          <w:iCs w:val="false"/>
          <w:color w:val="222222"/>
          <w:sz w:val="22"/>
          <w:szCs w:val="22"/>
        </w:rPr>
        <w:t xml:space="preserve">À ces trois canaux s'ajoutent les ventes additionnelles à forte marge (boissons, desserts français, formules famille) et, à terme, des partenariats de fourniture avec les hôtels, conciergeries et locations de vacances de la zone.</w:t>
      </w:r>
    </w:p>
    <w:p>
      <w:pPr>
        <w:pStyle w:val="Heading1"/>
        <w:pBdr>
          <w:bottom w:val="single" w:color="D9342B" w:sz="18" w:space="6"/>
        </w:pBdr>
        <w:spacing w:after="60" w:before="360"/>
      </w:pPr>
      <w:r>
        <w:rPr>
          <w:rFonts w:ascii="Arial" w:cs="Arial" w:eastAsia="Arial" w:hAnsi="Arial"/>
          <w:b/>
          <w:bCs/>
          <w:color w:val="1A1A1A"/>
          <w:sz w:val="34"/>
          <w:szCs w:val="34"/>
        </w:rPr>
        <w:t xml:space="preserve">Marché</w:t>
      </w:r>
    </w:p>
    <w:p>
      <w:pPr>
        <w:spacing w:after="160" w:line="276"/>
        <w:jc w:val="both"/>
      </w:pPr>
      <w:r>
        <w:rPr>
          <w:rFonts w:ascii="Arial" w:cs="Arial" w:eastAsia="Arial" w:hAnsi="Arial"/>
          <w:b w:val="false"/>
          <w:bCs w:val="false"/>
          <w:i w:val="false"/>
          <w:iCs w:val="false"/>
          <w:color w:val="222222"/>
          <w:sz w:val="22"/>
          <w:szCs w:val="22"/>
        </w:rPr>
        <w:t xml:space="preserve">La French Touch cible un marché dynamique et structurellement porteur : la restauration touristique de Maspalomas, alimentée par l'un des flux de visiteurs les plus denses et les plus continus d'Espagne. Le tourisme représente plus de 35 % du PIB des Canaries et plus de 400 000 emplois ; la restauration y est un secteur structurant, soutenu par une fréquentation record et une clientèle renouvelée en permanence.</w:t>
      </w:r>
    </w:p>
    <w:p>
      <w:pPr>
        <w:spacing w:after="160" w:line="276"/>
        <w:jc w:val="both"/>
      </w:pPr>
      <w:r>
        <w:rPr>
          <w:rFonts w:ascii="Arial" w:cs="Arial" w:eastAsia="Arial" w:hAnsi="Arial"/>
          <w:b w:val="false"/>
          <w:bCs w:val="false"/>
          <w:i w:val="false"/>
          <w:iCs w:val="false"/>
          <w:color w:val="222222"/>
          <w:sz w:val="22"/>
          <w:szCs w:val="22"/>
        </w:rPr>
        <w:t xml:space="preserve">Notre marché cible se compose de deux grands ensembles. D'une part, les touristes internationaux en séjour (Britanniques, Allemands, nordiques, Néerlandais et, de plus en plus, Français), dont la durée moyenne de séjour avoisine 7 nuits et qui se restaurent fréquemment hors de leur hébergement. D'autre part, les quelque 54 000 résidents de la commune et la main-d'œuvre saisonnière, en quête d'une restauration conviviale, qualitative et accessible au quotidien.</w:t>
      </w:r>
    </w:p>
    <w:p>
      <w:pPr>
        <w:spacing w:after="160" w:line="276"/>
        <w:jc w:val="both"/>
      </w:pPr>
      <w:r>
        <w:rPr>
          <w:rFonts w:ascii="Arial" w:cs="Arial" w:eastAsia="Arial" w:hAnsi="Arial"/>
          <w:b w:val="false"/>
          <w:bCs w:val="false"/>
          <w:i w:val="false"/>
          <w:iCs w:val="false"/>
          <w:color w:val="222222"/>
          <w:sz w:val="22"/>
          <w:szCs w:val="22"/>
        </w:rPr>
        <w:t xml:space="preserve">La zone de chalandise primaire — le front de mer — bénéficie d'un flux piéton dense, peu marqué par la saisonnalité grâce au climat doux toute l'année. Cette double clientèle, locale et internationale, permet de lisser l'activité et de réduire la dépendance à un seul segment.</w:t>
      </w:r>
    </w:p>
    <w:p>
      <w:pPr>
        <w:pStyle w:val="Heading2"/>
        <w:spacing w:after="100" w:before="240"/>
      </w:pPr>
      <w:r>
        <w:rPr>
          <w:rFonts w:ascii="Arial" w:cs="Arial" w:eastAsia="Arial" w:hAnsi="Arial"/>
          <w:b/>
          <w:bCs/>
          <w:color w:val="2A6FB0"/>
          <w:sz w:val="26"/>
          <w:szCs w:val="26"/>
        </w:rPr>
        <w:t xml:space="preserve">Répartition des marchés émetteurs (Gran Canaria,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Marché émetteur</w:t>
            </w:r>
          </w:p>
        </w:tc>
        <w:tc>
          <w:tcPr>
            <w:tcW w:type="dxa" w:w="33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Touristes 2025</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Tendance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Royaume-Uni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1 072 132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+1,5 %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Allemagne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918 818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+1,8 %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Pays nordiques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838 027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−2,8 %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Espagne (national)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565 484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+2,8 %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Pays-Bas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333 571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+7,1 %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France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165 348</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+0,4 % (+43 % en déc.)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Italie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162 736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+17,3 %</w:t>
            </w:r>
          </w:p>
        </w:tc>
      </w:tr>
    </w:tbl>
    <w:p>
      <w:pPr>
        <w:spacing w:after="160" w:before="100" w:line="276"/>
        <w:jc w:val="both"/>
      </w:pPr>
      <w:r>
        <w:rPr>
          <w:rFonts w:ascii="Arial" w:cs="Arial" w:eastAsia="Arial" w:hAnsi="Arial"/>
          <w:b w:val="false"/>
          <w:bCs w:val="false"/>
          <w:i w:val="false"/>
          <w:iCs w:val="false"/>
          <w:color w:val="222222"/>
          <w:sz w:val="22"/>
          <w:szCs w:val="22"/>
        </w:rPr>
        <w:t xml:space="preserve">Le marché français, bien qu'encore minoritaire en volume, connaît la dynamique la plus spectaculaire (+43 % sur le seul mois de décembre 2025). Pour un concept à identité française assumée, c'est un signal de marché particulièrement favorable, qui crée un effet de résonance entre la marque et une clientèle en forte croissance.</w:t>
      </w:r>
    </w:p>
    <w:p>
      <w:pPr>
        <w:spacing w:after="160" w:line="276"/>
        <w:jc w:val="both"/>
      </w:pPr>
      <w:r>
        <w:rPr>
          <w:rFonts w:ascii="Arial" w:cs="Arial" w:eastAsia="Arial" w:hAnsi="Arial"/>
          <w:b w:val="false"/>
          <w:bCs w:val="false"/>
          <w:i w:val="false"/>
          <w:iCs w:val="false"/>
          <w:color w:val="222222"/>
          <w:sz w:val="22"/>
          <w:szCs w:val="22"/>
        </w:rPr>
        <w:t xml:space="preserve">Les tendances de consommation renforcent la pertinence du positionnement : essor continu de la livraison, poids décisif des avis en ligne (Google, TripAdvisor), et recherche croissante d'une « comfort food » de qualité portée par une identité forte plutôt que par un produit générique.</w:t>
      </w:r>
    </w:p>
    <w:p>
      <w:pPr>
        <w:pStyle w:val="Heading1"/>
        <w:pBdr>
          <w:bottom w:val="single" w:color="D9342B" w:sz="18" w:space="6"/>
        </w:pBdr>
        <w:spacing w:after="60" w:before="360"/>
      </w:pPr>
      <w:r>
        <w:rPr>
          <w:rFonts w:ascii="Arial" w:cs="Arial" w:eastAsia="Arial" w:hAnsi="Arial"/>
          <w:b/>
          <w:bCs/>
          <w:color w:val="1A1A1A"/>
          <w:sz w:val="34"/>
          <w:szCs w:val="34"/>
        </w:rPr>
        <w:t xml:space="preserve">Chiffres Clés</w:t>
      </w:r>
    </w:p>
    <w:p>
      <w:pPr>
        <w:spacing w:after="160" w:line="276"/>
        <w:jc w:val="both"/>
      </w:pPr>
      <w:r>
        <w:rPr>
          <w:rFonts w:ascii="Arial" w:cs="Arial" w:eastAsia="Arial" w:hAnsi="Arial"/>
          <w:b w:val="false"/>
          <w:bCs w:val="false"/>
          <w:i w:val="false"/>
          <w:iCs w:val="false"/>
          <w:color w:val="222222"/>
          <w:sz w:val="22"/>
          <w:szCs w:val="22"/>
        </w:rPr>
        <w:t xml:space="preserve">Les chiffres clés permettent d'évaluer le potentiel de marché et l'opportunité commerciale de La French Touch. Ils confirment un environnement de demande exceptionnellement favorable, conjugué à un positionnement encore inoccupé.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Indicateur</w:t>
            </w:r>
          </w:p>
        </w:tc>
        <w:tc>
          <w:tcPr>
            <w:tcW w:type="dxa" w:w="4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Valeur</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Touristes Gran Canaria (2025)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4 856 483 (+3 %)</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Rang de Maspalomas en Espagne (nuitées)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3ᵉ destination</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Part du tourisme dans le PIB canarien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&gt; 35 %</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Emplois liés au tourisme (Canaries)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&gt; 400 000</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Durée moyenne de séjour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7 nuits</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Hôtels dans la commune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&gt; 72</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Résidents de la commune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54 000</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Ticket moyen visé</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11 € (&lt; 12 €)</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CA cible année 1</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176 000 €</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IGIC restauration (Canaries)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3 %</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IS entreprise nouvelle (Canaries)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15 %</w:t>
            </w:r>
          </w:p>
        </w:tc>
      </w:tr>
    </w:tbl>
    <w:p>
      <w:pPr>
        <w:spacing w:after="160" w:before="100" w:line="276"/>
        <w:jc w:val="both"/>
      </w:pPr>
      <w:r>
        <w:rPr>
          <w:rFonts w:ascii="Arial" w:cs="Arial" w:eastAsia="Arial" w:hAnsi="Arial"/>
          <w:b w:val="false"/>
          <w:bCs w:val="false"/>
          <w:i w:val="false"/>
          <w:iCs w:val="false"/>
          <w:color w:val="222222"/>
          <w:sz w:val="22"/>
          <w:szCs w:val="22"/>
        </w:rPr>
        <w:t xml:space="preserve">Ces données démontrent le fort potentiel du projet : un volume de clientèle massif et continu, une saisonnalité atténuée par le climat, une fiscalité parmi les plus favorables d'Europe, et un ticket d'entrée économique résilient même en cas de ralentissement de la consommation. La conjonction de ces facteurs positionne La French Touch pour capter une part significative d'un marché en croissance.</w:t>
      </w:r>
    </w:p>
    <w:p>
      <w:pPr>
        <w:pStyle w:val="Heading1"/>
        <w:pBdr>
          <w:bottom w:val="single" w:color="D9342B" w:sz="18" w:space="6"/>
        </w:pBdr>
        <w:spacing w:after="60" w:before="360"/>
      </w:pPr>
      <w:r>
        <w:rPr>
          <w:rFonts w:ascii="Arial" w:cs="Arial" w:eastAsia="Arial" w:hAnsi="Arial"/>
          <w:b/>
          <w:bCs/>
          <w:color w:val="1A1A1A"/>
          <w:sz w:val="34"/>
          <w:szCs w:val="34"/>
        </w:rPr>
        <w:t xml:space="preserve">Besoin</w:t>
      </w:r>
    </w:p>
    <w:p>
      <w:pPr>
        <w:spacing w:after="160" w:line="276"/>
        <w:jc w:val="both"/>
      </w:pPr>
      <w:r>
        <w:rPr>
          <w:rFonts w:ascii="Arial" w:cs="Arial" w:eastAsia="Arial" w:hAnsi="Arial"/>
          <w:b w:val="false"/>
          <w:bCs w:val="false"/>
          <w:i w:val="false"/>
          <w:iCs w:val="false"/>
          <w:color w:val="222222"/>
          <w:sz w:val="22"/>
          <w:szCs w:val="22"/>
        </w:rPr>
        <w:t xml:space="preserve">Le projet répond à un manque clairement identifié sur le marché de Maspalomas. La zone concentre une offre dense d'asaderos (rôtisseries) et de restauration touristique, mais largement indifférenciée : asaderos locaux classiques, enseignes latino-américaines, combinés pizza + poulet. Le visiteur comme le résident manquent d'une offre de poulet rôti à la fois accessible, qualitative et porteuse d'une identité forte.</w:t>
      </w:r>
    </w:p>
    <w:p>
      <w:pPr>
        <w:spacing w:after="160" w:line="276"/>
        <w:jc w:val="both"/>
      </w:pPr>
      <w:r>
        <w:rPr>
          <w:rFonts w:ascii="Arial" w:cs="Arial" w:eastAsia="Arial" w:hAnsi="Arial"/>
          <w:b w:val="false"/>
          <w:bCs w:val="false"/>
          <w:i w:val="false"/>
          <w:iCs w:val="false"/>
          <w:color w:val="222222"/>
          <w:sz w:val="22"/>
          <w:szCs w:val="22"/>
        </w:rPr>
        <w:t xml:space="preserve">Ce manque se double d'une lacune temporelle. Les asaderos « purs » de la zone (San Fernando, Artiles, Sabores, Jandía) sont essentiellement positionnés sur le midi et l'emporter, et ferment vers 16 h. Le créneau du dîner en poulet rôti est donc très peu couvert : seules quelques enseignes tiennent le soir. À l'inverse, le dîner différencié de la zone est tenu par des grills (Grill El Asador, Abrasa Grill) très bien notés mais chers, qui ne proposent ni poulet rôti ni livraison.</w:t>
      </w:r>
    </w:p>
    <w:p>
      <w:pPr>
        <w:spacing w:after="160" w:line="276"/>
        <w:jc w:val="both"/>
      </w:pPr>
      <w:r>
        <w:rPr>
          <w:rFonts w:ascii="Arial" w:cs="Arial" w:eastAsia="Arial" w:hAnsi="Arial"/>
          <w:b w:val="false"/>
          <w:bCs w:val="false"/>
          <w:i w:val="false"/>
          <w:iCs w:val="false"/>
          <w:color w:val="222222"/>
          <w:sz w:val="22"/>
          <w:szCs w:val="22"/>
        </w:rPr>
        <w:t xml:space="preserve">La French Touch comble ce double manque avec une signature française reconnaissable — recettes, sauces, accompagnements, marque — appliquée à un produit populaire et universel, le poulet rôti, et combinée à une distribution moderne (salle + livraison) qui capte aussi bien le flux piéton balnéaire que la demande à domicile et en location de vacances.</w:t>
      </w:r>
    </w:p>
    <w:p>
      <w:pPr>
        <w:spacing w:after="160" w:line="276"/>
        <w:jc w:val="both"/>
      </w:pPr>
      <w:r>
        <w:rPr>
          <w:rFonts w:ascii="Arial" w:cs="Arial" w:eastAsia="Arial" w:hAnsi="Arial"/>
          <w:b w:val="false"/>
          <w:bCs w:val="false"/>
          <w:i w:val="false"/>
          <w:iCs w:val="false"/>
          <w:color w:val="222222"/>
          <w:sz w:val="22"/>
          <w:szCs w:val="22"/>
        </w:rPr>
        <w:t xml:space="preserve">Le besoin est donc triple : un produit rassurant et accessible, une expérience et une identité différenciantes, et une disponibilité aux bons moments (dont le dîner) et sur les bons canaux (dont la livraison). C'est l'intersection de ces trois besoins que personne n'adresse aujourd'hui sur la zone — et que La French Touch vient occuper.</w:t>
      </w:r>
    </w:p>
    <w:p>
      <w:pPr>
        <w:pStyle w:val="Heading1"/>
        <w:pBdr>
          <w:bottom w:val="single" w:color="D9342B" w:sz="18" w:space="6"/>
        </w:pBdr>
        <w:spacing w:after="60" w:before="360"/>
      </w:pPr>
      <w:r>
        <w:rPr>
          <w:rFonts w:ascii="Arial" w:cs="Arial" w:eastAsia="Arial" w:hAnsi="Arial"/>
          <w:b/>
          <w:bCs/>
          <w:color w:val="1A1A1A"/>
          <w:sz w:val="34"/>
          <w:szCs w:val="34"/>
        </w:rPr>
        <w:t xml:space="preserve">Société</w:t>
      </w:r>
    </w:p>
    <w:p>
      <w:pPr>
        <w:spacing w:after="160" w:line="276"/>
        <w:jc w:val="both"/>
      </w:pPr>
      <w:r>
        <w:rPr>
          <w:rFonts w:ascii="Arial" w:cs="Arial" w:eastAsia="Arial" w:hAnsi="Arial"/>
          <w:b w:val="false"/>
          <w:bCs w:val="false"/>
          <w:i w:val="false"/>
          <w:iCs w:val="false"/>
          <w:color w:val="222222"/>
          <w:sz w:val="22"/>
          <w:szCs w:val="22"/>
        </w:rPr>
        <w:t xml:space="preserve">La French Touch sera exploitée par une société de droit espagnol, constituée spécifiquement pour le projet et domiciliée à Maspalomas (San Bartolomé de Tirajana, Gran Canaria), au plus près de son marché et de son lieu d'exploitation. Le choix de la forme juridique a été arbitré sans ambiguïté en faveur de la Sociedad Limitada (SL), équivalent espagnol de la SARL/SAS.</w:t>
      </w:r>
    </w:p>
    <w:p>
      <w:pPr>
        <w:spacing w:after="160" w:line="276"/>
        <w:jc w:val="both"/>
      </w:pPr>
      <w:r>
        <w:rPr>
          <w:rFonts w:ascii="Arial" w:cs="Arial" w:eastAsia="Arial" w:hAnsi="Arial"/>
          <w:b w:val="false"/>
          <w:bCs w:val="false"/>
          <w:i w:val="false"/>
          <w:iCs w:val="false"/>
          <w:color w:val="222222"/>
          <w:sz w:val="22"/>
          <w:szCs w:val="22"/>
        </w:rPr>
        <w:t xml:space="preserve">Ce choix s'impose pour plusieurs raisons. La SL offre une responsabilité limitée, qui protège le patrimoine personnel des associés — en particulier celui des investisseurs. Elle accueille sans difficulté des associés résidents et non-résidents mélangés, ce qui correspond exactement à la configuration du projet. Elle autorise des parts modulables et une gouvernance souple. Enfin, son capital minimum est très accessible : depuis la loi Crea y Crece (2022), une SL peut se constituer dès 1 €, avec l'obligation d'affecter 20 % du bénéfice en réserve jusqu'à atteindre 3 000 €. En pratique, viser un capital de 3 000 € et plus reste recommandé pour la crédibilité bancaire et fournisseurs.</w:t>
      </w:r>
    </w:p>
    <w:p>
      <w:pPr>
        <w:spacing w:after="160" w:line="276"/>
        <w:jc w:val="both"/>
      </w:pPr>
      <w:r>
        <w:rPr>
          <w:rFonts w:ascii="Arial" w:cs="Arial" w:eastAsia="Arial" w:hAnsi="Arial"/>
          <w:b w:val="false"/>
          <w:bCs w:val="false"/>
          <w:i w:val="false"/>
          <w:iCs w:val="false"/>
          <w:color w:val="222222"/>
          <w:sz w:val="22"/>
          <w:szCs w:val="22"/>
        </w:rPr>
        <w:t xml:space="preserve">L'auto-entreprise (autónomo) a été écartée d'emblée : statut individuel, elle est incompatible avec une structure à quatre associés.</w:t>
      </w:r>
    </w:p>
    <w:p>
      <w:pPr>
        <w:pStyle w:val="Heading2"/>
        <w:spacing w:after="100" w:before="240"/>
      </w:pPr>
      <w:r>
        <w:rPr>
          <w:rFonts w:ascii="Arial" w:cs="Arial" w:eastAsia="Arial" w:hAnsi="Arial"/>
          <w:b/>
          <w:bCs/>
          <w:color w:val="2A6FB0"/>
          <w:sz w:val="26"/>
          <w:szCs w:val="26"/>
        </w:rPr>
        <w:t xml:space="preserve">Implantation et avantages fiscaux (REF)</w:t>
      </w:r>
    </w:p>
    <w:p>
      <w:pPr>
        <w:spacing w:after="160" w:line="276"/>
        <w:jc w:val="both"/>
      </w:pPr>
      <w:r>
        <w:rPr>
          <w:rFonts w:ascii="Arial" w:cs="Arial" w:eastAsia="Arial" w:hAnsi="Arial"/>
          <w:b w:val="false"/>
          <w:bCs w:val="false"/>
          <w:i w:val="false"/>
          <w:iCs w:val="false"/>
          <w:color w:val="222222"/>
          <w:sz w:val="22"/>
          <w:szCs w:val="22"/>
        </w:rPr>
        <w:t xml:space="preserve">La domiciliation aux Canaries permet d'exploiter pleinement le Régime Économique et Fiscal (REF), l'un des plus favorables d'Europe :</w:t>
      </w:r>
    </w:p>
    <w:p>
      <w:pPr>
        <w:pStyle w:val="ListParagraph"/>
        <w:numPr>
          <w:ilvl w:val="0"/>
          <w:numId w:val="2"/>
        </w:numPr>
        <w:spacing w:after="90" w:line="270"/>
        <w:jc w:val="both"/>
      </w:pPr>
      <w:r>
        <w:rPr>
          <w:rFonts w:ascii="Arial" w:cs="Arial" w:eastAsia="Arial" w:hAnsi="Arial"/>
          <w:b/>
          <w:bCs/>
          <w:color w:val="1A1A1A"/>
          <w:sz w:val="22"/>
          <w:szCs w:val="22"/>
        </w:rPr>
        <w:t xml:space="preserve">IGIC à 3 % : </w:t>
      </w:r>
      <w:r>
        <w:rPr>
          <w:rFonts w:ascii="Arial" w:cs="Arial" w:eastAsia="Arial" w:hAnsi="Arial"/>
          <w:color w:val="222222"/>
          <w:sz w:val="22"/>
          <w:szCs w:val="22"/>
        </w:rPr>
        <w:t xml:space="preserve">la restauration bénéficie du taux réduit d'IGIC (3 %), contre 10 % de TVA restauration sur le continent — un avantage de trésorerie réel et permanent.</w:t>
      </w:r>
    </w:p>
    <w:p>
      <w:pPr>
        <w:pStyle w:val="ListParagraph"/>
        <w:numPr>
          <w:ilvl w:val="0"/>
          <w:numId w:val="2"/>
        </w:numPr>
        <w:spacing w:after="90" w:line="270"/>
        <w:jc w:val="both"/>
      </w:pPr>
      <w:r>
        <w:rPr>
          <w:rFonts w:ascii="Arial" w:cs="Arial" w:eastAsia="Arial" w:hAnsi="Arial"/>
          <w:b/>
          <w:bCs/>
          <w:color w:val="1A1A1A"/>
          <w:sz w:val="22"/>
          <w:szCs w:val="22"/>
        </w:rPr>
        <w:t xml:space="preserve">IS à 15 % : </w:t>
      </w:r>
      <w:r>
        <w:rPr>
          <w:rFonts w:ascii="Arial" w:cs="Arial" w:eastAsia="Arial" w:hAnsi="Arial"/>
          <w:color w:val="222222"/>
          <w:sz w:val="22"/>
          <w:szCs w:val="22"/>
        </w:rPr>
        <w:t xml:space="preserve">avec une répartition 25/25/25/25 (aucun associé majoritaire) et une activité réellement nouvelle, la société remplit les conditions du taux réduit d'impôt sur les sociétés des entreprises nouvellement créées.</w:t>
      </w:r>
    </w:p>
    <w:p>
      <w:pPr>
        <w:pStyle w:val="ListParagraph"/>
        <w:numPr>
          <w:ilvl w:val="0"/>
          <w:numId w:val="2"/>
        </w:numPr>
        <w:spacing w:after="90" w:line="270"/>
        <w:jc w:val="both"/>
      </w:pPr>
      <w:r>
        <w:rPr>
          <w:rFonts w:ascii="Arial" w:cs="Arial" w:eastAsia="Arial" w:hAnsi="Arial"/>
          <w:b/>
          <w:bCs/>
          <w:color w:val="1A1A1A"/>
          <w:sz w:val="22"/>
          <w:szCs w:val="22"/>
        </w:rPr>
        <w:t xml:space="preserve">RIC : </w:t>
      </w:r>
      <w:r>
        <w:rPr>
          <w:rFonts w:ascii="Arial" w:cs="Arial" w:eastAsia="Arial" w:hAnsi="Arial"/>
          <w:color w:val="222222"/>
          <w:sz w:val="22"/>
          <w:szCs w:val="22"/>
        </w:rPr>
        <w:t xml:space="preserve">la Reserva para Inversiones en Canarias permet de réduire fortement la base d'IS en réinvestissant les bénéfices sur place (matériel, agencement) — l'outil canarien le mieux adapté à l'échelle du projet.</w:t>
      </w:r>
    </w:p>
    <w:p>
      <w:pPr>
        <w:spacing w:after="160" w:before="100" w:line="276"/>
        <w:jc w:val="both"/>
      </w:pPr>
      <w:r>
        <w:rPr>
          <w:rFonts w:ascii="Arial" w:cs="Arial" w:eastAsia="Arial" w:hAnsi="Arial"/>
          <w:b w:val="false"/>
          <w:bCs w:val="false"/>
          <w:i w:val="false"/>
          <w:iCs w:val="false"/>
          <w:color w:val="222222"/>
          <w:sz w:val="22"/>
          <w:szCs w:val="22"/>
        </w:rPr>
        <w:t xml:space="preserve">Le dispositif ZEC (Zona Especial Canaria) a en revanche été écarté : il exige un investissement d'environ 100 000 € et des créations d'emplois minimales, hors de la dimension du projet.</w:t>
      </w:r>
    </w:p>
    <w:p>
      <w:pPr>
        <w:pStyle w:val="Heading2"/>
        <w:spacing w:after="100" w:before="240"/>
      </w:pPr>
      <w:r>
        <w:rPr>
          <w:rFonts w:ascii="Arial" w:cs="Arial" w:eastAsia="Arial" w:hAnsi="Arial"/>
          <w:b/>
          <w:bCs/>
          <w:color w:val="2A6FB0"/>
          <w:sz w:val="26"/>
          <w:szCs w:val="26"/>
        </w:rPr>
        <w:t xml:space="preserve">Coûts de constitution et de fonctionnement</w:t>
      </w:r>
    </w:p>
    <w:p>
      <w:pPr>
        <w:spacing w:after="160" w:line="276"/>
        <w:jc w:val="both"/>
      </w:pPr>
      <w:r>
        <w:rPr>
          <w:rFonts w:ascii="Arial" w:cs="Arial" w:eastAsia="Arial" w:hAnsi="Arial"/>
          <w:b w:val="false"/>
          <w:bCs w:val="false"/>
          <w:i w:val="false"/>
          <w:iCs w:val="false"/>
          <w:color w:val="222222"/>
          <w:sz w:val="22"/>
          <w:szCs w:val="22"/>
        </w:rPr>
        <w:t xml:space="preserve">La constitution suppose le passage chez un notaire espagnol, l'inscription au Registro Mercantil et l'obtention du CIF (numéro fiscal de la société). Aux frais de constitution (notaire, gestor, statuts) s'ajoutent les coûts d'exploitation récurrents : loyer du local, matières premières, salaires et cotisations, énergie, commissions des plateformes de livraison et budget marketing. Le pilotage de cette structure sera confié à un gestor / asesor fiscal établi à Gran Canaria, dont le choix constitue la toute première étape opérationnelle du projet.</w:t>
      </w:r>
    </w:p>
    <w:p>
      <w:pPr>
        <w:pStyle w:val="Heading1"/>
        <w:pBdr>
          <w:bottom w:val="single" w:color="D9342B" w:sz="18" w:space="6"/>
        </w:pBdr>
        <w:spacing w:after="60" w:before="360"/>
      </w:pPr>
      <w:r>
        <w:rPr>
          <w:rFonts w:ascii="Arial" w:cs="Arial" w:eastAsia="Arial" w:hAnsi="Arial"/>
          <w:b/>
          <w:bCs/>
          <w:color w:val="1A1A1A"/>
          <w:sz w:val="34"/>
          <w:szCs w:val="34"/>
        </w:rPr>
        <w:t xml:space="preserve">Structure et Actionnariat</w:t>
      </w:r>
    </w:p>
    <w:p>
      <w:pPr>
        <w:spacing w:after="160" w:line="276"/>
        <w:jc w:val="both"/>
      </w:pPr>
      <w:r>
        <w:rPr>
          <w:rFonts w:ascii="Arial" w:cs="Arial" w:eastAsia="Arial" w:hAnsi="Arial"/>
          <w:b w:val="false"/>
          <w:bCs w:val="false"/>
          <w:i w:val="false"/>
          <w:iCs w:val="false"/>
          <w:color w:val="222222"/>
          <w:sz w:val="22"/>
          <w:szCs w:val="22"/>
        </w:rPr>
        <w:t xml:space="preserve">La structure de La French Touch réunit quatre associés à parts strictement égales (25 % chacun), répartis en deux profils complémentaires : deux associés opérationnels, présents sur place à Maspalomas — dont l'un déménage et devient résident fiscal espagnol — et deux associés investisseurs, qui restent en France et apportent l'essentiel du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Profil</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Apport</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Rôle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2 opérationnels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Travail / savoir-faire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Exploitation sur place ; un gérant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2 investisseurs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Cash + comptes courants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Associés passifs, en France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Répartition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25 / 25 / 25 / 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Égalité actée</w:t>
            </w:r>
          </w:p>
        </w:tc>
      </w:tr>
    </w:tbl>
    <w:p>
      <w:pPr>
        <w:spacing w:after="160" w:before="120" w:line="276"/>
        <w:jc w:val="both"/>
      </w:pPr>
      <w:r>
        <w:rPr>
          <w:rFonts w:ascii="Arial" w:cs="Arial" w:eastAsia="Arial" w:hAnsi="Arial"/>
          <w:b w:val="false"/>
          <w:bCs w:val="false"/>
          <w:i w:val="false"/>
          <w:iCs w:val="false"/>
          <w:color w:val="222222"/>
          <w:sz w:val="22"/>
          <w:szCs w:val="22"/>
        </w:rPr>
        <w:t xml:space="preserve">Cette structure équilibrée appelle quatre dispositifs de sécurisation, indispensables à la solidité du montage :</w:t>
      </w:r>
    </w:p>
    <w:p>
      <w:pPr>
        <w:pStyle w:val="Heading2"/>
        <w:spacing w:after="100" w:before="240"/>
      </w:pPr>
      <w:r>
        <w:rPr>
          <w:rFonts w:ascii="Arial" w:cs="Arial" w:eastAsia="Arial" w:hAnsi="Arial"/>
          <w:b/>
          <w:bCs/>
          <w:color w:val="2A6FB0"/>
          <w:sz w:val="26"/>
          <w:szCs w:val="26"/>
        </w:rPr>
        <w:t xml:space="preserve">Pilier 1 — Pacte d'associés avec vesting</w:t>
      </w:r>
    </w:p>
    <w:p>
      <w:pPr>
        <w:spacing w:after="160" w:line="276"/>
        <w:jc w:val="both"/>
      </w:pPr>
      <w:r>
        <w:rPr>
          <w:rFonts w:ascii="Arial" w:cs="Arial" w:eastAsia="Arial" w:hAnsi="Arial"/>
          <w:b w:val="false"/>
          <w:bCs w:val="false"/>
          <w:i w:val="false"/>
          <w:iCs w:val="false"/>
          <w:color w:val="222222"/>
          <w:sz w:val="22"/>
          <w:szCs w:val="22"/>
        </w:rPr>
        <w:t xml:space="preserve">Deux associés reçoivent 25 % chacun en apportant surtout du travail, financés de fait par les investisseurs. Sans protection, un opérationnel qui quitterait le projet rapidement repartirait avec 25 % d'une société payée par les autres. Un pacte d'associés avec vesting (acquisition progressive des parts dans le temps), couplé à un rachat à valeur prédéfinie, sécurise l'ensemble du montage. Ce dispositif est non négociable.</w:t>
      </w:r>
    </w:p>
    <w:p>
      <w:pPr>
        <w:pStyle w:val="Heading2"/>
        <w:spacing w:after="100" w:before="240"/>
      </w:pPr>
      <w:r>
        <w:rPr>
          <w:rFonts w:ascii="Arial" w:cs="Arial" w:eastAsia="Arial" w:hAnsi="Arial"/>
          <w:b/>
          <w:bCs/>
          <w:color w:val="2A6FB0"/>
          <w:sz w:val="26"/>
          <w:szCs w:val="26"/>
        </w:rPr>
        <w:t xml:space="preserve">Pilier 2 — Comptes courants d'associés documentés</w:t>
      </w:r>
    </w:p>
    <w:p>
      <w:pPr>
        <w:spacing w:after="160" w:line="276"/>
        <w:jc w:val="both"/>
      </w:pPr>
      <w:r>
        <w:rPr>
          <w:rFonts w:ascii="Arial" w:cs="Arial" w:eastAsia="Arial" w:hAnsi="Arial"/>
          <w:b w:val="false"/>
          <w:bCs w:val="false"/>
          <w:i w:val="false"/>
          <w:iCs w:val="false"/>
          <w:color w:val="222222"/>
          <w:sz w:val="22"/>
          <w:szCs w:val="22"/>
        </w:rPr>
        <w:t xml:space="preserve">Les apports des investisseurs depuis la France constituent une dette remboursable, et non du capital. Ils sont récupérables avant toute valorisation des parts et peuvent porter intérêt. Ils exigent toutefois une convention de prêt écrite (montant, taux, échéances) pour éviter toute requalification par l'administration fiscale espagnole ; les intérêts versés à des résidents français sont traités via la convention fiscale France-Espagne.</w:t>
      </w:r>
    </w:p>
    <w:p>
      <w:pPr>
        <w:pStyle w:val="Heading2"/>
        <w:spacing w:after="100" w:before="240"/>
      </w:pPr>
      <w:r>
        <w:rPr>
          <w:rFonts w:ascii="Arial" w:cs="Arial" w:eastAsia="Arial" w:hAnsi="Arial"/>
          <w:b/>
          <w:bCs/>
          <w:color w:val="2A6FB0"/>
          <w:sz w:val="26"/>
          <w:szCs w:val="26"/>
        </w:rPr>
        <w:t xml:space="preserve">Pilier 3 — Régimes sociaux différenciés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Associé</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Régime probable</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Repère de coût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Gérant (25 % + administrateur, sur place)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Autónomo societario (RETA)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448 €/mois ; tarifa plana 80 €/mois la 1ʳᵉ année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2ᵉ opérationnel (25 %, non-gérant)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Régime général (salarié)</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Cotisations patronales + salariales</w:t>
            </w:r>
          </w:p>
        </w:tc>
      </w:tr>
    </w:tbl>
    <w:p>
      <w:pPr>
        <w:spacing w:after="160" w:before="100" w:line="276"/>
        <w:jc w:val="both"/>
      </w:pPr>
      <w:r>
        <w:rPr>
          <w:rFonts w:ascii="Arial" w:cs="Arial" w:eastAsia="Arial" w:hAnsi="Arial"/>
          <w:b w:val="false"/>
          <w:bCs w:val="false"/>
          <w:i w:val="false"/>
          <w:iCs w:val="false"/>
          <w:color w:val="222222"/>
          <w:sz w:val="22"/>
          <w:szCs w:val="22"/>
        </w:rPr>
        <w:t xml:space="preserve">Le gérant doit idéalement être l'associé qui déménage et devient résident espagnol, afin d'éviter les conflits de rattachement social France/Espagne et de clarifier l'établissement.</w:t>
      </w:r>
    </w:p>
    <w:p>
      <w:pPr>
        <w:pStyle w:val="Heading2"/>
        <w:spacing w:after="100" w:before="240"/>
      </w:pPr>
      <w:r>
        <w:rPr>
          <w:rFonts w:ascii="Arial" w:cs="Arial" w:eastAsia="Arial" w:hAnsi="Arial"/>
          <w:b/>
          <w:bCs/>
          <w:color w:val="2A6FB0"/>
          <w:sz w:val="26"/>
          <w:szCs w:val="26"/>
        </w:rPr>
        <w:t xml:space="preserve">Pilier 4 — Le NIE, verrou administratif n°1</w:t>
      </w:r>
    </w:p>
    <w:p>
      <w:pPr>
        <w:spacing w:after="160" w:line="276"/>
        <w:jc w:val="both"/>
      </w:pPr>
      <w:r>
        <w:rPr>
          <w:rFonts w:ascii="Arial" w:cs="Arial" w:eastAsia="Arial" w:hAnsi="Arial"/>
          <w:b w:val="false"/>
          <w:bCs w:val="false"/>
          <w:i w:val="false"/>
          <w:iCs w:val="false"/>
          <w:color w:val="222222"/>
          <w:sz w:val="22"/>
          <w:szCs w:val="22"/>
        </w:rPr>
        <w:t xml:space="preserve">Le NIE (Número de Identidad de Extranjero) est le numéro d'identification de tout étranger ayant des intérêts en Espagne. Sans NIE, on ne peut rien signer : l'acte notarié de création de la SL mentionne le NIE de chaque associé. Les quatre associés doivent donc l'obtenir avant la constitution. La voie recommandée est la procuration notariée (poder) confiée au gestor canarien, qui décroche les quatre NIE en une seule fois et débloque tout le reste de la constitution. L'associé qui s'installe demandera en complément, sur place, son Certificat d'enregistrement de citoyen UE (EX-18).</w:t>
      </w:r>
    </w:p>
    <w:p>
      <w:pPr>
        <w:pStyle w:val="Heading1"/>
        <w:pBdr>
          <w:bottom w:val="single" w:color="D9342B" w:sz="18" w:space="6"/>
        </w:pBdr>
        <w:spacing w:after="60" w:before="360"/>
      </w:pPr>
      <w:r>
        <w:rPr>
          <w:rFonts w:ascii="Arial" w:cs="Arial" w:eastAsia="Arial" w:hAnsi="Arial"/>
          <w:b/>
          <w:bCs/>
          <w:color w:val="1A1A1A"/>
          <w:sz w:val="34"/>
          <w:szCs w:val="34"/>
        </w:rPr>
        <w:t xml:space="preserve">Histoire</w:t>
      </w:r>
    </w:p>
    <w:p>
      <w:pPr>
        <w:spacing w:after="160" w:line="276"/>
        <w:jc w:val="both"/>
      </w:pPr>
      <w:r>
        <w:rPr>
          <w:rFonts w:ascii="Arial" w:cs="Arial" w:eastAsia="Arial" w:hAnsi="Arial"/>
          <w:b w:val="false"/>
          <w:bCs w:val="false"/>
          <w:i w:val="false"/>
          <w:iCs w:val="false"/>
          <w:color w:val="222222"/>
          <w:sz w:val="22"/>
          <w:szCs w:val="22"/>
        </w:rPr>
        <w:t xml:space="preserve">L'histoire de La French Touch naît de la rencontre entre une observation de terrain et une opportunité de marché. En fréquentant Maspalomas — l'un des cœurs touristiques les plus actifs d'Espagne — les fondateurs ont constaté un paradoxe : une offre de restauration pléthorique, et pourtant une absence criante de concept fort sur l'un des produits les plus populaires qui soient, le poulet rôti.</w:t>
      </w:r>
    </w:p>
    <w:p>
      <w:pPr>
        <w:spacing w:after="160" w:line="276"/>
        <w:jc w:val="both"/>
      </w:pPr>
      <w:r>
        <w:rPr>
          <w:rFonts w:ascii="Arial" w:cs="Arial" w:eastAsia="Arial" w:hAnsi="Arial"/>
          <w:b w:val="false"/>
          <w:bCs w:val="false"/>
          <w:i w:val="false"/>
          <w:iCs w:val="false"/>
          <w:color w:val="222222"/>
          <w:sz w:val="22"/>
          <w:szCs w:val="22"/>
        </w:rPr>
        <w:t xml:space="preserve">D'un côté, des asaderos fonctionnels, efficaces mais interchangeables, centrés sur le midi et l'emporter. De l'autre, des grills réputés mais chers, fermés à l'idée d'un poulet rôti accessible et différenciant. Entre les deux, un espace vide : celui d'une enseigne capable d'allier la simplicité rassurante du poulet rôti, une identité de marque marquante, et une distribution moderne adaptée aux usages d'aujourd'hui.</w:t>
      </w:r>
    </w:p>
    <w:p>
      <w:pPr>
        <w:spacing w:after="160" w:line="276"/>
        <w:jc w:val="both"/>
      </w:pPr>
      <w:r>
        <w:rPr>
          <w:rFonts w:ascii="Arial" w:cs="Arial" w:eastAsia="Arial" w:hAnsi="Arial"/>
          <w:b w:val="false"/>
          <w:bCs w:val="false"/>
          <w:i w:val="false"/>
          <w:iCs w:val="false"/>
          <w:color w:val="222222"/>
          <w:sz w:val="22"/>
          <w:szCs w:val="22"/>
        </w:rPr>
        <w:t xml:space="preserve">L'idée d'une « touche française » s'est imposée naturellement. La France jouit d'une image gastronomique forte et universellement positive, et le marché touristique français à Gran Canaria connaît la croissance la plus rapide de tous. Appliquer un savoir-faire et une esthétique français à un produit populaire et universel, c'est créer un pont immédiat entre une marque désirable et une clientèle en pleine expansion.</w:t>
      </w:r>
    </w:p>
    <w:p>
      <w:pPr>
        <w:spacing w:after="160" w:line="276"/>
        <w:jc w:val="both"/>
      </w:pPr>
      <w:r>
        <w:rPr>
          <w:rFonts w:ascii="Arial" w:cs="Arial" w:eastAsia="Arial" w:hAnsi="Arial"/>
          <w:b w:val="false"/>
          <w:bCs w:val="false"/>
          <w:i w:val="false"/>
          <w:iCs w:val="false"/>
          <w:color w:val="222222"/>
          <w:sz w:val="22"/>
          <w:szCs w:val="22"/>
        </w:rPr>
        <w:t xml:space="preserve">Le projet s'est ensuite structuré autour d'une équipe réunissant un véritable professionnel de la restauration et des associés complémentaires, et d'un cadrage rigoureux : étude de marché, analyse concurrentielle, choix de la structure juridique et du régime fiscal. La French Touch est ainsi née de la volonté de transformer une intuition validée par les chiffres en une enseigne durable, pensée dès l'origine pour la qualité, l'identité et la croissance.</w:t>
      </w:r>
    </w:p>
    <w:p>
      <w:pPr>
        <w:pStyle w:val="Heading1"/>
        <w:pBdr>
          <w:bottom w:val="single" w:color="D9342B" w:sz="18" w:space="6"/>
        </w:pBdr>
        <w:spacing w:after="60" w:before="360"/>
      </w:pPr>
      <w:r>
        <w:rPr>
          <w:rFonts w:ascii="Arial" w:cs="Arial" w:eastAsia="Arial" w:hAnsi="Arial"/>
          <w:b/>
          <w:bCs/>
          <w:color w:val="1A1A1A"/>
          <w:sz w:val="34"/>
          <w:szCs w:val="34"/>
        </w:rPr>
        <w:t xml:space="preserve">Emplacement</w:t>
      </w:r>
    </w:p>
    <w:p>
      <w:pPr>
        <w:spacing w:after="160" w:line="276"/>
        <w:jc w:val="both"/>
      </w:pPr>
      <w:r>
        <w:rPr>
          <w:rFonts w:ascii="Arial" w:cs="Arial" w:eastAsia="Arial" w:hAnsi="Arial"/>
          <w:b w:val="false"/>
          <w:bCs w:val="false"/>
          <w:i w:val="false"/>
          <w:iCs w:val="false"/>
          <w:color w:val="222222"/>
          <w:sz w:val="22"/>
          <w:szCs w:val="22"/>
        </w:rPr>
        <w:t xml:space="preserve">L'emplacement est un facteur décisif de réussite pour La French Touch. Le projet vise une implantation en façade de la zone balnéaire touristique de Maspalomas (San Bartolomé de Tirajana), sur le front de mer, au cœur de l'un des flux piétons les plus denses et les plus continus d'Espagne.</w:t>
      </w:r>
    </w:p>
    <w:p>
      <w:pPr>
        <w:spacing w:after="160" w:line="276"/>
        <w:jc w:val="both"/>
      </w:pPr>
      <w:r>
        <w:rPr>
          <w:rFonts w:ascii="Arial" w:cs="Arial" w:eastAsia="Arial" w:hAnsi="Arial"/>
          <w:b w:val="false"/>
          <w:bCs w:val="false"/>
          <w:i w:val="false"/>
          <w:iCs w:val="false"/>
          <w:color w:val="222222"/>
          <w:sz w:val="22"/>
          <w:szCs w:val="22"/>
        </w:rPr>
        <w:t xml:space="preserve">Maspalomas est la 3ᵉ destination d'Espagne en nombre de nuitées, derrière Madrid et Barcelone — un volume de clientèle massif, renouvelé en permanence par une durée moyenne de séjour de 7 nuits et plus de 72 hôtels dans la commune. La zone de chalandise primaire bénéficie d'un passage soutenu toute l'année, le climat doux des Canaries atténuant fortement la saisonnalité et permettant l'exploitation continue d'une terrasse.</w:t>
      </w:r>
    </w:p>
    <w:p>
      <w:pPr>
        <w:spacing w:after="160" w:line="276"/>
        <w:jc w:val="both"/>
      </w:pPr>
      <w:r>
        <w:rPr>
          <w:rFonts w:ascii="Arial" w:cs="Arial" w:eastAsia="Arial" w:hAnsi="Arial"/>
          <w:b w:val="false"/>
          <w:bCs w:val="false"/>
          <w:i w:val="false"/>
          <w:iCs w:val="false"/>
          <w:color w:val="222222"/>
          <w:sz w:val="22"/>
          <w:szCs w:val="22"/>
        </w:rPr>
        <w:t xml:space="preserve">Le positionnement sur le front de mer offre un avantage concurrentiel net sur les asaderos établis, majoritairement situés en retrait (secteurs San Fernando, Playa del Inglés intérieur, centre Yumbo). La visibilité, le flux piéton et l'attractivité d'une devanture identitaire et photogénique sont autant d'atouts pour capter à la fois le touriste de passage et le résident.</w:t>
      </w:r>
    </w:p>
    <w:p>
      <w:pPr>
        <w:spacing w:after="160" w:line="276"/>
        <w:jc w:val="both"/>
      </w:pPr>
      <w:r>
        <w:rPr>
          <w:rFonts w:ascii="Arial" w:cs="Arial" w:eastAsia="Arial" w:hAnsi="Arial"/>
          <w:b w:val="false"/>
          <w:bCs w:val="false"/>
          <w:i w:val="false"/>
          <w:iCs w:val="false"/>
          <w:color w:val="222222"/>
          <w:sz w:val="22"/>
          <w:szCs w:val="22"/>
        </w:rPr>
        <w:t xml:space="preserve">Le local repéré est nu : il devra être aménagé et décoré aux couleurs de l'enseigne (cuisine professionnelle, salle photogénique, comptoir à emporter). Le chiffrage précis de cet aménagement constitue le point de vigilance budgétaire majeur du projet et conditionne le calendrier d'ouverture. La négociation du bail commercial (durée, dépôt de garantie, éventuelle participation du bailleur aux travaux) sera menée en parallèle.</w:t>
      </w:r>
    </w:p>
    <w:p>
      <w:pPr>
        <w:pStyle w:val="Heading1"/>
        <w:pBdr>
          <w:bottom w:val="single" w:color="D9342B" w:sz="18" w:space="6"/>
        </w:pBdr>
        <w:spacing w:after="60" w:before="360"/>
      </w:pPr>
      <w:r>
        <w:rPr>
          <w:rFonts w:ascii="Arial" w:cs="Arial" w:eastAsia="Arial" w:hAnsi="Arial"/>
          <w:b/>
          <w:bCs/>
          <w:color w:val="1A1A1A"/>
          <w:sz w:val="34"/>
          <w:szCs w:val="34"/>
        </w:rPr>
        <w:t xml:space="preserve">Équipe</w:t>
      </w:r>
    </w:p>
    <w:p>
      <w:pPr>
        <w:spacing w:after="160" w:line="276"/>
        <w:jc w:val="both"/>
      </w:pPr>
      <w:r>
        <w:rPr>
          <w:rFonts w:ascii="Arial" w:cs="Arial" w:eastAsia="Arial" w:hAnsi="Arial"/>
          <w:b w:val="false"/>
          <w:bCs w:val="false"/>
          <w:i w:val="false"/>
          <w:iCs w:val="false"/>
          <w:color w:val="222222"/>
          <w:sz w:val="22"/>
          <w:szCs w:val="22"/>
        </w:rPr>
        <w:t xml:space="preserve">La réussite de La French Touch repose sur une équipe resserrée, complémentaire et engagée, structurée autour des quatre associés fondateurs et complétée par le personnel d'exploitation nécessaire au service.</w:t>
      </w:r>
    </w:p>
    <w:p>
      <w:pPr>
        <w:spacing w:after="160" w:line="276"/>
        <w:jc w:val="both"/>
      </w:pPr>
      <w:r>
        <w:rPr>
          <w:rFonts w:ascii="Arial" w:cs="Arial" w:eastAsia="Arial" w:hAnsi="Arial"/>
          <w:b w:val="false"/>
          <w:bCs w:val="false"/>
          <w:i w:val="false"/>
          <w:iCs w:val="false"/>
          <w:color w:val="222222"/>
          <w:sz w:val="22"/>
          <w:szCs w:val="22"/>
        </w:rPr>
        <w:t xml:space="preserve">Le cœur de l'équipe réunit deux associés opérationnels présents sur place. L'atout déterminant du projet est la présence d'un véritable professionnel de la restauration parmi eux : maîtrise du produit, des coûts matière, de l'organisation d'une cuisine et du service. L'un des deux opérationnels assure la gérance (gérant unique) et devient résident fiscal espagnol, ce qui clarifie l'établissement de la société et son rattachement social.</w:t>
      </w:r>
    </w:p>
    <w:p>
      <w:pPr>
        <w:spacing w:after="160" w:line="276"/>
        <w:jc w:val="both"/>
      </w:pPr>
      <w:r>
        <w:rPr>
          <w:rFonts w:ascii="Arial" w:cs="Arial" w:eastAsia="Arial" w:hAnsi="Arial"/>
          <w:b w:val="false"/>
          <w:bCs w:val="false"/>
          <w:i w:val="false"/>
          <w:iCs w:val="false"/>
          <w:color w:val="222222"/>
          <w:sz w:val="22"/>
          <w:szCs w:val="22"/>
        </w:rPr>
        <w:t xml:space="preserve">Les deux associés investisseurs, restés en France, apportent le capital, les comptes courants et un appui stratégique, sans intervention dans l'exploitation quotidienne. Cette répartition claire des rôles — exploitation d'un côté, financement et gouvernance de l'autre — est encadrée par le pacte d'associés.</w:t>
      </w:r>
    </w:p>
    <w:p>
      <w:pPr>
        <w:spacing w:after="160" w:line="276"/>
        <w:jc w:val="both"/>
      </w:pPr>
      <w:r>
        <w:rPr>
          <w:rFonts w:ascii="Arial" w:cs="Arial" w:eastAsia="Arial" w:hAnsi="Arial"/>
          <w:b w:val="false"/>
          <w:bCs w:val="false"/>
          <w:i w:val="false"/>
          <w:iCs w:val="false"/>
          <w:color w:val="222222"/>
          <w:sz w:val="22"/>
          <w:szCs w:val="22"/>
        </w:rPr>
        <w:t xml:space="preserve">Autour de ce noyau, l'équipe d'exploitation sera dimensionnée progressivement selon la montée en charge : personnel de cuisine (rôtisseur, commis), personnel de salle et de comptoir, et renforts saisonniers pour absorber les pics de fréquentation estivale et touristique. La politique de recrutement privilégiera des profils polyvalents, capables d'évoluer entre salle, comptoir et préparation, afin de conserver une structure de coûts agile pendant la phase de lancement.</w:t>
      </w:r>
    </w:p>
    <w:p>
      <w:pPr>
        <w:pStyle w:val="Heading1"/>
        <w:pBdr>
          <w:bottom w:val="single" w:color="D9342B" w:sz="18" w:space="6"/>
        </w:pBdr>
        <w:spacing w:after="60" w:before="360"/>
      </w:pPr>
      <w:r>
        <w:rPr>
          <w:rFonts w:ascii="Arial" w:cs="Arial" w:eastAsia="Arial" w:hAnsi="Arial"/>
          <w:b/>
          <w:bCs/>
          <w:color w:val="1A1A1A"/>
          <w:sz w:val="34"/>
          <w:szCs w:val="34"/>
        </w:rPr>
        <w:t xml:space="preserve">Produits et Services</w:t>
      </w:r>
    </w:p>
    <w:p>
      <w:pPr>
        <w:spacing w:after="160" w:line="276"/>
        <w:jc w:val="both"/>
      </w:pPr>
      <w:r>
        <w:rPr>
          <w:rFonts w:ascii="Arial" w:cs="Arial" w:eastAsia="Arial" w:hAnsi="Arial"/>
          <w:b w:val="false"/>
          <w:bCs w:val="false"/>
          <w:i w:val="false"/>
          <w:iCs w:val="false"/>
          <w:color w:val="222222"/>
          <w:sz w:val="22"/>
          <w:szCs w:val="22"/>
        </w:rPr>
        <w:t xml:space="preserve">La French Touch propose une gamme construite autour d'un produit phare — le poulet rôti à la braise « à la française » — décliné en formules et complétée par des accompagnements, sauces et desserts signature. L'offre est pensée pour trois moments de consommation et trois canaux, chacun ciblant un besoin précis.</w:t>
      </w:r>
    </w:p>
    <w:p>
      <w:pPr>
        <w:pStyle w:val="Heading2"/>
        <w:spacing w:after="100" w:before="240"/>
      </w:pPr>
      <w:r>
        <w:rPr>
          <w:rFonts w:ascii="Arial" w:cs="Arial" w:eastAsia="Arial" w:hAnsi="Arial"/>
          <w:b/>
          <w:bCs/>
          <w:color w:val="2A6FB0"/>
          <w:sz w:val="26"/>
          <w:szCs w:val="26"/>
        </w:rPr>
        <w:t xml:space="preserve">1. Offre principale — le poulet rôti signature</w:t>
      </w:r>
    </w:p>
    <w:p>
      <w:pPr>
        <w:spacing w:after="160" w:line="276"/>
        <w:jc w:val="both"/>
      </w:pPr>
      <w:r>
        <w:rPr>
          <w:rFonts w:ascii="Arial" w:cs="Arial" w:eastAsia="Arial" w:hAnsi="Arial"/>
          <w:b w:val="false"/>
          <w:bCs w:val="false"/>
          <w:i w:val="false"/>
          <w:iCs w:val="false"/>
          <w:color w:val="222222"/>
          <w:sz w:val="22"/>
          <w:szCs w:val="22"/>
        </w:rPr>
        <w:t xml:space="preserve">Poulet rôti à la braise, entier ou en demi, accompagné de garnitures françaises (gratin, pommes de terre, légumes) et de sauces signature maison. La « touche française » se traduit par les recettes, les assaisonnements, les accompagnements et les desserts (tartes, desserts français). Menus midi et soir, formules famille et formules à emporter complètent la carte.</w:t>
      </w:r>
    </w:p>
    <w:p>
      <w:pPr>
        <w:pStyle w:val="ListParagraph"/>
        <w:numPr>
          <w:ilvl w:val="0"/>
          <w:numId w:val="2"/>
        </w:numPr>
        <w:spacing w:after="90" w:line="270"/>
        <w:jc w:val="both"/>
      </w:pPr>
      <w:r>
        <w:rPr>
          <w:rFonts w:ascii="Arial" w:cs="Arial" w:eastAsia="Arial" w:hAnsi="Arial"/>
          <w:b/>
          <w:bCs/>
          <w:color w:val="1A1A1A"/>
          <w:sz w:val="22"/>
          <w:szCs w:val="22"/>
        </w:rPr>
        <w:t xml:space="preserve">Client cible : </w:t>
      </w:r>
      <w:r>
        <w:rPr>
          <w:rFonts w:ascii="Arial" w:cs="Arial" w:eastAsia="Arial" w:hAnsi="Arial"/>
          <w:color w:val="222222"/>
          <w:sz w:val="22"/>
          <w:szCs w:val="22"/>
        </w:rPr>
        <w:t xml:space="preserve">touristes internationaux et résidents en quête d'une comfort food de qualité, accessible et identitaire.</w:t>
      </w:r>
    </w:p>
    <w:p>
      <w:pPr>
        <w:pStyle w:val="ListParagraph"/>
        <w:numPr>
          <w:ilvl w:val="0"/>
          <w:numId w:val="2"/>
        </w:numPr>
        <w:spacing w:after="90" w:line="270"/>
        <w:jc w:val="both"/>
      </w:pPr>
      <w:r>
        <w:rPr>
          <w:rFonts w:ascii="Arial" w:cs="Arial" w:eastAsia="Arial" w:hAnsi="Arial"/>
          <w:b/>
          <w:bCs/>
          <w:color w:val="1A1A1A"/>
          <w:sz w:val="22"/>
          <w:szCs w:val="22"/>
        </w:rPr>
        <w:t xml:space="preserve">Canal : </w:t>
      </w:r>
      <w:r>
        <w:rPr>
          <w:rFonts w:ascii="Arial" w:cs="Arial" w:eastAsia="Arial" w:hAnsi="Arial"/>
          <w:color w:val="222222"/>
          <w:sz w:val="22"/>
          <w:szCs w:val="22"/>
        </w:rPr>
        <w:t xml:space="preserve">salle (30-60 couverts), comptoir à emporter, livraison plateformes.</w:t>
      </w:r>
    </w:p>
    <w:p>
      <w:pPr>
        <w:pStyle w:val="Heading2"/>
        <w:spacing w:after="100" w:before="240"/>
      </w:pPr>
      <w:r>
        <w:rPr>
          <w:rFonts w:ascii="Arial" w:cs="Arial" w:eastAsia="Arial" w:hAnsi="Arial"/>
          <w:b/>
          <w:bCs/>
          <w:color w:val="2A6FB0"/>
          <w:sz w:val="26"/>
          <w:szCs w:val="26"/>
        </w:rPr>
        <w:t xml:space="preserve">2. Formule Famille &amp; Groupes</w:t>
      </w:r>
    </w:p>
    <w:p>
      <w:pPr>
        <w:spacing w:after="160" w:line="276"/>
        <w:jc w:val="both"/>
      </w:pPr>
      <w:r>
        <w:rPr>
          <w:rFonts w:ascii="Arial" w:cs="Arial" w:eastAsia="Arial" w:hAnsi="Arial"/>
          <w:b w:val="false"/>
          <w:bCs w:val="false"/>
          <w:i w:val="false"/>
          <w:iCs w:val="false"/>
          <w:color w:val="222222"/>
          <w:sz w:val="22"/>
          <w:szCs w:val="22"/>
        </w:rPr>
        <w:t xml:space="preserve">Des formules généreuses (poulets entiers + accompagnements partagés + boissons + dessert) à prix optimisé, ciblant les familles et groupes, très présents dans la clientèle touristique et locale. Ces formules augmentent le ticket moyen tout en restant perçues comme avantageuses.</w:t>
      </w:r>
    </w:p>
    <w:p>
      <w:pPr>
        <w:pStyle w:val="ListParagraph"/>
        <w:numPr>
          <w:ilvl w:val="0"/>
          <w:numId w:val="2"/>
        </w:numPr>
        <w:spacing w:after="90" w:line="270"/>
        <w:jc w:val="both"/>
      </w:pPr>
      <w:r>
        <w:rPr>
          <w:rFonts w:ascii="Arial" w:cs="Arial" w:eastAsia="Arial" w:hAnsi="Arial"/>
          <w:b/>
          <w:bCs/>
          <w:color w:val="1A1A1A"/>
          <w:sz w:val="22"/>
          <w:szCs w:val="22"/>
        </w:rPr>
        <w:t xml:space="preserve">Client cible : </w:t>
      </w:r>
      <w:r>
        <w:rPr>
          <w:rFonts w:ascii="Arial" w:cs="Arial" w:eastAsia="Arial" w:hAnsi="Arial"/>
          <w:color w:val="222222"/>
          <w:sz w:val="22"/>
          <w:szCs w:val="22"/>
        </w:rPr>
        <w:t xml:space="preserve">familles, groupes d'amis, tablées de vacanciers et de locations partagées.</w:t>
      </w:r>
    </w:p>
    <w:p>
      <w:pPr>
        <w:pStyle w:val="Heading2"/>
        <w:spacing w:after="100" w:before="240"/>
      </w:pPr>
      <w:r>
        <w:rPr>
          <w:rFonts w:ascii="Arial" w:cs="Arial" w:eastAsia="Arial" w:hAnsi="Arial"/>
          <w:b/>
          <w:bCs/>
          <w:color w:val="2A6FB0"/>
          <w:sz w:val="26"/>
          <w:szCs w:val="26"/>
        </w:rPr>
        <w:t xml:space="preserve">3. Vente additionnelle — boissons &amp; desserts français</w:t>
      </w:r>
    </w:p>
    <w:p>
      <w:pPr>
        <w:spacing w:after="160" w:line="276"/>
        <w:jc w:val="both"/>
      </w:pPr>
      <w:r>
        <w:rPr>
          <w:rFonts w:ascii="Arial" w:cs="Arial" w:eastAsia="Arial" w:hAnsi="Arial"/>
          <w:b w:val="false"/>
          <w:bCs w:val="false"/>
          <w:i w:val="false"/>
          <w:iCs w:val="false"/>
          <w:color w:val="222222"/>
          <w:sz w:val="22"/>
          <w:szCs w:val="22"/>
        </w:rPr>
        <w:t xml:space="preserve">Boissons, desserts français et produits d'appel à forte marge, proposés en salle, au comptoir et en livraison. Ce sont des leviers de marge décisifs en restauration, qui renforcent par ailleurs le caractère « français » de l'expérience.</w:t>
      </w:r>
    </w:p>
    <w:p>
      <w:pPr>
        <w:pStyle w:val="ListParagraph"/>
        <w:numPr>
          <w:ilvl w:val="0"/>
          <w:numId w:val="2"/>
        </w:numPr>
        <w:spacing w:after="90" w:line="270"/>
        <w:jc w:val="both"/>
      </w:pPr>
      <w:r>
        <w:rPr>
          <w:rFonts w:ascii="Arial" w:cs="Arial" w:eastAsia="Arial" w:hAnsi="Arial"/>
          <w:b/>
          <w:bCs/>
          <w:color w:val="1A1A1A"/>
          <w:sz w:val="22"/>
          <w:szCs w:val="22"/>
        </w:rPr>
        <w:t xml:space="preserve">Client cible : </w:t>
      </w:r>
      <w:r>
        <w:rPr>
          <w:rFonts w:ascii="Arial" w:cs="Arial" w:eastAsia="Arial" w:hAnsi="Arial"/>
          <w:color w:val="222222"/>
          <w:sz w:val="22"/>
          <w:szCs w:val="22"/>
        </w:rPr>
        <w:t xml:space="preserve">l'ensemble de la clientèle, sur les trois canaux.</w:t>
      </w:r>
    </w:p>
    <w:p>
      <w:pPr>
        <w:spacing w:after="160" w:before="100" w:line="276"/>
        <w:jc w:val="both"/>
      </w:pPr>
      <w:r>
        <w:rPr>
          <w:rFonts w:ascii="Arial" w:cs="Arial" w:eastAsia="Arial" w:hAnsi="Arial"/>
          <w:b w:val="false"/>
          <w:bCs w:val="false"/>
          <w:i w:val="false"/>
          <w:iCs w:val="false"/>
          <w:color w:val="222222"/>
          <w:sz w:val="22"/>
          <w:szCs w:val="22"/>
        </w:rPr>
        <w:t xml:space="preserve">L'ensemble de l'offre est servi via un réseau de distribution à trois niveaux : la salle et le comptoir physiques sur le front de mer, les plateformes de livraison (Glovo, Just Eat, Uber Eats, GC Express) pour la demande à domicile et en location, et, à terme, des partenariats de recommandation et de fourniture avec les hôtels, conciergeries et locations de vacances de la zone.</w:t>
      </w:r>
    </w:p>
    <w:p>
      <w:pPr>
        <w:pStyle w:val="Heading1"/>
        <w:pBdr>
          <w:bottom w:val="single" w:color="D9342B" w:sz="18" w:space="6"/>
        </w:pBdr>
        <w:spacing w:after="60" w:before="360"/>
      </w:pPr>
      <w:r>
        <w:rPr>
          <w:rFonts w:ascii="Arial" w:cs="Arial" w:eastAsia="Arial" w:hAnsi="Arial"/>
          <w:b/>
          <w:bCs/>
          <w:color w:val="1A1A1A"/>
          <w:sz w:val="34"/>
          <w:szCs w:val="34"/>
        </w:rPr>
        <w:t xml:space="preserve">Stratégie</w:t>
      </w:r>
    </w:p>
    <w:p>
      <w:pPr>
        <w:spacing w:after="160" w:line="276"/>
        <w:jc w:val="both"/>
      </w:pPr>
      <w:r>
        <w:rPr>
          <w:rFonts w:ascii="Arial" w:cs="Arial" w:eastAsia="Arial" w:hAnsi="Arial"/>
          <w:b w:val="false"/>
          <w:bCs w:val="false"/>
          <w:i w:val="false"/>
          <w:iCs w:val="false"/>
          <w:color w:val="222222"/>
          <w:sz w:val="22"/>
          <w:szCs w:val="22"/>
        </w:rPr>
        <w:t xml:space="preserve">La stratégie de La French Touch repose sur une conviction simple : dans la restauration touristique d'aujourd'hui, la différenciation se gagne autant dans l'assiette que sur les écrans. Le projet combine donc un produit de qualité constante, une identité de marque forte, et une présence digitale offensive. Trois piliers prioritaires structurent le lancement.</w:t>
      </w:r>
    </w:p>
    <w:p>
      <w:pPr>
        <w:pStyle w:val="Heading2"/>
        <w:spacing w:after="100" w:before="240"/>
      </w:pPr>
      <w:r>
        <w:rPr>
          <w:rFonts w:ascii="Arial" w:cs="Arial" w:eastAsia="Arial" w:hAnsi="Arial"/>
          <w:b/>
          <w:bCs/>
          <w:color w:val="2A6FB0"/>
          <w:sz w:val="26"/>
          <w:szCs w:val="26"/>
        </w:rPr>
        <w:t xml:space="preserve">Pilier 1 — Une communication réseaux sociaux forte et offensive</w:t>
      </w:r>
    </w:p>
    <w:p>
      <w:pPr>
        <w:spacing w:after="160" w:line="276"/>
        <w:jc w:val="both"/>
      </w:pPr>
      <w:r>
        <w:rPr>
          <w:rFonts w:ascii="Arial" w:cs="Arial" w:eastAsia="Arial" w:hAnsi="Arial"/>
          <w:b w:val="false"/>
          <w:bCs w:val="false"/>
          <w:i w:val="false"/>
          <w:iCs w:val="false"/>
          <w:color w:val="222222"/>
          <w:sz w:val="22"/>
          <w:szCs w:val="22"/>
        </w:rPr>
        <w:t xml:space="preserve">La référence assumée est l'enseigne française Tasty Crousty : plus de 60 restaurants ouverts en moins de deux ans, propulsés non par la presse mais par la viralité TikTok et Instagram, avec un concept pensé dès l'origine pour les réseaux et une identité visuelle ultra-reconnaissable. La French Touch adopte la même logique : contenu vidéo régulier (poulet à la braise, dressage, coulisses), Reels et TikTok courts et rythmés, collaborations avec créateurs et influenceurs food locaux et touristiques, et campagnes payantes géociblées (Meta Ads, TikTok Ads) sur la zone et les nationalités présentes. Objectif : transformer chaque plat et chaque visite en contenu partageable. Cela suppose un budget marketing réel et planifié, et non un simple compte Instagram tenu à temps perdu.</w:t>
      </w:r>
    </w:p>
    <w:p>
      <w:pPr>
        <w:pStyle w:val="Heading2"/>
        <w:spacing w:after="100" w:before="240"/>
      </w:pPr>
      <w:r>
        <w:rPr>
          <w:rFonts w:ascii="Arial" w:cs="Arial" w:eastAsia="Arial" w:hAnsi="Arial"/>
          <w:b/>
          <w:bCs/>
          <w:color w:val="2A6FB0"/>
          <w:sz w:val="26"/>
          <w:szCs w:val="26"/>
        </w:rPr>
        <w:t xml:space="preserve">Pilier 2 — Une salle photogénique et immersive</w:t>
      </w:r>
    </w:p>
    <w:p>
      <w:pPr>
        <w:spacing w:after="160" w:line="276"/>
        <w:jc w:val="both"/>
      </w:pPr>
      <w:r>
        <w:rPr>
          <w:rFonts w:ascii="Arial" w:cs="Arial" w:eastAsia="Arial" w:hAnsi="Arial"/>
          <w:b w:val="false"/>
          <w:bCs w:val="false"/>
          <w:i w:val="false"/>
          <w:iCs w:val="false"/>
          <w:color w:val="222222"/>
          <w:sz w:val="22"/>
          <w:szCs w:val="22"/>
        </w:rPr>
        <w:t xml:space="preserve">Le décor n'est pas un détail : c'est un média. La salle doit incarner pleinement l'univers de la marque (noir, rouge, jaune, touches bleu-blanc-rouge), avec néons, fresques et au moins un « mur instagrammable ». Une salle soignée et reconnaissable pousse les clients à photographier et partager spontanément : ce contenu utilisateur (UGC) est une publicité gratuite et crédible, qui alimente en continu les réseaux et différencie nettement La French Touch des asaderos fonctionnels centrés sur l'emporter.</w:t>
      </w:r>
    </w:p>
    <w:p>
      <w:pPr>
        <w:pStyle w:val="Heading2"/>
        <w:spacing w:after="100" w:before="240"/>
      </w:pPr>
      <w:r>
        <w:rPr>
          <w:rFonts w:ascii="Arial" w:cs="Arial" w:eastAsia="Arial" w:hAnsi="Arial"/>
          <w:b/>
          <w:bCs/>
          <w:color w:val="2A6FB0"/>
          <w:sz w:val="26"/>
          <w:szCs w:val="26"/>
        </w:rPr>
        <w:t xml:space="preserve">Pilier 3 — Un site web marquant et orienté conversion</w:t>
      </w:r>
    </w:p>
    <w:p>
      <w:pPr>
        <w:spacing w:after="160" w:line="276"/>
        <w:jc w:val="both"/>
      </w:pPr>
      <w:r>
        <w:rPr>
          <w:rFonts w:ascii="Arial" w:cs="Arial" w:eastAsia="Arial" w:hAnsi="Arial"/>
          <w:b w:val="false"/>
          <w:bCs w:val="false"/>
          <w:i w:val="false"/>
          <w:iCs w:val="false"/>
          <w:color w:val="222222"/>
          <w:sz w:val="22"/>
          <w:szCs w:val="22"/>
        </w:rPr>
        <w:t xml:space="preserve">À l'image du site de Tasty Crousty, le site de La French Touch sera moderne, immersif et mobile-first : identité visuelle cohérente avec la salle, présentation appétissante des plats, commande en ligne / click-and-collect, liens directs vers les plateformes de livraison, localisation, horaires et intégration des réseaux sociaux. Un site marquant renforce la crédibilité, capte la recherche « restaurant Maspalomas / pollo a la brasa » et convertit le trafic social en commandes réelles.</w:t>
      </w:r>
    </w:p>
    <w:p>
      <w:pPr>
        <w:pStyle w:val="Heading2"/>
        <w:spacing w:after="100" w:before="240"/>
      </w:pPr>
      <w:r>
        <w:rPr>
          <w:rFonts w:ascii="Arial" w:cs="Arial" w:eastAsia="Arial" w:hAnsi="Arial"/>
          <w:b/>
          <w:bCs/>
          <w:color w:val="2A6FB0"/>
          <w:sz w:val="26"/>
          <w:szCs w:val="26"/>
        </w:rPr>
        <w:t xml:space="preserve">Budget de communication — Année 1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400"/>
        <w:gridCol w:w="1760"/>
      </w:tblGrid>
      <w:tr>
        <w:trPr>
          <w:tblHeader/>
        </w:trPr>
        <w:tc>
          <w:tcPr>
            <w:tcW w:type="dxa" w:w="5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Poste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Budget</w:t>
            </w:r>
          </w:p>
        </w:tc>
        <w:tc>
          <w:tcPr>
            <w:tcW w:type="dxa" w:w="1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Nature</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Identité visuelle + site web (commande en ligne)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2 500 – 4 000 €</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Investissement initial</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Décor de salle (mur photo, néons, signalétique)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3 000 – 6 000 €</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Investissement initial</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Photo / vidéo professionnelle (banque de contenu)</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1 000 – 1 500 €</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Contenu réutilisable</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Publicité réseaux (Meta + TikTok Ads)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250 – 400 €/mois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3 000 – 4 800 €/an</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Influenceurs &amp; créateurs locaux/touristiques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1 500 – 2 500 €</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Invitations + micro-budgets</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Événement &amp; offre d'ouverture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1 500 €</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Trafic + premiers avis</w:t>
            </w:r>
          </w:p>
        </w:tc>
      </w:tr>
      <w:tr>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Budget marketing récurrent visé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6 – 8 % du CA</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Après investissement initial</w:t>
            </w:r>
          </w:p>
        </w:tc>
      </w:tr>
    </w:tbl>
    <w:p>
      <w:pPr>
        <w:spacing w:after="160" w:before="100" w:line="276"/>
        <w:jc w:val="both"/>
      </w:pPr>
      <w:r>
        <w:rPr>
          <w:rFonts w:ascii="Arial" w:cs="Arial" w:eastAsia="Arial" w:hAnsi="Arial"/>
          <w:b w:val="false"/>
          <w:bCs w:val="false"/>
          <w:i w:val="false"/>
          <w:iCs w:val="false"/>
          <w:color w:val="222222"/>
          <w:sz w:val="22"/>
          <w:szCs w:val="22"/>
        </w:rPr>
        <w:t xml:space="preserve">Les postes « image » (décor, site, contenu) sont à considérer comme des investissements de croissance, et non comme des dépenses accessoires : ils constituent le moteur de notoriété du concept.</w:t>
      </w:r>
    </w:p>
    <w:p>
      <w:pPr>
        <w:pStyle w:val="Heading1"/>
        <w:pBdr>
          <w:bottom w:val="single" w:color="D9342B" w:sz="18" w:space="6"/>
        </w:pBdr>
        <w:spacing w:after="60" w:before="360"/>
      </w:pPr>
      <w:r>
        <w:rPr>
          <w:rFonts w:ascii="Arial" w:cs="Arial" w:eastAsia="Arial" w:hAnsi="Arial"/>
          <w:b/>
          <w:bCs/>
          <w:color w:val="1A1A1A"/>
          <w:sz w:val="34"/>
          <w:szCs w:val="34"/>
        </w:rPr>
        <w:t xml:space="preserve">Avantage Concurrentiel</w:t>
      </w:r>
    </w:p>
    <w:p>
      <w:pPr>
        <w:spacing w:after="160" w:line="276"/>
        <w:jc w:val="both"/>
      </w:pPr>
      <w:r>
        <w:rPr>
          <w:rFonts w:ascii="Arial" w:cs="Arial" w:eastAsia="Arial" w:hAnsi="Arial"/>
          <w:b w:val="false"/>
          <w:bCs w:val="false"/>
          <w:i w:val="false"/>
          <w:iCs w:val="false"/>
          <w:color w:val="222222"/>
          <w:sz w:val="22"/>
          <w:szCs w:val="22"/>
        </w:rPr>
        <w:t xml:space="preserve">L'avantage concurrentiel de La French Touch repose sur un positionnement unique, validé par l'analyse concurrentielle de la zone. Sur le créneau du poulet rôti, le rival direct n°1 est Pollo al Toke (4,0★, 417 avis), ouvert le soir et présent sur les trois plateformes. Les benchmarks du dîner sont les grills Grill El Asador (4,3★, 1 484 avis) et Abrasa Grill (4,7★, 1 428 avis), dominants en notoriété mais chers et sans poulet rôti ni livraison.</w:t>
      </w:r>
    </w:p>
    <w:p>
      <w:pPr>
        <w:pStyle w:val="Heading2"/>
        <w:spacing w:after="100" w:before="240"/>
      </w:pPr>
      <w:r>
        <w:rPr>
          <w:rFonts w:ascii="Arial" w:cs="Arial" w:eastAsia="Arial" w:hAnsi="Arial"/>
          <w:b/>
          <w:bCs/>
          <w:color w:val="2A6FB0"/>
          <w:sz w:val="26"/>
          <w:szCs w:val="26"/>
        </w:rPr>
        <w:t xml:space="preserve">Tableau d'analyse concurrentielle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tblHeader/>
        </w:trPr>
        <w:tc>
          <w:tcPr>
            <w:tcW w:type="dxa" w:w="2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Critère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La French Touch</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Pollo al Toke</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Asadero S. Fernando</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Grill El Asador</w:t>
            </w:r>
          </w:p>
        </w:tc>
      </w:tr>
      <w:tr>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Service en salle (soir)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r>
      <w:tr>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Ouvert le soir / dîner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r>
      <w:tr>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Vente à emporter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r>
      <w:tr>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Livraison plateformes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r>
      <w:tr>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Prix accessible (&lt; 12 €)</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r>
      <w:tr>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Identité française unique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r>
      <w:tr>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Spécialiste du poulet rôti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r>
    </w:tbl>
    <w:p>
      <w:pPr>
        <w:spacing w:after="160" w:before="120" w:line="276"/>
        <w:jc w:val="both"/>
      </w:pPr>
      <w:r>
        <w:rPr>
          <w:rFonts w:ascii="Arial" w:cs="Arial" w:eastAsia="Arial" w:hAnsi="Arial"/>
          <w:b w:val="false"/>
          <w:bCs w:val="false"/>
          <w:i w:val="false"/>
          <w:iCs w:val="false"/>
          <w:color w:val="222222"/>
          <w:sz w:val="22"/>
          <w:szCs w:val="22"/>
        </w:rPr>
        <w:t xml:space="preserve">La French Touch est la seule enseigne à cumuler salle + service du soir + livraison + prix accessible + identité française. Les asaderos « purs » ferment vers 16 h : le créneau du dîner en poulet rôti est largement libre. Le mapping concurrentiel le confirme : le poulet rôti accessible est surtout du midi/emporter, et le dîner différencié est tenu par des grills chers. La French Touch occupe l'intersection vacante — poulet rôti identitaire, le soir, à prix doux.</w:t>
      </w:r>
    </w:p>
    <w:p>
      <w:pPr>
        <w:spacing w:after="160" w:line="276"/>
        <w:jc w:val="both"/>
      </w:pPr>
      <w:r>
        <w:rPr>
          <w:rFonts w:ascii="Arial" w:cs="Arial" w:eastAsia="Arial" w:hAnsi="Arial"/>
          <w:b w:val="false"/>
          <w:bCs w:val="false"/>
          <w:i w:val="false"/>
          <w:iCs w:val="false"/>
          <w:color w:val="222222"/>
          <w:sz w:val="22"/>
          <w:szCs w:val="22"/>
        </w:rPr>
        <w:t xml:space="preserve">Nos sources d'avantage durable sont donc : un concept différenciant inimitable à court terme (poulet rôti + identité française), un double canal salle + livraison, un emplacement front de mer, un ticket accessible, un professionnel de la restauration dans l'équipe, et une fiscalité canarienne favorable qui soutient la compétitivité-prix.</w:t>
      </w:r>
    </w:p>
    <w:p>
      <w:pPr>
        <w:pStyle w:val="Heading1"/>
        <w:pBdr>
          <w:bottom w:val="single" w:color="D9342B" w:sz="18" w:space="6"/>
        </w:pBdr>
        <w:spacing w:after="60" w:before="360"/>
      </w:pPr>
      <w:r>
        <w:rPr>
          <w:rFonts w:ascii="Arial" w:cs="Arial" w:eastAsia="Arial" w:hAnsi="Arial"/>
          <w:b/>
          <w:bCs/>
          <w:color w:val="1A1A1A"/>
          <w:sz w:val="34"/>
          <w:szCs w:val="34"/>
        </w:rPr>
        <w:t xml:space="preserve">Prix</w:t>
      </w:r>
    </w:p>
    <w:p>
      <w:pPr>
        <w:spacing w:after="160" w:line="276"/>
        <w:jc w:val="both"/>
      </w:pPr>
      <w:r>
        <w:rPr>
          <w:rFonts w:ascii="Arial" w:cs="Arial" w:eastAsia="Arial" w:hAnsi="Arial"/>
          <w:b w:val="false"/>
          <w:bCs w:val="false"/>
          <w:i w:val="false"/>
          <w:iCs w:val="false"/>
          <w:color w:val="222222"/>
          <w:sz w:val="22"/>
          <w:szCs w:val="22"/>
        </w:rPr>
        <w:t xml:space="preserve">La politique de prix de La French Touch est conçue pour rester accessible tout en valorisant l'expérience et l'identité de marque. Le ticket moyen visé est d'environ 11 € (poulet + accompagnement + boisson), soit moins de 12 € par personne — un positionnement économique résilient, cohérent avec les attentes mesurées et avec le pouvoir d'achat de la clientèle cible.</w:t>
      </w:r>
    </w:p>
    <w:p>
      <w:pPr>
        <w:spacing w:after="160" w:line="276"/>
        <w:jc w:val="both"/>
      </w:pPr>
      <w:r>
        <w:rPr>
          <w:rFonts w:ascii="Arial" w:cs="Arial" w:eastAsia="Arial" w:hAnsi="Arial"/>
          <w:b w:val="false"/>
          <w:bCs w:val="false"/>
          <w:i w:val="false"/>
          <w:iCs w:val="false"/>
          <w:color w:val="222222"/>
          <w:sz w:val="22"/>
          <w:szCs w:val="22"/>
        </w:rPr>
        <w:t xml:space="preserve">Ce positionnement place La French Touch au niveau des asaderos économiques de la zone (Pollo al Toke en niveau €, menus de midi autour de 9 €), tout en se différenciant nettement des grills premium (Grill El Asador, Abrasa Grill, niveau €€). L'enseigne reste donc accessible, mais justifie une préférence par l'expérience, l'identité et la disponibilité (dîner + livraison) plutôt que par un prix cassé.</w:t>
      </w:r>
    </w:p>
    <w:p>
      <w:pPr>
        <w:spacing w:after="160" w:line="276"/>
        <w:jc w:val="both"/>
      </w:pPr>
      <w:r>
        <w:rPr>
          <w:rFonts w:ascii="Arial" w:cs="Arial" w:eastAsia="Arial" w:hAnsi="Arial"/>
          <w:b w:val="false"/>
          <w:bCs w:val="false"/>
          <w:i w:val="false"/>
          <w:iCs w:val="false"/>
          <w:color w:val="222222"/>
          <w:sz w:val="22"/>
          <w:szCs w:val="22"/>
        </w:rPr>
        <w:t xml:space="preserve">L'architecture tarifaire s'appuie sur trois leviers :</w:t>
      </w:r>
    </w:p>
    <w:p>
      <w:pPr>
        <w:pStyle w:val="ListParagraph"/>
        <w:numPr>
          <w:ilvl w:val="0"/>
          <w:numId w:val="2"/>
        </w:numPr>
        <w:spacing w:after="90" w:line="270"/>
        <w:jc w:val="both"/>
      </w:pPr>
      <w:r>
        <w:rPr>
          <w:rFonts w:ascii="Arial" w:cs="Arial" w:eastAsia="Arial" w:hAnsi="Arial"/>
          <w:b/>
          <w:bCs/>
          <w:color w:val="1A1A1A"/>
          <w:sz w:val="22"/>
          <w:szCs w:val="22"/>
        </w:rPr>
        <w:t xml:space="preserve">Le menu unitaire (≈ 11 €) : </w:t>
      </w:r>
      <w:r>
        <w:rPr>
          <w:rFonts w:ascii="Arial" w:cs="Arial" w:eastAsia="Arial" w:hAnsi="Arial"/>
          <w:color w:val="222222"/>
          <w:sz w:val="22"/>
          <w:szCs w:val="22"/>
        </w:rPr>
        <w:t xml:space="preserve">poulet + accompagnement + boisson, cœur du ticket moyen et étalon de prix perçu.</w:t>
      </w:r>
    </w:p>
    <w:p>
      <w:pPr>
        <w:pStyle w:val="ListParagraph"/>
        <w:numPr>
          <w:ilvl w:val="0"/>
          <w:numId w:val="2"/>
        </w:numPr>
        <w:spacing w:after="90" w:line="270"/>
        <w:jc w:val="both"/>
      </w:pPr>
      <w:r>
        <w:rPr>
          <w:rFonts w:ascii="Arial" w:cs="Arial" w:eastAsia="Arial" w:hAnsi="Arial"/>
          <w:b/>
          <w:bCs/>
          <w:color w:val="1A1A1A"/>
          <w:sz w:val="22"/>
          <w:szCs w:val="22"/>
        </w:rPr>
        <w:t xml:space="preserve">Les formules famille &amp; groupes : </w:t>
      </w:r>
      <w:r>
        <w:rPr>
          <w:rFonts w:ascii="Arial" w:cs="Arial" w:eastAsia="Arial" w:hAnsi="Arial"/>
          <w:color w:val="222222"/>
          <w:sz w:val="22"/>
          <w:szCs w:val="22"/>
        </w:rPr>
        <w:t xml:space="preserve">prix optimisé au partage, pour augmenter le ticket global sans dégrader la perception d'accessibilité.</w:t>
      </w:r>
    </w:p>
    <w:p>
      <w:pPr>
        <w:pStyle w:val="ListParagraph"/>
        <w:numPr>
          <w:ilvl w:val="0"/>
          <w:numId w:val="2"/>
        </w:numPr>
        <w:spacing w:after="90" w:line="270"/>
        <w:jc w:val="both"/>
      </w:pPr>
      <w:r>
        <w:rPr>
          <w:rFonts w:ascii="Arial" w:cs="Arial" w:eastAsia="Arial" w:hAnsi="Arial"/>
          <w:b/>
          <w:bCs/>
          <w:color w:val="1A1A1A"/>
          <w:sz w:val="22"/>
          <w:szCs w:val="22"/>
        </w:rPr>
        <w:t xml:space="preserve">Les ventes additionnelles : </w:t>
      </w:r>
      <w:r>
        <w:rPr>
          <w:rFonts w:ascii="Arial" w:cs="Arial" w:eastAsia="Arial" w:hAnsi="Arial"/>
          <w:color w:val="222222"/>
          <w:sz w:val="22"/>
          <w:szCs w:val="22"/>
        </w:rPr>
        <w:t xml:space="preserve">boissons et desserts à forte marge, leviers de rentabilité décisifs.</w:t>
      </w:r>
    </w:p>
    <w:p>
      <w:pPr>
        <w:spacing w:after="160" w:before="100" w:line="276"/>
        <w:jc w:val="both"/>
      </w:pPr>
      <w:r>
        <w:rPr>
          <w:rFonts w:ascii="Arial" w:cs="Arial" w:eastAsia="Arial" w:hAnsi="Arial"/>
          <w:b w:val="false"/>
          <w:bCs w:val="false"/>
          <w:i w:val="false"/>
          <w:iCs w:val="false"/>
          <w:color w:val="222222"/>
          <w:sz w:val="22"/>
          <w:szCs w:val="22"/>
        </w:rPr>
        <w:t xml:space="preserve">La fiscalité canarienne renforce cette compétitivité : l'IGIC à 3 % sur la restauration (contre 10 % de TVA continentale) préserve la marge à prix de vente égal, et permet de maintenir des prix doux tout en garantissant une rentabilité durable. Les commissions des plateformes de livraison seront intégrées dans le calcul des prix de ce canal afin d'en préserver la marge.</w:t>
      </w:r>
    </w:p>
    <w:p>
      <w:pPr>
        <w:pStyle w:val="Heading1"/>
        <w:pBdr>
          <w:bottom w:val="single" w:color="D9342B" w:sz="18" w:space="6"/>
        </w:pBdr>
        <w:spacing w:after="60" w:before="360"/>
      </w:pPr>
      <w:r>
        <w:rPr>
          <w:rFonts w:ascii="Arial" w:cs="Arial" w:eastAsia="Arial" w:hAnsi="Arial"/>
          <w:b/>
          <w:bCs/>
          <w:color w:val="1A1A1A"/>
          <w:sz w:val="34"/>
          <w:szCs w:val="34"/>
        </w:rPr>
        <w:t xml:space="preserve">Plan Commercial</w:t>
      </w:r>
    </w:p>
    <w:p>
      <w:pPr>
        <w:spacing w:after="160" w:line="276"/>
        <w:jc w:val="both"/>
      </w:pPr>
      <w:r>
        <w:rPr>
          <w:rFonts w:ascii="Arial" w:cs="Arial" w:eastAsia="Arial" w:hAnsi="Arial"/>
          <w:b w:val="false"/>
          <w:bCs w:val="false"/>
          <w:i w:val="false"/>
          <w:iCs w:val="false"/>
          <w:color w:val="222222"/>
          <w:sz w:val="22"/>
          <w:szCs w:val="22"/>
        </w:rPr>
        <w:t xml:space="preserve">Le plan commercial de La French Touch combine acquisition digitale, présence sur tous les canaux de distribution et partenariats locaux, pour installer rapidement la notoriété puis transformer le trafic en commandes récurrentes. Il s'organise autour d'actions priorisées, à déployer dès le lancement.</w:t>
      </w:r>
    </w:p>
    <w:p>
      <w:pPr>
        <w:pStyle w:val="Heading2"/>
        <w:spacing w:after="100" w:before="240"/>
      </w:pPr>
      <w:r>
        <w:rPr>
          <w:rFonts w:ascii="Arial" w:cs="Arial" w:eastAsia="Arial" w:hAnsi="Arial"/>
          <w:b/>
          <w:bCs/>
          <w:color w:val="2A6FB0"/>
          <w:sz w:val="26"/>
          <w:szCs w:val="26"/>
        </w:rPr>
        <w:t xml:space="preserve">Plan d'actions commerciales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Canal</w:t>
            </w:r>
          </w:p>
        </w:tc>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Objectif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Communication réseaux offensive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Instagram / TikTok / Reels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Notoriété + viralité (modèle Tasty Crousty)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Publicité payante ciblée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Meta Ads / TikTok Ads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Toucher touristes &amp; locaux par géociblage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Influenceurs &amp; créateurs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TikTok / Instagram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Crédibilité et portée (food + tourisme)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Site web marquant &amp; innovant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Web / mobile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Commande en ligne, image, conversion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Salle aux couleurs de la marque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Sur place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Décor photogénique → contenu client (UGC)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Mise en ligne livraison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Glovo / Just Eat / Uber Eats / GC Express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Capter la demande à domicile et en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Cibler le créneau du dîner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Salle + plateformes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Occuper le soir, peu couvert par les asaderos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Référencement &amp; avis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Google Business / TripAdvisor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Visibilité « restaurant Maspalomas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Événement &amp; offre d'ouverture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Sur place + réseaux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Générer trafic et premiers avis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Partenariats hébergeurs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Hôtels / conciergeries / locations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Flyers, QR codes, recommandations</w:t>
            </w:r>
          </w:p>
        </w:tc>
      </w:tr>
    </w:tbl>
    <w:p>
      <w:pPr>
        <w:pStyle w:val="Heading2"/>
        <w:spacing w:after="100" w:before="240"/>
      </w:pPr>
      <w:r>
        <w:rPr>
          <w:rFonts w:ascii="Arial" w:cs="Arial" w:eastAsia="Arial" w:hAnsi="Arial"/>
          <w:b/>
          <w:bCs/>
          <w:color w:val="2A6FB0"/>
          <w:sz w:val="26"/>
          <w:szCs w:val="26"/>
        </w:rPr>
        <w:t xml:space="preserve">CA prévisionnel — Année 1</w:t>
      </w:r>
    </w:p>
    <w:p>
      <w:pPr>
        <w:spacing w:after="160" w:line="276"/>
        <w:jc w:val="both"/>
      </w:pPr>
      <w:r>
        <w:rPr>
          <w:rFonts w:ascii="Arial" w:cs="Arial" w:eastAsia="Arial" w:hAnsi="Arial"/>
          <w:b w:val="false"/>
          <w:bCs w:val="false"/>
          <w:i w:val="false"/>
          <w:iCs w:val="false"/>
          <w:color w:val="222222"/>
          <w:sz w:val="22"/>
          <w:szCs w:val="22"/>
        </w:rPr>
        <w:t xml:space="preserve">Le chiffre d'affaires se déduit d'une équation simple : CA = couverts/jour × ticket moyen × jours d'ouverture. Sur la base d'un ticket moyen d'environ 11 € et d'environ 27 jours d'ouverture par mois (≈ 325 jours/an), chaque objectif mensuel se traduit en un nombre concret de couverts à servir par jour. Le chiffre d'affaires cible de la première année s'établit à près de 176 000 € — hypothèse prudente, sous l'objectif de 200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rPr>
          <w:tblHeader/>
        </w:trP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Mois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CA estimé (€)</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Couverts / jour</w:t>
            </w:r>
          </w:p>
        </w:tc>
        <w:tc>
          <w:tcPr>
            <w:tcW w:type="dxa" w:w="3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Commentaire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8 000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27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Ouverture, montée en charge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11 000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37</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Rodage, premiers avis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13 000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44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Bouche-à-oreille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14 000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47</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Livraison qui monte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15 000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Régime de croisière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14 000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47</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16 000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54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Affluence estivale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18 000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61</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Pic d'août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15 000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50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18 000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61</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Pic touristique (octobre)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17 000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57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Saison hivernale nord-EU</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Mois 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17 000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57</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Décembre / fêtes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TOTAL An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176 000 €</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49 / jour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16 000 couverts/an</w:t>
            </w:r>
          </w:p>
        </w:tc>
      </w:tr>
    </w:tbl>
    <w:p>
      <w:pPr>
        <w:spacing w:after="160" w:before="100" w:line="276"/>
        <w:jc w:val="both"/>
      </w:pPr>
      <w:r>
        <w:rPr>
          <w:rFonts w:ascii="Arial" w:cs="Arial" w:eastAsia="Arial" w:hAnsi="Arial"/>
          <w:b w:val="false"/>
          <w:bCs w:val="false"/>
          <w:i w:val="false"/>
          <w:iCs w:val="false"/>
          <w:color w:val="222222"/>
          <w:sz w:val="22"/>
          <w:szCs w:val="22"/>
        </w:rPr>
        <w:t xml:space="preserve">L'objectif opérationnel est donc de passer d'environ 27 couverts/jour à l'ouverture à une vitesse de croisière de ≈ 50 couverts/jour, avec des pics estivaux et touristiques à ≈ 60. Cette moyenne annuelle de ≈ 49 couverts/jour reste cohérente avec la fourchette de 45-50 retenue, et prudente au regard du flux du front de mer de Maspalomas.</w:t>
      </w:r>
    </w:p>
    <w:p>
      <w:pPr>
        <w:pStyle w:val="Heading2"/>
        <w:spacing w:after="100" w:before="240"/>
      </w:pPr>
      <w:r>
        <w:rPr>
          <w:rFonts w:ascii="Arial" w:cs="Arial" w:eastAsia="Arial" w:hAnsi="Arial"/>
          <w:b/>
          <w:bCs/>
          <w:color w:val="2A6FB0"/>
          <w:sz w:val="26"/>
          <w:szCs w:val="26"/>
        </w:rPr>
        <w:t xml:space="preserve">Répartition cible par canal (vitesse de croisière)</w:t>
      </w:r>
    </w:p>
    <w:p>
      <w:pPr>
        <w:spacing w:after="160" w:line="276"/>
        <w:jc w:val="both"/>
      </w:pPr>
      <w:r>
        <w:rPr>
          <w:rFonts w:ascii="Arial" w:cs="Arial" w:eastAsia="Arial" w:hAnsi="Arial"/>
          <w:b w:val="false"/>
          <w:bCs w:val="false"/>
          <w:i w:val="false"/>
          <w:iCs w:val="false"/>
          <w:color w:val="222222"/>
          <w:sz w:val="22"/>
          <w:szCs w:val="22"/>
        </w:rPr>
        <w:t xml:space="preserve">À ≈ 50 couverts/jour en régime de croisière, l'objectif se répartit sur les trois canaux de la manière suivante (hypothèse à caler avec les premiers mois d'exploitation)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800"/>
        <w:gridCol w:w="3000"/>
      </w:tblGrid>
      <w:tr>
        <w:trPr>
          <w:tblHeader/>
        </w:trPr>
        <w:tc>
          <w:tcPr>
            <w:tcW w:type="dxa" w:w="2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Canal</w:t>
            </w:r>
          </w:p>
        </w:tc>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Part</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Couverts / jour</w:t>
            </w:r>
          </w:p>
        </w:tc>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Logique</w:t>
            </w:r>
          </w:p>
        </w:tc>
      </w:tr>
      <w:tr>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Salle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50 %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25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30-60 couverts → 1 à 1,5 rotation midi + soir</w:t>
            </w:r>
          </w:p>
        </w:tc>
      </w:tr>
      <w:tr>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Emporter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30 %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15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Flux piéton du front de mer</w:t>
            </w:r>
          </w:p>
        </w:tc>
      </w:tr>
      <w:tr>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Livraison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20 %</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Glovo / Just Eat / Uber Eats / GC Express</w:t>
            </w:r>
          </w:p>
        </w:tc>
      </w:tr>
    </w:tbl>
    <w:p>
      <w:pPr>
        <w:spacing w:after="160" w:before="100" w:line="276"/>
        <w:jc w:val="both"/>
      </w:pPr>
      <w:r>
        <w:rPr>
          <w:rFonts w:ascii="Arial" w:cs="Arial" w:eastAsia="Arial" w:hAnsi="Arial"/>
          <w:b w:val="false"/>
          <w:bCs w:val="false"/>
          <w:i w:val="false"/>
          <w:iCs w:val="false"/>
          <w:color w:val="222222"/>
          <w:sz w:val="22"/>
          <w:szCs w:val="22"/>
        </w:rPr>
        <w:t xml:space="preserve">Réparti sur le midi, le soir, l'emporter et la livraison, atteindre ≈ 50 à 60 couverts/jour dans une salle de 30-60 places sur le front de mer constitue un objectif atteignable, et non tendu. Deux leviers permettent par ailleurs de sécuriser le CA sans augmenter le nombre de couverts : relever le ticket moyen (formules famille, boissons et desserts, vers 12-13 €) et étendre les jours ou horaires d'ouverture en haute saison.</w:t>
      </w:r>
    </w:p>
    <w:p>
      <w:pPr>
        <w:spacing w:after="160" w:before="100" w:line="276"/>
        <w:jc w:val="both"/>
      </w:pPr>
      <w:r>
        <w:rPr>
          <w:rFonts w:ascii="Arial" w:cs="Arial" w:eastAsia="Arial" w:hAnsi="Arial"/>
          <w:b w:val="false"/>
          <w:bCs w:val="false"/>
          <w:i w:val="false"/>
          <w:iCs w:val="false"/>
          <w:color w:val="222222"/>
          <w:sz w:val="22"/>
          <w:szCs w:val="22"/>
        </w:rPr>
        <w:t xml:space="preserve">Une forte croissance est attendue dès la deuxième année, une fois la notoriété installée et les processus rodés. Les projections sont à affiner avec les devis d'aménagement, le loyer réel et les premiers mois d'exploitation.</w:t>
      </w:r>
    </w:p>
    <w:p>
      <w:pPr>
        <w:pStyle w:val="Heading1"/>
        <w:pBdr>
          <w:bottom w:val="single" w:color="D9342B" w:sz="18" w:space="6"/>
        </w:pBdr>
        <w:spacing w:after="60" w:before="360"/>
      </w:pPr>
      <w:r>
        <w:rPr>
          <w:rFonts w:ascii="Arial" w:cs="Arial" w:eastAsia="Arial" w:hAnsi="Arial"/>
          <w:b/>
          <w:bCs/>
          <w:color w:val="1A1A1A"/>
          <w:sz w:val="34"/>
          <w:szCs w:val="34"/>
        </w:rPr>
        <w:t xml:space="preserve">Étapes de développement</w:t>
      </w:r>
    </w:p>
    <w:p>
      <w:pPr>
        <w:spacing w:after="160" w:line="276"/>
        <w:jc w:val="both"/>
      </w:pPr>
      <w:r>
        <w:rPr>
          <w:rFonts w:ascii="Arial" w:cs="Arial" w:eastAsia="Arial" w:hAnsi="Arial"/>
          <w:b w:val="false"/>
          <w:bCs w:val="false"/>
          <w:i w:val="false"/>
          <w:iCs w:val="false"/>
          <w:color w:val="222222"/>
          <w:sz w:val="22"/>
          <w:szCs w:val="22"/>
        </w:rPr>
        <w:t xml:space="preserve">Le développement de La French Touch est planifié en quatre phases successives, de la constitution juridique à la consolidation d'un concept potentiellement réplicable.</w:t>
      </w:r>
    </w:p>
    <w:p>
      <w:pPr>
        <w:pStyle w:val="Heading2"/>
        <w:spacing w:after="100" w:before="240"/>
      </w:pPr>
      <w:r>
        <w:rPr>
          <w:rFonts w:ascii="Arial" w:cs="Arial" w:eastAsia="Arial" w:hAnsi="Arial"/>
          <w:b/>
          <w:bCs/>
          <w:color w:val="2A6FB0"/>
          <w:sz w:val="26"/>
          <w:szCs w:val="26"/>
        </w:rPr>
        <w:t xml:space="preserve">Phase 1 — Constitution &amp; ouverture (0–12 mois)</w:t>
      </w:r>
    </w:p>
    <w:p>
      <w:pPr>
        <w:spacing w:after="160" w:line="276"/>
        <w:jc w:val="both"/>
      </w:pPr>
      <w:r>
        <w:rPr>
          <w:rFonts w:ascii="Arial" w:cs="Arial" w:eastAsia="Arial" w:hAnsi="Arial"/>
          <w:b w:val="false"/>
          <w:bCs w:val="false"/>
          <w:i w:val="false"/>
          <w:iCs w:val="false"/>
          <w:color w:val="222222"/>
          <w:sz w:val="22"/>
          <w:szCs w:val="22"/>
        </w:rPr>
        <w:t xml:space="preserve">Cette phase fondatrice enchaîne les jalons administratifs et opérationnels qui conditionnent l'ouverture :</w:t>
      </w:r>
    </w:p>
    <w:p>
      <w:pPr>
        <w:pStyle w:val="ListParagraph"/>
        <w:numPr>
          <w:ilvl w:val="0"/>
          <w:numId w:val="3"/>
        </w:numPr>
        <w:spacing w:after="90" w:line="270"/>
        <w:jc w:val="both"/>
      </w:pPr>
      <w:r>
        <w:rPr>
          <w:rFonts w:ascii="Arial" w:cs="Arial" w:eastAsia="Arial" w:hAnsi="Arial"/>
          <w:color w:val="222222"/>
          <w:sz w:val="22"/>
          <w:szCs w:val="22"/>
        </w:rPr>
        <w:t xml:space="preserve">Choisir un gestor / asesor fiscal à Gran Canaria (étape pilote, à faire en premier).</w:t>
      </w:r>
    </w:p>
    <w:p>
      <w:pPr>
        <w:pStyle w:val="ListParagraph"/>
        <w:numPr>
          <w:ilvl w:val="0"/>
          <w:numId w:val="3"/>
        </w:numPr>
        <w:spacing w:after="90" w:line="270"/>
        <w:jc w:val="both"/>
      </w:pPr>
      <w:r>
        <w:rPr>
          <w:rFonts w:ascii="Arial" w:cs="Arial" w:eastAsia="Arial" w:hAnsi="Arial"/>
          <w:color w:val="222222"/>
          <w:sz w:val="22"/>
          <w:szCs w:val="22"/>
        </w:rPr>
        <w:t xml:space="preserve">Obtenir le NIE des quatre associés, idéalement via procuration notariée au gestor.</w:t>
      </w:r>
    </w:p>
    <w:p>
      <w:pPr>
        <w:pStyle w:val="ListParagraph"/>
        <w:numPr>
          <w:ilvl w:val="0"/>
          <w:numId w:val="3"/>
        </w:numPr>
        <w:spacing w:after="90" w:line="270"/>
        <w:jc w:val="both"/>
      </w:pPr>
      <w:r>
        <w:rPr>
          <w:rFonts w:ascii="Arial" w:cs="Arial" w:eastAsia="Arial" w:hAnsi="Arial"/>
          <w:color w:val="222222"/>
          <w:sz w:val="22"/>
          <w:szCs w:val="22"/>
        </w:rPr>
        <w:t xml:space="preserve">Chiffrer l'aménagement du local et valider la viabilité du budget.</w:t>
      </w:r>
    </w:p>
    <w:p>
      <w:pPr>
        <w:pStyle w:val="ListParagraph"/>
        <w:numPr>
          <w:ilvl w:val="0"/>
          <w:numId w:val="3"/>
        </w:numPr>
        <w:spacing w:after="90" w:line="270"/>
        <w:jc w:val="both"/>
      </w:pPr>
      <w:r>
        <w:rPr>
          <w:rFonts w:ascii="Arial" w:cs="Arial" w:eastAsia="Arial" w:hAnsi="Arial"/>
          <w:color w:val="222222"/>
          <w:sz w:val="22"/>
          <w:szCs w:val="22"/>
        </w:rPr>
        <w:t xml:space="preserve">Rédiger les statuts de la SL et le pacte d'associés avec vesting ; formaliser les conventions de comptes courants.</w:t>
      </w:r>
    </w:p>
    <w:p>
      <w:pPr>
        <w:pStyle w:val="ListParagraph"/>
        <w:numPr>
          <w:ilvl w:val="0"/>
          <w:numId w:val="3"/>
        </w:numPr>
        <w:spacing w:after="90" w:line="270"/>
        <w:jc w:val="both"/>
      </w:pPr>
      <w:r>
        <w:rPr>
          <w:rFonts w:ascii="Arial" w:cs="Arial" w:eastAsia="Arial" w:hAnsi="Arial"/>
          <w:color w:val="222222"/>
          <w:sz w:val="22"/>
          <w:szCs w:val="22"/>
        </w:rPr>
        <w:t xml:space="preserve">Désigner le gérant-résident, constituer la société (notaire → CIF → IGIC / IS / Sécurité sociale).</w:t>
      </w:r>
    </w:p>
    <w:p>
      <w:pPr>
        <w:pStyle w:val="ListParagraph"/>
        <w:numPr>
          <w:ilvl w:val="0"/>
          <w:numId w:val="3"/>
        </w:numPr>
        <w:spacing w:after="90" w:line="270"/>
        <w:jc w:val="both"/>
      </w:pPr>
      <w:r>
        <w:rPr>
          <w:rFonts w:ascii="Arial" w:cs="Arial" w:eastAsia="Arial" w:hAnsi="Arial"/>
          <w:color w:val="222222"/>
          <w:sz w:val="22"/>
          <w:szCs w:val="22"/>
        </w:rPr>
        <w:t xml:space="preserve">Négocier le bail, réaliser les travaux et l'aménagement, puis ouvrir.</w:t>
      </w:r>
    </w:p>
    <w:p>
      <w:pPr>
        <w:pStyle w:val="Heading2"/>
        <w:spacing w:after="100" w:before="240"/>
      </w:pPr>
      <w:r>
        <w:rPr>
          <w:rFonts w:ascii="Arial" w:cs="Arial" w:eastAsia="Arial" w:hAnsi="Arial"/>
          <w:b/>
          <w:bCs/>
          <w:color w:val="2A6FB0"/>
          <w:sz w:val="26"/>
          <w:szCs w:val="26"/>
        </w:rPr>
        <w:t xml:space="preserve">Phase 2 — Montée en charge &amp; notoriété (an 1)</w:t>
      </w:r>
    </w:p>
    <w:p>
      <w:pPr>
        <w:spacing w:after="160" w:line="276"/>
        <w:jc w:val="both"/>
      </w:pPr>
      <w:r>
        <w:rPr>
          <w:rFonts w:ascii="Arial" w:cs="Arial" w:eastAsia="Arial" w:hAnsi="Arial"/>
          <w:b w:val="false"/>
          <w:bCs w:val="false"/>
          <w:i w:val="false"/>
          <w:iCs w:val="false"/>
          <w:color w:val="222222"/>
          <w:sz w:val="22"/>
          <w:szCs w:val="22"/>
        </w:rPr>
        <w:t xml:space="preserve">Consolidation de la présence sur le marché : rodage du produit et du service, déploiement de la stratégie réseaux sociaux, mise en ligne sur les plateformes de livraison, accumulation des premiers avis et installation de la marque dans le paysage local.</w:t>
      </w:r>
    </w:p>
    <w:p>
      <w:pPr>
        <w:pStyle w:val="Heading2"/>
        <w:spacing w:after="100" w:before="240"/>
      </w:pPr>
      <w:r>
        <w:rPr>
          <w:rFonts w:ascii="Arial" w:cs="Arial" w:eastAsia="Arial" w:hAnsi="Arial"/>
          <w:b/>
          <w:bCs/>
          <w:color w:val="2A6FB0"/>
          <w:sz w:val="26"/>
          <w:szCs w:val="26"/>
        </w:rPr>
        <w:t xml:space="preserve">Phase 3 — Croissance &amp; optimisation (an 2)</w:t>
      </w:r>
    </w:p>
    <w:p>
      <w:pPr>
        <w:spacing w:after="160" w:line="276"/>
        <w:jc w:val="both"/>
      </w:pPr>
      <w:r>
        <w:rPr>
          <w:rFonts w:ascii="Arial" w:cs="Arial" w:eastAsia="Arial" w:hAnsi="Arial"/>
          <w:b w:val="false"/>
          <w:bCs w:val="false"/>
          <w:i w:val="false"/>
          <w:iCs w:val="false"/>
          <w:color w:val="222222"/>
          <w:sz w:val="22"/>
          <w:szCs w:val="22"/>
        </w:rPr>
        <w:t xml:space="preserve">Avec la notoriété installée, l'enseigne optimise ses marges (achats, mix produit, ventes additionnelles), renforce ses partenariats avec les hébergeurs, et exploite les leviers fiscaux (RIC) pour réinvestir les bénéfices dans l'outil et accélérer la croissance du chiffre d'affaires.</w:t>
      </w:r>
    </w:p>
    <w:p>
      <w:pPr>
        <w:pStyle w:val="Heading2"/>
        <w:spacing w:after="100" w:before="240"/>
      </w:pPr>
      <w:r>
        <w:rPr>
          <w:rFonts w:ascii="Arial" w:cs="Arial" w:eastAsia="Arial" w:hAnsi="Arial"/>
          <w:b/>
          <w:bCs/>
          <w:color w:val="2A6FB0"/>
          <w:sz w:val="26"/>
          <w:szCs w:val="26"/>
        </w:rPr>
        <w:t xml:space="preserve">Phase 4 — Consolidation &amp; réplicabilité (an 3+)</w:t>
      </w:r>
    </w:p>
    <w:p>
      <w:pPr>
        <w:spacing w:after="160" w:line="276"/>
        <w:jc w:val="both"/>
      </w:pPr>
      <w:r>
        <w:rPr>
          <w:rFonts w:ascii="Arial" w:cs="Arial" w:eastAsia="Arial" w:hAnsi="Arial"/>
          <w:b w:val="false"/>
          <w:bCs w:val="false"/>
          <w:i w:val="false"/>
          <w:iCs w:val="false"/>
          <w:color w:val="222222"/>
          <w:sz w:val="22"/>
          <w:szCs w:val="22"/>
        </w:rPr>
        <w:t xml:space="preserve">Une fois le concept éprouvé et rentable, La French Touch peut envisager la consolidation de sa position de référence sur la zone, voire la duplication du modèle (deuxième point de vente, franchise ou licence de marque), en capitalisant sur une identité forte et une marque déposée.</w:t>
      </w:r>
    </w:p>
    <w:p>
      <w:pPr>
        <w:pStyle w:val="Heading1"/>
        <w:pBdr>
          <w:bottom w:val="single" w:color="D9342B" w:sz="18" w:space="6"/>
        </w:pBdr>
        <w:spacing w:after="60" w:before="360"/>
      </w:pPr>
      <w:r>
        <w:rPr>
          <w:rFonts w:ascii="Arial" w:cs="Arial" w:eastAsia="Arial" w:hAnsi="Arial"/>
          <w:b/>
          <w:bCs/>
          <w:color w:val="1A1A1A"/>
          <w:sz w:val="34"/>
          <w:szCs w:val="34"/>
        </w:rPr>
        <w:t xml:space="preserve">Risques</w:t>
      </w:r>
    </w:p>
    <w:p>
      <w:pPr>
        <w:spacing w:after="160" w:line="276"/>
        <w:jc w:val="both"/>
      </w:pPr>
      <w:r>
        <w:rPr>
          <w:rFonts w:ascii="Arial" w:cs="Arial" w:eastAsia="Arial" w:hAnsi="Arial"/>
          <w:b w:val="false"/>
          <w:bCs w:val="false"/>
          <w:i w:val="false"/>
          <w:iCs w:val="false"/>
          <w:color w:val="222222"/>
          <w:sz w:val="22"/>
          <w:szCs w:val="22"/>
        </w:rPr>
        <w:t xml:space="preserve">L'analyse stratégique (SWOT, PESTEL) met en évidence plusieurs risques que La French Touch surveille et entend atténuer par des mesures proactives.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rPr>
          <w:tblHeader/>
        </w:trPr>
        <w:tc>
          <w:tcPr>
            <w:tcW w:type="dxa" w:w="36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Risque</w:t>
            </w:r>
          </w:p>
        </w:tc>
        <w:tc>
          <w:tcPr>
            <w:tcW w:type="dxa" w:w="57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Mesure d'atténuation</w:t>
            </w:r>
          </w:p>
        </w:tc>
      </w:tr>
      <w:tr>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Marque nouvelle sans notoriété</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Stratégie réseaux offensive dès le lancement, budget marketing dédié, événement d'ouverture, premiers avis.</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Budget de lancement serré (local nu)</w:t>
            </w:r>
          </w:p>
        </w:tc>
        <w:tc>
          <w:tcPr>
            <w:tcW w:type="dxa" w:w="5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Chiffrage préalable rigoureux ; option local semi-équipé / traspaso ; recours possible à un prêt bancaire ; RIC pour réinvestir.</w:t>
            </w:r>
          </w:p>
        </w:tc>
      </w:tr>
      <w:tr>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Forte densité concurrentielle</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Positionnement différenciant (poulet rôti + identité française) sur un créneau vacant (dîner).</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Saisonnalité et aléas du tourisme</w:t>
            </w:r>
          </w:p>
        </w:tc>
        <w:tc>
          <w:tcPr>
            <w:tcW w:type="dxa" w:w="5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Double clientèle locale + touristique ; climat doux ; double canal salle + livraison ; faible saisonnalité de la zone.</w:t>
            </w:r>
          </w:p>
        </w:tc>
      </w:tr>
      <w:tr>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Hausse des coûts (énergie, matières, loyers)</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Avantage IGIC 3 % ; sourcing optimisé ; négociation du bail ; pilotage serré des marges.</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Dépendance aux plateformes (commissions)</w:t>
            </w:r>
          </w:p>
        </w:tc>
        <w:tc>
          <w:tcPr>
            <w:tcW w:type="dxa" w:w="5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Click-and-collect en propre, canal salle et comptoir, intégration des commissions dans les prix livraison.</w:t>
            </w:r>
          </w:p>
        </w:tc>
      </w:tr>
      <w:tr>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Évolutions réglementaires (licences)</w:t>
            </w:r>
          </w:p>
        </w:tc>
        <w:tc>
          <w:tcPr>
            <w:tcW w:type="dxa" w:w="57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Licence d'apertura et conformité sanitaire en amont ; accompagnement par le gestor.</w:t>
            </w:r>
          </w:p>
        </w:tc>
      </w:tr>
    </w:tbl>
    <w:p>
      <w:pPr>
        <w:spacing w:after="160" w:before="100" w:line="276"/>
        <w:jc w:val="both"/>
      </w:pPr>
      <w:r>
        <w:rPr>
          <w:rFonts w:ascii="Arial" w:cs="Arial" w:eastAsia="Arial" w:hAnsi="Arial"/>
          <w:b w:val="false"/>
          <w:bCs w:val="false"/>
          <w:i w:val="false"/>
          <w:iCs w:val="false"/>
          <w:color w:val="222222"/>
          <w:sz w:val="22"/>
          <w:szCs w:val="22"/>
        </w:rPr>
        <w:t xml:space="preserve">Le point de vigilance numéro un reste budgétaire : le cash total mobilisable est limité face au coût d'aménagement d'un local nu en zone touristique. C'est pourquoi le chiffrage de l'aménagement constitue le tout premier jalon décisionnel — c'est le chiffre qui dit si le projet passe en l'état, ou s'il faut activer un levier complémentaire (prêt, local semi-équipé).</w:t>
      </w:r>
    </w:p>
    <w:p>
      <w:pPr>
        <w:pStyle w:val="Heading1"/>
        <w:pBdr>
          <w:bottom w:val="single" w:color="D9342B" w:sz="18" w:space="6"/>
        </w:pBdr>
        <w:spacing w:after="60" w:before="360"/>
      </w:pPr>
      <w:r>
        <w:rPr>
          <w:rFonts w:ascii="Arial" w:cs="Arial" w:eastAsia="Arial" w:hAnsi="Arial"/>
          <w:b/>
          <w:bCs/>
          <w:color w:val="1A1A1A"/>
          <w:sz w:val="34"/>
          <w:szCs w:val="34"/>
        </w:rPr>
        <w:t xml:space="preserve">Opérations</w:t>
      </w:r>
    </w:p>
    <w:p>
      <w:pPr>
        <w:spacing w:after="160" w:line="276"/>
        <w:jc w:val="both"/>
      </w:pPr>
      <w:r>
        <w:rPr>
          <w:rFonts w:ascii="Arial" w:cs="Arial" w:eastAsia="Arial" w:hAnsi="Arial"/>
          <w:b w:val="false"/>
          <w:bCs w:val="false"/>
          <w:i w:val="false"/>
          <w:iCs w:val="false"/>
          <w:color w:val="222222"/>
          <w:sz w:val="22"/>
          <w:szCs w:val="22"/>
        </w:rPr>
        <w:t xml:space="preserve">Les opérations de La French Touch sont conçues pour garantir une qualité produit constante, une efficacité de service maximale et une maîtrise des coûts, sur les trois canaux (salle, comptoir, livraison).</w:t>
      </w:r>
    </w:p>
    <w:p>
      <w:pPr>
        <w:pStyle w:val="Heading2"/>
        <w:spacing w:after="100" w:before="240"/>
      </w:pPr>
      <w:r>
        <w:rPr>
          <w:rFonts w:ascii="Arial" w:cs="Arial" w:eastAsia="Arial" w:hAnsi="Arial"/>
          <w:b/>
          <w:bCs/>
          <w:color w:val="2A6FB0"/>
          <w:sz w:val="26"/>
          <w:szCs w:val="26"/>
        </w:rPr>
        <w:t xml:space="preserve">Approvisionnement &amp; équipement de la cuisine</w:t>
      </w:r>
    </w:p>
    <w:p>
      <w:pPr>
        <w:spacing w:after="160" w:line="276"/>
        <w:jc w:val="both"/>
      </w:pPr>
      <w:r>
        <w:rPr>
          <w:rFonts w:ascii="Arial" w:cs="Arial" w:eastAsia="Arial" w:hAnsi="Arial"/>
          <w:b w:val="false"/>
          <w:bCs w:val="false"/>
          <w:i w:val="false"/>
          <w:iCs w:val="false"/>
          <w:color w:val="222222"/>
          <w:sz w:val="22"/>
          <w:szCs w:val="22"/>
        </w:rPr>
        <w:t xml:space="preserve">L'équipement de la cuisine professionnelle et l'aménagement de la salle s'appuient sur un sourcing international optimisé. Les fournisseurs ont été présélectionnés par catégorie (cuisson, froid, lavage, préparation, mobilier, bornes, accessoires), avec un approvisionnement réalisé via un agent de sourcing (superbuy.com) qui consolide les commandes, gère l'achat et l'expédition depuis la Chine, afin de réduire le capex d'installation.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0"/>
        <w:gridCol w:w="2860"/>
        <w:gridCol w:w="2860"/>
      </w:tblGrid>
      <w:tr>
        <w:trPr>
          <w:tblHeader/>
        </w:trPr>
        <w:tc>
          <w:tcPr>
            <w:tcW w:type="dxa" w:w="36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Catégorie</w:t>
            </w:r>
          </w:p>
        </w:tc>
        <w:tc>
          <w:tcPr>
            <w:tcW w:type="dxa" w:w="2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Fournisseurs présélectionnés</w:t>
            </w:r>
          </w:p>
        </w:tc>
        <w:tc>
          <w:tcPr>
            <w:tcW w:type="dxa" w:w="2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Repère de prix</w:t>
            </w:r>
          </w:p>
        </w:tc>
      </w:tr>
      <w:tr>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Cuisson (fours)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Linkrich, Three Stones, Sunmachine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300 – 2 499 $</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Froid (réfrigération)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Haibor, Prosperity, Shinelong</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510 – 2 800 $</w:t>
            </w:r>
          </w:p>
        </w:tc>
      </w:tr>
      <w:tr>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Lavage (lave-vaisselle)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Shinelong, Yongtuo, Deback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925 – 1 926 $</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Préparation (mélangeurs/pétrins)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Delicreate, Foodsense, Topsure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153 – 399 $</w:t>
            </w:r>
          </w:p>
        </w:tc>
      </w:tr>
      <w:tr>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Ensemble cuisine complet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Guangzhou R&amp;M, Guangdong Grace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599 – 6 089 $</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Mobilier de salle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Ruihe, Mabang, Xingmu</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21 – 88 $ / pièce</w:t>
            </w:r>
          </w:p>
        </w:tc>
      </w:tr>
      <w:tr>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Bornes de commande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Landun, Electron, HDFocus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216 – 589 $</w:t>
            </w:r>
          </w:p>
        </w:tc>
      </w:tr>
      <w:tr>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Accessoires / emballages / uniformes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Rishen Yueyi, Huaao, Xinhongyuan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 0,03 – 9,56 $</w:t>
            </w:r>
          </w:p>
        </w:tc>
      </w:tr>
    </w:tbl>
    <w:p>
      <w:pPr>
        <w:spacing w:after="160" w:before="100" w:line="276"/>
        <w:jc w:val="both"/>
      </w:pPr>
      <w:r>
        <w:rPr>
          <w:rFonts w:ascii="Arial" w:cs="Arial" w:eastAsia="Arial" w:hAnsi="Arial"/>
          <w:b w:val="false"/>
          <w:bCs w:val="false"/>
          <w:i w:val="false"/>
          <w:iCs w:val="false"/>
          <w:color w:val="222222"/>
          <w:sz w:val="22"/>
          <w:szCs w:val="22"/>
        </w:rPr>
        <w:t xml:space="preserve">Recommandations de sourcing : valider un échantillon personnalisé avant toute commande en gros (fidélité des couleurs et qualité d'impression du logo) ; anticiper les quantités minimales (MOQ faibles pour les bornes, plus élevés pour les consommables) ; et regrouper les commandes via l'agent pour optimiser les frais d'expédition.</w:t>
      </w:r>
    </w:p>
    <w:p>
      <w:pPr>
        <w:pStyle w:val="Heading2"/>
        <w:spacing w:after="100" w:before="240"/>
      </w:pPr>
      <w:r>
        <w:rPr>
          <w:rFonts w:ascii="Arial" w:cs="Arial" w:eastAsia="Arial" w:hAnsi="Arial"/>
          <w:b/>
          <w:bCs/>
          <w:color w:val="2A6FB0"/>
          <w:sz w:val="26"/>
          <w:szCs w:val="26"/>
        </w:rPr>
        <w:t xml:space="preserve">Production &amp; service</w:t>
      </w:r>
    </w:p>
    <w:p>
      <w:pPr>
        <w:spacing w:after="160" w:line="276"/>
        <w:jc w:val="both"/>
      </w:pPr>
      <w:r>
        <w:rPr>
          <w:rFonts w:ascii="Arial" w:cs="Arial" w:eastAsia="Arial" w:hAnsi="Arial"/>
          <w:b w:val="false"/>
          <w:bCs w:val="false"/>
          <w:i w:val="false"/>
          <w:iCs w:val="false"/>
          <w:color w:val="222222"/>
          <w:sz w:val="22"/>
          <w:szCs w:val="22"/>
        </w:rPr>
        <w:t xml:space="preserve">La production est centrée sur la rôtisserie à la braise, avec des process standardisés (cuisson, sauces, accompagnements) garantissant une qualité constante. Le service s'organise sur trois flux : salle (prise de commande, envoi, encaissement), comptoir à emporter (rapidité), et préparation des commandes livraison (packaging soigné aux couleurs de la marque). L'encaissement et la facturation respectent les normes espagnoles en vigueur (VeriFactu).</w:t>
      </w:r>
    </w:p>
    <w:p>
      <w:pPr>
        <w:pStyle w:val="Heading2"/>
        <w:spacing w:after="100" w:before="240"/>
      </w:pPr>
      <w:r>
        <w:rPr>
          <w:rFonts w:ascii="Arial" w:cs="Arial" w:eastAsia="Arial" w:hAnsi="Arial"/>
          <w:b/>
          <w:bCs/>
          <w:color w:val="2A6FB0"/>
          <w:sz w:val="26"/>
          <w:szCs w:val="26"/>
        </w:rPr>
        <w:t xml:space="preserve">Gestion &amp; pilotage</w:t>
      </w:r>
    </w:p>
    <w:p>
      <w:pPr>
        <w:spacing w:after="160" w:line="276"/>
        <w:jc w:val="both"/>
      </w:pPr>
      <w:r>
        <w:rPr>
          <w:rFonts w:ascii="Arial" w:cs="Arial" w:eastAsia="Arial" w:hAnsi="Arial"/>
          <w:b w:val="false"/>
          <w:bCs w:val="false"/>
          <w:i w:val="false"/>
          <w:iCs w:val="false"/>
          <w:color w:val="222222"/>
          <w:sz w:val="22"/>
          <w:szCs w:val="22"/>
        </w:rPr>
        <w:t xml:space="preserve">Le pilotage quotidien s'appuie sur un suivi des indicateurs clés (CA par canal, ticket moyen, coût matière, taux de marge, avis en ligne) et sur une gestion agile des effectifs en fonction de la saisonnalité. La satisfaction client et la note moyenne en ligne sont traitées comme des indicateurs opérationnels de premier plan, car directement liés à la notoriété et au flux.</w:t>
      </w:r>
    </w:p>
    <w:p>
      <w:pPr>
        <w:pStyle w:val="Heading1"/>
        <w:pBdr>
          <w:bottom w:val="single" w:color="D9342B" w:sz="18" w:space="6"/>
        </w:pBdr>
        <w:spacing w:after="60" w:before="360"/>
      </w:pPr>
      <w:r>
        <w:rPr>
          <w:rFonts w:ascii="Arial" w:cs="Arial" w:eastAsia="Arial" w:hAnsi="Arial"/>
          <w:b/>
          <w:bCs/>
          <w:color w:val="1A1A1A"/>
          <w:sz w:val="34"/>
          <w:szCs w:val="34"/>
        </w:rPr>
        <w:t xml:space="preserve">Plan de Personnel</w:t>
      </w:r>
    </w:p>
    <w:p>
      <w:pPr>
        <w:spacing w:after="160" w:line="276"/>
        <w:jc w:val="both"/>
      </w:pPr>
      <w:r>
        <w:rPr>
          <w:rFonts w:ascii="Arial" w:cs="Arial" w:eastAsia="Arial" w:hAnsi="Arial"/>
          <w:b w:val="false"/>
          <w:bCs w:val="false"/>
          <w:i w:val="false"/>
          <w:iCs w:val="false"/>
          <w:color w:val="222222"/>
          <w:sz w:val="22"/>
          <w:szCs w:val="22"/>
        </w:rPr>
        <w:t xml:space="preserve">Le plan de personnel de La French Touch est dimensionné pour assurer un service de qualité sur les trois canaux, tout en conservant une structure de coûts maîtrisée pendant la phase de lancement. Il s'articule autour du noyau associatif et d'une équipe d'exploitation évolutive.</w:t>
      </w:r>
    </w:p>
    <w:p>
      <w:pPr>
        <w:pStyle w:val="Heading2"/>
        <w:spacing w:after="100" w:before="240"/>
      </w:pPr>
      <w:r>
        <w:rPr>
          <w:rFonts w:ascii="Arial" w:cs="Arial" w:eastAsia="Arial" w:hAnsi="Arial"/>
          <w:b/>
          <w:bCs/>
          <w:color w:val="2A6FB0"/>
          <w:sz w:val="26"/>
          <w:szCs w:val="26"/>
        </w:rPr>
        <w:t xml:space="preserve">Encadrement &amp; associés</w:t>
      </w:r>
    </w:p>
    <w:p>
      <w:pPr>
        <w:spacing w:after="160" w:line="276"/>
        <w:jc w:val="both"/>
      </w:pPr>
      <w:r>
        <w:rPr>
          <w:rFonts w:ascii="Arial" w:cs="Arial" w:eastAsia="Arial" w:hAnsi="Arial"/>
          <w:b w:val="false"/>
          <w:bCs w:val="false"/>
          <w:i w:val="false"/>
          <w:iCs w:val="false"/>
          <w:color w:val="222222"/>
          <w:sz w:val="22"/>
          <w:szCs w:val="22"/>
        </w:rPr>
        <w:t xml:space="preserve">Le gérant (associé opérationnel, résident espagnol) assure la direction de l'établissement : pilotage opérationnel et financier, relations avec le gestor, les fournisseurs et les plateformes. Le second associé opérationnel, professionnel de la restauration, supervise la production et la qualité. Les deux associés investisseurs apportent capital et appui stratégique, sans rôle d'exploitation.</w:t>
      </w:r>
    </w:p>
    <w:p>
      <w:pPr>
        <w:pStyle w:val="Heading2"/>
        <w:spacing w:after="100" w:before="240"/>
      </w:pPr>
      <w:r>
        <w:rPr>
          <w:rFonts w:ascii="Arial" w:cs="Arial" w:eastAsia="Arial" w:hAnsi="Arial"/>
          <w:b/>
          <w:bCs/>
          <w:color w:val="2A6FB0"/>
          <w:sz w:val="26"/>
          <w:szCs w:val="26"/>
        </w:rPr>
        <w:t xml:space="preserve">Équipe d'exploitation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rPr>
          <w:tblHeader/>
        </w:trPr>
        <w:tc>
          <w:tcPr>
            <w:tcW w:type="dxa" w:w="312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Poste</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Régime</w:t>
            </w:r>
          </w:p>
        </w:tc>
        <w:tc>
          <w:tcPr>
            <w:tcW w:type="dxa" w:w="424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line="264"/>
              <w:jc w:val="left"/>
            </w:pPr>
            <w:r>
              <w:rPr>
                <w:rFonts w:ascii="Arial" w:cs="Arial" w:eastAsia="Arial" w:hAnsi="Arial"/>
                <w:b/>
                <w:bCs/>
                <w:color w:val="FFFFFF"/>
                <w:sz w:val="20"/>
                <w:szCs w:val="20"/>
              </w:rPr>
              <w:t xml:space="preserve">Rôle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Gérant (associé)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Autónomo societario</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Direction, gestion, fournisseurs, plateformes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Resp. production (associé)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Salarié / associé</w:t>
            </w:r>
          </w:p>
        </w:tc>
        <w:tc>
          <w:tcPr>
            <w:tcW w:type="dxa" w:w="4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Cuisine, qualité, recettes signature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Cuisine (rôtisseur / commis)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Salariés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Production poulet, accompagnements, sauces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Salle &amp; comptoir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Salariés</w:t>
            </w:r>
          </w:p>
        </w:tc>
        <w:tc>
          <w:tcPr>
            <w:tcW w:type="dxa" w:w="4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Service, encaissement, emporter, livraison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Renforts saisonniers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CDD / extras</w:t>
            </w:r>
          </w:p>
        </w:tc>
        <w:tc>
          <w:tcPr>
            <w:tcW w:type="dxa" w:w="4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line="264"/>
              <w:jc w:val="left"/>
            </w:pPr>
            <w:r>
              <w:rPr>
                <w:rFonts w:ascii="Arial" w:cs="Arial" w:eastAsia="Arial" w:hAnsi="Arial"/>
                <w:b w:val="false"/>
                <w:bCs w:val="false"/>
                <w:color w:val="222222"/>
                <w:sz w:val="20"/>
                <w:szCs w:val="20"/>
              </w:rPr>
              <w:t xml:space="preserve">Absorption des pics estivaux et touristiques</w:t>
            </w:r>
          </w:p>
        </w:tc>
      </w:tr>
    </w:tbl>
    <w:p>
      <w:pPr>
        <w:spacing w:after="160" w:before="100" w:line="276"/>
        <w:jc w:val="both"/>
      </w:pPr>
      <w:r>
        <w:rPr>
          <w:rFonts w:ascii="Arial" w:cs="Arial" w:eastAsia="Arial" w:hAnsi="Arial"/>
          <w:b w:val="false"/>
          <w:bCs w:val="false"/>
          <w:i w:val="false"/>
          <w:iCs w:val="false"/>
          <w:color w:val="222222"/>
          <w:sz w:val="22"/>
          <w:szCs w:val="22"/>
        </w:rPr>
        <w:t xml:space="preserve">La politique de recrutement privilégie des profils polyvalents, capables d'évoluer entre cuisine, salle et comptoir. Les régimes sociaux suivent la structure validée avec le gestor : autónomo societario pour le gérant (avec tarifa plana possible la première année), régime général pour les salariés. Cette organisation garantit une montée en charge progressive des effectifs, alignée sur la croissance du chiffre d'affaires, et préserve la flexibilité indispensable à un lancement réussi.</w:t>
      </w:r>
    </w:p>
    <w:p>
      <w:pPr>
        <w:pBdr>
          <w:top w:val="single" w:color="CCCCCC" w:sz="6" w:space="6"/>
        </w:pBdr>
        <w:spacing w:after="0" w:before="300"/>
      </w:pPr>
      <w:r>
        <w:rPr>
          <w:rFonts w:ascii="Arial" w:cs="Arial" w:eastAsia="Arial" w:hAnsi="Arial"/>
          <w:i/>
          <w:iCs/>
          <w:color w:val="555555"/>
          <w:sz w:val="16"/>
          <w:szCs w:val="16"/>
        </w:rPr>
        <w:t xml:space="preserve">Document de cadrage stratégique à des fins de présentation. Les montants, régimes fiscaux et projections de chiffre d'affaires sont indicatifs et doivent être confirmés par un gestor / asesor fiscal établi aux Canaries et affinés avec les devis d'aménagement et le loyer réel avant constitution.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555555"/>
        <w:sz w:val="14"/>
        <w:szCs w:val="14"/>
      </w:rPr>
      <w:t xml:space="preserve">La French Touch — Pollo a la Brasa  ·  Maspalomas, Gran Canaria  ·  </w:t>
    </w:r>
    <w:r>
      <w:rPr>
        <w:rFonts w:ascii="Arial" w:cs="Arial" w:eastAsia="Arial" w:hAnsi="Arial"/>
        <w:color w:val="555555"/>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2A6F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1f7f9004387e311e55647e7ca6b47ad129529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 La French Touch</dc:title>
  <dc:creator>La French Touch</dc:creator>
  <cp:lastModifiedBy>Un-named</cp:lastModifiedBy>
  <cp:revision>1</cp:revision>
  <dcterms:created xsi:type="dcterms:W3CDTF">2026-06-30T04:26:21.306Z</dcterms:created>
  <dcterms:modified xsi:type="dcterms:W3CDTF">2026-06-30T04:26:21.307Z</dcterms:modified>
</cp:coreProperties>
</file>

<file path=docProps/custom.xml><?xml version="1.0" encoding="utf-8"?>
<Properties xmlns="http://schemas.openxmlformats.org/officeDocument/2006/custom-properties" xmlns:vt="http://schemas.openxmlformats.org/officeDocument/2006/docPropsVTypes"/>
</file>