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6"/>
          <w:szCs w:val="36"/>
        </w:rPr>
        <w:t xml:space="preserve">ESTATUTOS SOCIALES</w:t>
      </w:r>
    </w:p>
    <w:p>
      <w:pPr>
        <w:spacing w:after="60"/>
        <w:jc w:val="center"/>
      </w:pPr>
      <w:r>
        <w:rPr>
          <w:b/>
          <w:bCs/>
          <w:sz w:val="26"/>
          <w:szCs w:val="26"/>
        </w:rPr>
        <w:t xml:space="preserve">«____________, SOCIEDAD DE RESPONSABILIDAD LIMITADA»</w:t>
      </w:r>
    </w:p>
    <w:p>
      <w:pPr>
        <w:spacing w:after="40"/>
        <w:jc w:val="center"/>
      </w:pPr>
      <w:r>
        <w:rPr>
          <w:sz w:val="22"/>
          <w:szCs w:val="22"/>
        </w:rPr>
        <w:t xml:space="preserve">(abreviadamente «____________, S.L.»)</w:t>
      </w:r>
    </w:p>
    <w:p>
      <w:pPr>
        <w:spacing w:after="200"/>
        <w:jc w:val="center"/>
      </w:pPr>
      <w:r>
        <w:rPr>
          <w:color w:val="555555"/>
          <w:sz w:val="20"/>
          <w:szCs w:val="20"/>
        </w:rPr>
        <w:t xml:space="preserve">Domicilio: Maspalomas, T.M. de San Bartolomé de Tirajana — Las Palmas (Gran Canaria)</w:t>
      </w:r>
    </w:p>
    <w:p>
      <w:pPr>
        <w:pBdr>
          <w:left w:val="single" w:color="1F4E79" w:sz="18" w:space="8"/>
        </w:pBdr>
        <w:spacing w:after="100" w:line="264"/>
        <w:ind w:left="200"/>
        <w:jc w:val="both"/>
      </w:pPr>
      <w:r>
        <w:rPr>
          <w:i/>
          <w:iCs/>
          <w:color w:val="555555"/>
          <w:sz w:val="20"/>
          <w:szCs w:val="20"/>
        </w:rPr>
        <w:t xml:space="preserve">Documento de trabajo — plantilla a completar y revisar con el gestor/asesor y a elevar a escritura pública ante notario. Los espacios en blanco (______) deben rellenarse antes de la firma. No constituye asesoramiento jurídico definitivo.</w:t>
      </w:r>
    </w:p>
    <w:p>
      <w:pPr>
        <w:pStyle w:val="Heading1"/>
        <w:spacing w:after="160" w:before="320"/>
      </w:pPr>
      <w:r>
        <w:t xml:space="preserve">TÍTULO I.— DENOMINACIÓN, DURACIÓN, DOMICILIO Y OBJETO</w:t>
      </w:r>
    </w:p>
    <w:p>
      <w:pPr>
        <w:spacing w:after="80" w:before="220"/>
      </w:pPr>
      <w:r>
        <w:rPr>
          <w:b/>
          <w:bCs/>
          <w:sz w:val="22"/>
          <w:szCs w:val="22"/>
        </w:rPr>
        <w:t xml:space="preserve">Artículo 1.º.— Denominación</w:t>
      </w:r>
    </w:p>
    <w:p>
      <w:pPr>
        <w:spacing w:after="100" w:line="276"/>
        <w:jc w:val="both"/>
      </w:pPr>
      <w:r>
        <w:rPr>
          <w:sz w:val="22"/>
          <w:szCs w:val="22"/>
        </w:rPr>
        <w:t xml:space="preserve">La Sociedad se denominará «____________, SOCIEDAD DE RESPONSABILIDAD LIMITADA» y se regirá por su escritura de constitución, por los presentes Estatutos y, en lo no previsto en ellos, por el Texto Refundido de la Ley de Sociedades de Capital, aprobado por el Real Decreto Legislativo 1/2010, de 2 de julio, y demás disposiciones legales que le sean de aplicación.</w:t>
      </w:r>
    </w:p>
    <w:p>
      <w:pPr>
        <w:spacing w:after="80" w:before="220"/>
      </w:pPr>
      <w:r>
        <w:rPr>
          <w:b/>
          <w:bCs/>
          <w:sz w:val="22"/>
          <w:szCs w:val="22"/>
        </w:rPr>
        <w:t xml:space="preserve">Artículo 2.º.— Duración</w:t>
      </w:r>
    </w:p>
    <w:p>
      <w:pPr>
        <w:spacing w:after="100" w:line="276"/>
        <w:jc w:val="both"/>
      </w:pPr>
      <w:r>
        <w:rPr>
          <w:i w:val="false"/>
          <w:iCs w:val="false"/>
          <w:sz w:val="22"/>
          <w:szCs w:val="22"/>
        </w:rPr>
        <w:t xml:space="preserve">La Sociedad tendrá una duración de carácter indefinido y dará comienzo a sus operaciones sociales el día del otorgamiento de la escritura pública de constitución, sin perjuicio de las consecuencias legales previstas para los actos y contratos celebrados en nombre de la Sociedad con anterioridad a su inscripción en el Registro Mercantil.</w:t>
      </w:r>
    </w:p>
    <w:p>
      <w:pPr>
        <w:spacing w:after="80" w:before="220"/>
      </w:pPr>
      <w:r>
        <w:rPr>
          <w:b/>
          <w:bCs/>
          <w:sz w:val="22"/>
          <w:szCs w:val="22"/>
        </w:rPr>
        <w:t xml:space="preserve">Artículo 3.º.— Domicilio</w:t>
      </w:r>
    </w:p>
    <w:p>
      <w:pPr>
        <w:spacing w:after="100" w:line="276"/>
        <w:jc w:val="both"/>
      </w:pPr>
      <w:r>
        <w:rPr>
          <w:sz w:val="22"/>
          <w:szCs w:val="22"/>
        </w:rPr>
        <w:t xml:space="preserve">El domicilio social se fija en el término municipal de San Bartolomé de Tirajana (Maspalomas), Las Palmas, calle ______________________, n.º ____________, código postal ____________.</w:t>
      </w:r>
    </w:p>
    <w:p>
      <w:pPr>
        <w:spacing w:after="100" w:line="276"/>
        <w:jc w:val="both"/>
      </w:pPr>
      <w:r>
        <w:rPr>
          <w:i w:val="false"/>
          <w:iCs w:val="false"/>
          <w:sz w:val="22"/>
          <w:szCs w:val="22"/>
        </w:rPr>
        <w:t xml:space="preserve">El órgano de administración podrá crear, suprimir o trasladar sucursales, agencias o delegaciones en cualquier punto del territorio nacional o del extranjero, así como variar la sede social dentro del mismo término municipal de su domicilio.</w:t>
      </w:r>
    </w:p>
    <w:p>
      <w:pPr>
        <w:spacing w:after="80" w:before="220"/>
      </w:pPr>
      <w:r>
        <w:rPr>
          <w:b/>
          <w:bCs/>
          <w:sz w:val="22"/>
          <w:szCs w:val="22"/>
        </w:rPr>
        <w:t xml:space="preserve">Artículo 4.º.— Objeto social</w:t>
      </w:r>
    </w:p>
    <w:p>
      <w:pPr>
        <w:spacing w:after="100" w:line="276"/>
        <w:jc w:val="both"/>
      </w:pPr>
      <w:r>
        <w:rPr>
          <w:i w:val="false"/>
          <w:iCs w:val="false"/>
          <w:sz w:val="22"/>
          <w:szCs w:val="22"/>
        </w:rPr>
        <w:t xml:space="preserve">La Sociedad tiene por objeto la explotación de establecimientos de restauración y hostelería, comprendiendo en particular:</w:t>
      </w:r>
    </w:p>
    <w:p>
      <w:pPr>
        <w:spacing w:after="80" w:line="276"/>
        <w:ind w:left="360" w:hanging="360"/>
        <w:jc w:val="both"/>
      </w:pPr>
      <w:r>
        <w:rPr>
          <w:b/>
          <w:bCs/>
          <w:sz w:val="22"/>
          <w:szCs w:val="22"/>
        </w:rPr>
        <w:t xml:space="preserve">a) </w:t>
      </w:r>
      <w:r>
        <w:rPr>
          <w:sz w:val="22"/>
          <w:szCs w:val="22"/>
        </w:rPr>
        <w:t xml:space="preserve">la actividad propia de restaurantes y puestos de comidas (CNAE 5610);</w:t>
      </w:r>
    </w:p>
    <w:p>
      <w:pPr>
        <w:spacing w:after="80" w:line="276"/>
        <w:ind w:left="360" w:hanging="360"/>
        <w:jc w:val="both"/>
      </w:pPr>
      <w:r>
        <w:rPr>
          <w:b/>
          <w:bCs/>
          <w:sz w:val="22"/>
          <w:szCs w:val="22"/>
        </w:rPr>
        <w:t xml:space="preserve">b) </w:t>
      </w:r>
      <w:r>
        <w:rPr>
          <w:sz w:val="22"/>
          <w:szCs w:val="22"/>
        </w:rPr>
        <w:t xml:space="preserve">el servicio y suministro de bebidas en bares, cafeterías y establecimientos similares (CNAE 5630);</w:t>
      </w:r>
    </w:p>
    <w:p>
      <w:pPr>
        <w:spacing w:after="80" w:line="276"/>
        <w:ind w:left="360" w:hanging="360"/>
        <w:jc w:val="both"/>
      </w:pPr>
      <w:r>
        <w:rPr>
          <w:b/>
          <w:bCs/>
          <w:sz w:val="22"/>
          <w:szCs w:val="22"/>
        </w:rPr>
        <w:t xml:space="preserve">c) </w:t>
      </w:r>
      <w:r>
        <w:rPr>
          <w:sz w:val="22"/>
          <w:szCs w:val="22"/>
        </w:rPr>
        <w:t xml:space="preserve">el suministro de comidas preparadas, catering y servicio de comidas para eventos (CNAE 5621 y 5629);</w:t>
      </w:r>
    </w:p>
    <w:p>
      <w:pPr>
        <w:spacing w:after="80" w:line="276"/>
        <w:ind w:left="360" w:hanging="360"/>
        <w:jc w:val="both"/>
      </w:pPr>
      <w:r>
        <w:rPr>
          <w:b/>
          <w:bCs/>
          <w:sz w:val="22"/>
          <w:szCs w:val="22"/>
        </w:rPr>
        <w:t xml:space="preserve">d) </w:t>
      </w:r>
      <w:r>
        <w:rPr>
          <w:sz w:val="22"/>
          <w:szCs w:val="22"/>
        </w:rPr>
        <w:t xml:space="preserve">el servicio de comidas y bebidas para llevar y a domicilio;</w:t>
      </w:r>
    </w:p>
    <w:p>
      <w:pPr>
        <w:spacing w:after="80" w:line="276"/>
        <w:ind w:left="360" w:hanging="360"/>
        <w:jc w:val="both"/>
      </w:pPr>
      <w:r>
        <w:rPr>
          <w:b/>
          <w:bCs/>
          <w:sz w:val="22"/>
          <w:szCs w:val="22"/>
        </w:rPr>
        <w:t xml:space="preserve">e) </w:t>
      </w:r>
      <w:r>
        <w:rPr>
          <w:sz w:val="22"/>
          <w:szCs w:val="22"/>
        </w:rPr>
        <w:t xml:space="preserve">la organización y celebración de eventos gastronómicos y de hostelería.</w:t>
      </w:r>
    </w:p>
    <w:p>
      <w:pPr>
        <w:spacing w:after="100" w:line="276"/>
        <w:jc w:val="both"/>
      </w:pPr>
      <w:r>
        <w:rPr>
          <w:sz w:val="22"/>
          <w:szCs w:val="22"/>
        </w:rPr>
        <w:t xml:space="preserve">Quedan excluidas todas aquellas actividades para cuyo ejercicio la ley exija requisitos especiales que no queden cumplidos por esta Sociedad. Si alguna de las actividades enumeradas precisara para su ejercicio de autorización administrativa, licencia, o título profesional, dicha actividad se desarrollará una vez obtenidas las autorizaciones o licencias precisas y, en su caso, a través de persona que ostente la titulación requerida.</w:t>
      </w:r>
    </w:p>
    <w:p>
      <w:pPr>
        <w:pStyle w:val="Heading1"/>
        <w:spacing w:after="160" w:before="320"/>
      </w:pPr>
      <w:r>
        <w:t xml:space="preserve">TÍTULO II.— CAPITAL SOCIAL Y PARTICIPACIONES</w:t>
      </w:r>
    </w:p>
    <w:p>
      <w:pPr>
        <w:spacing w:after="80" w:before="220"/>
      </w:pPr>
      <w:r>
        <w:rPr>
          <w:b/>
          <w:bCs/>
          <w:sz w:val="22"/>
          <w:szCs w:val="22"/>
        </w:rPr>
        <w:t xml:space="preserve">Artículo 5.º.— Capital social</w:t>
      </w:r>
    </w:p>
    <w:p>
      <w:pPr>
        <w:spacing w:after="100" w:line="276"/>
        <w:jc w:val="both"/>
      </w:pPr>
      <w:r>
        <w:rPr>
          <w:sz w:val="22"/>
          <w:szCs w:val="22"/>
        </w:rPr>
        <w:t xml:space="preserve">El capital social se fija en la cantidad de ____________ EUROS (____________ €), dividido en ____________ participaciones sociales, todas iguales, acumulables e indivisibles, de ____________ euros de valor nominal cada una de ellas, numeradas correlativamente con los números 1 al ____________, ambos inclusive.</w:t>
      </w:r>
    </w:p>
    <w:p>
      <w:pPr>
        <w:spacing w:after="100" w:line="276"/>
        <w:jc w:val="both"/>
      </w:pPr>
      <w:r>
        <w:rPr>
          <w:i w:val="false"/>
          <w:iCs w:val="false"/>
          <w:sz w:val="22"/>
          <w:szCs w:val="22"/>
        </w:rPr>
        <w:t xml:space="preserve">Dicho capital se halla íntegramente suscrito y totalmente desembolsado mediante aportaciones dinerarias realizadas por los socios fundadores a título de propiedad, en la proporción que resulta de la escritura de constitución.</w:t>
      </w:r>
    </w:p>
    <w:p>
      <w:pPr>
        <w:pBdr>
          <w:left w:val="single" w:color="1F4E79" w:sz="18" w:space="8"/>
        </w:pBdr>
        <w:spacing w:after="100" w:line="264"/>
        <w:ind w:left="200"/>
        <w:jc w:val="both"/>
      </w:pPr>
      <w:r>
        <w:rPr>
          <w:i/>
          <w:iCs/>
          <w:color w:val="555555"/>
          <w:sz w:val="20"/>
          <w:szCs w:val="20"/>
        </w:rPr>
        <w:t xml:space="preserve">Capital mínimo: desde la Ley 18/2022 («Crea y Crece») una S.L. puede constituirse con capital inferior a 3.000 € (incluso 1 €), pero con obligaciones de reserva legal reforzada y responsabilidad de los socios. Se recomienda fijar 3.000 € o más. La distribución 25 % / 25 % / 25 % / 25 % entre los cuatro socios se concreta en el cuadro del Anexo.</w:t>
      </w:r>
    </w:p>
    <w:p>
      <w:pPr>
        <w:spacing w:after="80" w:before="220"/>
      </w:pPr>
      <w:r>
        <w:rPr>
          <w:b/>
          <w:bCs/>
          <w:sz w:val="22"/>
          <w:szCs w:val="22"/>
        </w:rPr>
        <w:t xml:space="preserve">Artículo 6.º.— Prestaciones accesorias (artículo opcional)</w:t>
      </w:r>
    </w:p>
    <w:p>
      <w:pPr>
        <w:spacing w:after="100" w:line="276"/>
        <w:jc w:val="both"/>
      </w:pPr>
      <w:r>
        <w:rPr>
          <w:sz w:val="22"/>
          <w:szCs w:val="22"/>
        </w:rPr>
        <w:t xml:space="preserve">Los socios titulares de las participaciones números </w:t>
      </w:r>
      <w:r>
        <w:rPr>
          <w:sz w:val="22"/>
          <w:szCs w:val="22"/>
        </w:rPr>
        <w:t xml:space="preserve">____________ a ____________</w:t>
      </w:r>
      <w:r>
        <w:rPr>
          <w:sz w:val="22"/>
          <w:szCs w:val="22"/>
        </w:rPr>
        <w:t xml:space="preserve"> quedan obligados a realizar, a favor de la Sociedad y a tiempo completo, las prestaciones accesorias consistentes en la prestación efectiva de sus servicios y trabajo personal en la explotación del establecimiento. Estas prestaciones serán retribuidas mediante una cantidad mensual fijada para cada ejercicio por la Junta General en función de la dedicación, funciones y responsabilidad de cada socio. El incumplimiento, total o parcial, de las prestaciones accesorias será causa de exclusión del socio en los términos previstos en la Ley.</w:t>
      </w:r>
    </w:p>
    <w:p>
      <w:pPr>
        <w:pBdr>
          <w:left w:val="single" w:color="1F4E79" w:sz="18" w:space="8"/>
        </w:pBdr>
        <w:spacing w:after="100" w:line="264"/>
        <w:ind w:left="200"/>
        <w:jc w:val="both"/>
      </w:pPr>
      <w:r>
        <w:rPr>
          <w:i/>
          <w:iCs/>
          <w:color w:val="555555"/>
          <w:sz w:val="20"/>
          <w:szCs w:val="20"/>
        </w:rPr>
        <w:t xml:space="preserve">Artículo OPCIONAL. Formaliza la obligación de trabajo de los dos socios operativos (la «sueur» aportada). Útil para ligar el trabajo a la condición de socio y habilitar la exclusión si uno deja de trabajar. El detalle del vesting, la retribución y las condiciones de salida deben desarrollarse en el PACTO DE SOCIOS privado, no en estos Estatutos (que son públicos y se inscriben). Puede suprimirse si se prefiere regularlo todo en el pacto.</w:t>
      </w:r>
    </w:p>
    <w:p>
      <w:pPr>
        <w:spacing w:after="80" w:before="220"/>
      </w:pPr>
      <w:r>
        <w:rPr>
          <w:b/>
          <w:bCs/>
          <w:sz w:val="22"/>
          <w:szCs w:val="22"/>
        </w:rPr>
        <w:t xml:space="preserve">Artículo 7.º.— Régimen de transmisión de las participaciones</w:t>
      </w:r>
    </w:p>
    <w:p>
      <w:pPr>
        <w:spacing w:after="100" w:line="276"/>
        <w:jc w:val="both"/>
      </w:pPr>
      <w:r>
        <w:rPr>
          <w:i w:val="false"/>
          <w:iCs w:val="false"/>
          <w:sz w:val="22"/>
          <w:szCs w:val="22"/>
        </w:rPr>
        <w:t xml:space="preserve">A) Transmisiones voluntarias por actos inter vivos.</w:t>
      </w:r>
    </w:p>
    <w:p>
      <w:pPr>
        <w:spacing w:after="100" w:line="276"/>
        <w:jc w:val="both"/>
      </w:pPr>
      <w:r>
        <w:rPr>
          <w:i w:val="false"/>
          <w:iCs w:val="false"/>
          <w:sz w:val="22"/>
          <w:szCs w:val="22"/>
        </w:rPr>
        <w:t xml:space="preserve">Será libre la transmisión voluntaria de participaciones realizada entre socios, así como la realizada en favor del cónyuge, ascendiente o descendiente del socio, o en favor de sociedades pertenecientes al mismo grupo que la transmitente. Las demás transmisiones por actos inter vivos quedarán sometidas a las reglas y limitaciones establecidas en el artículo 107 del Texto Refundido de la Ley de Sociedades de Capital, gozando los socios y, en su defecto, la Sociedad, de un derecho de adquisición preferente.</w:t>
      </w:r>
    </w:p>
    <w:p>
      <w:pPr>
        <w:spacing w:after="100" w:line="276"/>
        <w:jc w:val="both"/>
      </w:pPr>
      <w:r>
        <w:rPr>
          <w:i w:val="false"/>
          <w:iCs w:val="false"/>
          <w:sz w:val="22"/>
          <w:szCs w:val="22"/>
        </w:rPr>
        <w:t xml:space="preserve">B) Transmisiones mortis causa.</w:t>
      </w:r>
    </w:p>
    <w:p>
      <w:pPr>
        <w:spacing w:after="100" w:line="276"/>
        <w:jc w:val="both"/>
      </w:pPr>
      <w:r>
        <w:rPr>
          <w:i w:val="false"/>
          <w:iCs w:val="false"/>
          <w:sz w:val="22"/>
          <w:szCs w:val="22"/>
        </w:rPr>
        <w:t xml:space="preserve">La adquisición de participaciones por sucesión hereditaria confiere al heredero o legatario la condición de socio. No obstante, los socios sobrevivientes, y en su defecto la Sociedad, gozarán de un derecho de adquisición preferente de las participaciones del socio fallecido, apreciadas en el valor razonable que tuvieren el día del fallecimiento, ejercitable en el plazo máximo de tres meses desde la comunicación a la Sociedad de la adquisición hereditaria.</w:t>
      </w:r>
    </w:p>
    <w:p>
      <w:pPr>
        <w:spacing w:after="100" w:line="276"/>
        <w:jc w:val="both"/>
      </w:pPr>
      <w:r>
        <w:rPr>
          <w:i w:val="false"/>
          <w:iCs w:val="false"/>
          <w:sz w:val="22"/>
          <w:szCs w:val="22"/>
        </w:rPr>
        <w:t xml:space="preserve">C) Normas comunes.</w:t>
      </w:r>
    </w:p>
    <w:p>
      <w:pPr>
        <w:spacing w:after="100" w:line="276"/>
        <w:jc w:val="both"/>
      </w:pPr>
      <w:r>
        <w:rPr>
          <w:i w:val="false"/>
          <w:iCs w:val="false"/>
          <w:sz w:val="22"/>
          <w:szCs w:val="22"/>
        </w:rPr>
        <w:t xml:space="preserve">Toda transmisión deberá constar en documento público y ser comunicada por escrito al órgano de administración. Las transmisiones que no se ajusten a lo previsto en estos Estatutos y en la Ley no producirán efecto alguno frente a la Sociedad.</w:t>
      </w:r>
    </w:p>
    <w:p>
      <w:pPr>
        <w:spacing w:after="80" w:before="220"/>
      </w:pPr>
      <w:r>
        <w:rPr>
          <w:b/>
          <w:bCs/>
          <w:sz w:val="22"/>
          <w:szCs w:val="22"/>
        </w:rPr>
        <w:t xml:space="preserve">Artículo 8.º.— Libro Registro de Socios</w:t>
      </w:r>
    </w:p>
    <w:p>
      <w:pPr>
        <w:spacing w:after="100" w:line="276"/>
        <w:jc w:val="both"/>
      </w:pPr>
      <w:r>
        <w:rPr>
          <w:i w:val="false"/>
          <w:iCs w:val="false"/>
          <w:sz w:val="22"/>
          <w:szCs w:val="22"/>
        </w:rPr>
        <w:t xml:space="preserve">La Sociedad llevará un Libro Registro de Socios, cuya custodia y llevanza corresponde al órgano de administración, en el que se harán constar la titularidad originaria y las sucesivas transmisiones, voluntarias o forzosas, de las participaciones sociales, así como la constitución de derechos reales y otros gravámenes sobre las mismas. Cualquier socio podrá examinar su contenido y obtener certificación de las participaciones y derechos registrados a su nombre.</w:t>
      </w:r>
    </w:p>
    <w:p>
      <w:pPr>
        <w:pStyle w:val="Heading1"/>
        <w:spacing w:after="160" w:before="320"/>
      </w:pPr>
      <w:r>
        <w:t xml:space="preserve">TÍTULO III.— ÓRGANOS SOCIALES</w:t>
      </w:r>
    </w:p>
    <w:p>
      <w:pPr>
        <w:spacing w:after="80" w:before="220"/>
      </w:pPr>
      <w:r>
        <w:rPr>
          <w:b/>
          <w:bCs/>
          <w:sz w:val="22"/>
          <w:szCs w:val="22"/>
        </w:rPr>
        <w:t xml:space="preserve">Artículo 9.º.— Junta General</w:t>
      </w:r>
    </w:p>
    <w:p>
      <w:pPr>
        <w:spacing w:after="100" w:line="276"/>
        <w:jc w:val="both"/>
      </w:pPr>
      <w:r>
        <w:rPr>
          <w:i w:val="false"/>
          <w:iCs w:val="false"/>
          <w:sz w:val="22"/>
          <w:szCs w:val="22"/>
        </w:rPr>
        <w:t xml:space="preserve">A) Convocatoria.</w:t>
      </w:r>
    </w:p>
    <w:p>
      <w:pPr>
        <w:spacing w:after="100" w:line="276"/>
        <w:jc w:val="both"/>
      </w:pPr>
      <w:r>
        <w:rPr>
          <w:i w:val="false"/>
          <w:iCs w:val="false"/>
          <w:sz w:val="22"/>
          <w:szCs w:val="22"/>
        </w:rPr>
        <w:t xml:space="preserve">Las Juntas Generales se convocarán mediante comunicación individual y escrita remitida por el órgano de administración a cada socio, por correo certificado con acuse de recibo o por medios telemáticos con acuse de recepción, dirigida al domicilio o dirección de correo electrónico que a tal efecto conste en el Libro Registro de Socios. Los socios residentes en el extranjero deberán designar un domicilio o dirección en territorio nacional a efectos de notificaciones.</w:t>
      </w:r>
    </w:p>
    <w:p>
      <w:pPr>
        <w:spacing w:after="100" w:line="276"/>
        <w:jc w:val="both"/>
      </w:pPr>
      <w:r>
        <w:rPr>
          <w:i w:val="false"/>
          <w:iCs w:val="false"/>
          <w:sz w:val="22"/>
          <w:szCs w:val="22"/>
        </w:rPr>
        <w:t xml:space="preserve">La Junta General quedará válidamente constituida para tratar cualquier asunto, sin necesidad de previa convocatoria, cuando esté presente o representada la totalidad del capital social y los concurrentes acepten por unanimidad la celebración de la reunión y su orden del día (Junta Universal).</w:t>
      </w:r>
    </w:p>
    <w:p>
      <w:pPr>
        <w:spacing w:after="100" w:line="276"/>
        <w:jc w:val="both"/>
      </w:pPr>
      <w:r>
        <w:rPr>
          <w:i w:val="false"/>
          <w:iCs w:val="false"/>
          <w:sz w:val="22"/>
          <w:szCs w:val="22"/>
        </w:rPr>
        <w:t xml:space="preserve">B) Adopción de acuerdos.</w:t>
      </w:r>
    </w:p>
    <w:p>
      <w:pPr>
        <w:spacing w:after="100" w:line="276"/>
        <w:jc w:val="both"/>
      </w:pPr>
      <w:r>
        <w:rPr>
          <w:i w:val="false"/>
          <w:iCs w:val="false"/>
          <w:sz w:val="22"/>
          <w:szCs w:val="22"/>
        </w:rPr>
        <w:t xml:space="preserve">Los acuerdos sociales se adoptarán por mayoría de los votos válidamente emitidos, siempre que representen al menos un tercio de los votos correspondientes a las participaciones en que se divide el capital social, no computándose los votos en blanco. Cada participación social concede a su titular un voto. No obstante, se requerirá el voto favorable:</w:t>
      </w:r>
    </w:p>
    <w:p>
      <w:pPr>
        <w:spacing w:after="80" w:line="276"/>
        <w:ind w:left="360" w:hanging="360"/>
        <w:jc w:val="both"/>
      </w:pPr>
      <w:r>
        <w:rPr>
          <w:b/>
          <w:bCs/>
          <w:sz w:val="22"/>
          <w:szCs w:val="22"/>
        </w:rPr>
        <w:t xml:space="preserve">a) </w:t>
      </w:r>
      <w:r>
        <w:rPr>
          <w:sz w:val="22"/>
          <w:szCs w:val="22"/>
        </w:rPr>
        <w:t xml:space="preserve">de más de la mitad de los votos correspondientes a las participaciones en que se divide el capital social, para los acuerdos de aumento o reducción de capital y, en general, cualquier modificación de los Estatutos no comprendida en la letra siguiente;</w:t>
      </w:r>
    </w:p>
    <w:p>
      <w:pPr>
        <w:spacing w:after="80" w:line="276"/>
        <w:ind w:left="360" w:hanging="360"/>
        <w:jc w:val="both"/>
      </w:pPr>
      <w:r>
        <w:rPr>
          <w:b/>
          <w:bCs/>
          <w:sz w:val="22"/>
          <w:szCs w:val="22"/>
        </w:rPr>
        <w:t xml:space="preserve">b) </w:t>
      </w:r>
      <w:r>
        <w:rPr>
          <w:sz w:val="22"/>
          <w:szCs w:val="22"/>
        </w:rPr>
        <w:t xml:space="preserve">de al menos dos terceras partes de los votos correspondientes a las participaciones en que se divide el capital social, para los acuerdos de transformación, fusión, escisión, cesión global de activo y pasivo, traslado del domicilio al extranjero, supresión o limitación del derecho de preferencia, exclusión de socios y autorización a los administradores para dedicarse al mismo, análogo o complementario género de actividad,</w:t>
      </w:r>
    </w:p>
    <w:p>
      <w:pPr>
        <w:spacing w:after="100" w:line="276"/>
        <w:jc w:val="both"/>
      </w:pPr>
      <w:r>
        <w:rPr>
          <w:i w:val="false"/>
          <w:iCs w:val="false"/>
          <w:sz w:val="22"/>
          <w:szCs w:val="22"/>
        </w:rPr>
        <w:t xml:space="preserve">todo ello de conformidad con los artículos 198 y 199 del Texto Refundido de la Ley de Sociedades de Capital.</w:t>
      </w:r>
    </w:p>
    <w:p>
      <w:pPr>
        <w:spacing w:after="100" w:line="276"/>
        <w:jc w:val="both"/>
      </w:pPr>
      <w:r>
        <w:rPr>
          <w:i w:val="false"/>
          <w:iCs w:val="false"/>
          <w:sz w:val="22"/>
          <w:szCs w:val="22"/>
        </w:rPr>
        <w:t xml:space="preserve">C) Sociedad unipersonal.</w:t>
      </w:r>
    </w:p>
    <w:p>
      <w:pPr>
        <w:spacing w:after="100" w:line="276"/>
        <w:jc w:val="both"/>
      </w:pPr>
      <w:r>
        <w:rPr>
          <w:i w:val="false"/>
          <w:iCs w:val="false"/>
          <w:sz w:val="22"/>
          <w:szCs w:val="22"/>
        </w:rPr>
        <w:t xml:space="preserve">Si la Sociedad reuniese la condición de unipersonal, el socio único ejercerá las competencias de la Junta General, consignándose sus decisiones en acta bajo su firma o la de su representante.</w:t>
      </w:r>
    </w:p>
    <w:p>
      <w:pPr>
        <w:spacing w:after="80" w:before="220"/>
      </w:pPr>
      <w:r>
        <w:rPr>
          <w:b/>
          <w:bCs/>
          <w:sz w:val="22"/>
          <w:szCs w:val="22"/>
        </w:rPr>
        <w:t xml:space="preserve">Artículo 10.º.— Órgano de administración: modo de organizarse</w:t>
      </w:r>
    </w:p>
    <w:p>
      <w:pPr>
        <w:spacing w:after="100" w:line="276"/>
        <w:jc w:val="both"/>
      </w:pPr>
      <w:r>
        <w:rPr>
          <w:i w:val="false"/>
          <w:iCs w:val="false"/>
          <w:sz w:val="22"/>
          <w:szCs w:val="22"/>
        </w:rPr>
        <w:t xml:space="preserve">1. La administración de la Sociedad podrá confiarse, sin necesidad de modificación estatutaria, a un administrador único; a dos o más administradores que actúen solidariamente; a dos administradores que actúen conjuntamente (mancomunados); o a un Consejo de Administración integrado por un mínimo de tres y un máximo de cinco miembros.</w:t>
      </w:r>
    </w:p>
    <w:p>
      <w:pPr>
        <w:spacing w:after="100" w:line="276"/>
        <w:jc w:val="both"/>
      </w:pPr>
      <w:r>
        <w:rPr>
          <w:i w:val="false"/>
          <w:iCs w:val="false"/>
          <w:sz w:val="22"/>
          <w:szCs w:val="22"/>
        </w:rPr>
        <w:t xml:space="preserve">2. Corresponde a la Junta General, por la mayoría legalmente exigida y sin que implique modificación estatutaria, la facultad de optar por cualquiera de los modos de organizar la administración.</w:t>
      </w:r>
    </w:p>
    <w:p>
      <w:pPr>
        <w:spacing w:after="100" w:line="276"/>
        <w:jc w:val="both"/>
      </w:pPr>
      <w:r>
        <w:rPr>
          <w:i w:val="false"/>
          <w:iCs w:val="false"/>
          <w:sz w:val="22"/>
          <w:szCs w:val="22"/>
        </w:rPr>
        <w:t xml:space="preserve">3. Los administradores ejercerán su cargo por tiempo indefinido, salvo que la Junta General determine su nombramiento por plazo determinado.</w:t>
      </w:r>
    </w:p>
    <w:p>
      <w:pPr>
        <w:spacing w:after="100" w:line="276"/>
        <w:jc w:val="both"/>
      </w:pPr>
      <w:r>
        <w:rPr>
          <w:sz w:val="22"/>
          <w:szCs w:val="22"/>
        </w:rPr>
        <w:t xml:space="preserve">4. El cargo de administrador será gratuito, sin perjuicio de la retribución que pueda corresponder al administrador por la prestación de servicios o de trabajo a la Sociedad en virtud de una relación distinta de la de administrador (laboral, de alta dirección o de prestación accesoria).</w:t>
      </w:r>
    </w:p>
    <w:p>
      <w:pPr>
        <w:pBdr>
          <w:left w:val="single" w:color="1F4E79" w:sz="18" w:space="8"/>
        </w:pBdr>
        <w:spacing w:after="100" w:line="264"/>
        <w:ind w:left="200"/>
        <w:jc w:val="both"/>
      </w:pPr>
      <w:r>
        <w:rPr>
          <w:i/>
          <w:iCs/>
          <w:color w:val="555555"/>
          <w:sz w:val="20"/>
          <w:szCs w:val="20"/>
        </w:rPr>
        <w:t xml:space="preserve">Punto fiscal sensible: la retribución del socio que ejerza de gerente (autónomo societario) suele articularse por su trabajo efectivo, separado del «cargo de administrador». Si se quisiera que el cargo de administrador sea retribuido, debe decirlo expresamente el artículo y fijar la Junta la forma y cuantía. Decidir con el gestor para optimizar la deducibilidad.</w:t>
      </w:r>
    </w:p>
    <w:p>
      <w:pPr>
        <w:spacing w:after="80" w:before="220"/>
      </w:pPr>
      <w:r>
        <w:rPr>
          <w:b/>
          <w:bCs/>
          <w:sz w:val="22"/>
          <w:szCs w:val="22"/>
        </w:rPr>
        <w:t xml:space="preserve">Artículo 11.º.— Poder de representación</w:t>
      </w:r>
    </w:p>
    <w:p>
      <w:pPr>
        <w:spacing w:after="100" w:line="276"/>
        <w:jc w:val="both"/>
      </w:pPr>
      <w:r>
        <w:rPr>
          <w:i w:val="false"/>
          <w:iCs w:val="false"/>
          <w:sz w:val="22"/>
          <w:szCs w:val="22"/>
        </w:rPr>
        <w:t xml:space="preserve">El poder de representación corresponderá: al administrador único, en su caso; a cada uno de los administradores solidarios; conjuntamente a dos cualesquiera de los administradores mancomunados; y al Consejo de Administración, que actuará colegiadamente, sin perjuicio de las delegaciones que acuerde. No podrán ocupar ni ejercer cargos en la Sociedad las personas incursas en prohibición o incompatibilidad legal.</w:t>
      </w:r>
    </w:p>
    <w:p>
      <w:pPr>
        <w:spacing w:after="80" w:before="220"/>
      </w:pPr>
      <w:r>
        <w:rPr>
          <w:b/>
          <w:bCs/>
          <w:sz w:val="22"/>
          <w:szCs w:val="22"/>
        </w:rPr>
        <w:t xml:space="preserve">Artículo 12.º.— Facultades del órgano de administración</w:t>
      </w:r>
    </w:p>
    <w:p>
      <w:pPr>
        <w:spacing w:after="100" w:line="276"/>
        <w:jc w:val="both"/>
      </w:pPr>
      <w:r>
        <w:rPr>
          <w:i w:val="false"/>
          <w:iCs w:val="false"/>
          <w:sz w:val="22"/>
          <w:szCs w:val="22"/>
        </w:rPr>
        <w:t xml:space="preserve">Al órgano de administración corresponde la gestión y la representación de la Sociedad en juicio y fuera de él. Su poder de representación se extiende a todos los actos comprendidos en el objeto social, con la mayor amplitud para contratar en general y realizar toda clase de actos y negocios, de administración ordinaria y extraordinaria y de riguroso dominio, respecto de cualquier clase de bienes muebles, inmuebles, derechos y valores, con las solas excepciones de los actos reservados por la Ley o por estos Estatutos a la Junta General.</w:t>
      </w:r>
    </w:p>
    <w:p>
      <w:pPr>
        <w:pStyle w:val="Heading1"/>
        <w:spacing w:after="160" w:before="320"/>
      </w:pPr>
      <w:r>
        <w:t xml:space="preserve">TÍTULO IV.— EJERCICIO SOCIAL Y CUENTAS ANUALES</w:t>
      </w:r>
    </w:p>
    <w:p>
      <w:pPr>
        <w:spacing w:after="80" w:before="220"/>
      </w:pPr>
      <w:r>
        <w:rPr>
          <w:b/>
          <w:bCs/>
          <w:sz w:val="22"/>
          <w:szCs w:val="22"/>
        </w:rPr>
        <w:t xml:space="preserve">Artículo 13.º.— Ejercicio social</w:t>
      </w:r>
    </w:p>
    <w:p>
      <w:pPr>
        <w:spacing w:after="100" w:line="276"/>
        <w:jc w:val="both"/>
      </w:pPr>
      <w:r>
        <w:rPr>
          <w:i w:val="false"/>
          <w:iCs w:val="false"/>
          <w:sz w:val="22"/>
          <w:szCs w:val="22"/>
        </w:rPr>
        <w:t xml:space="preserve">El ejercicio social comienza el 1 de enero y finaliza el 31 de diciembre de cada año natural. Por excepción, el primer ejercicio social comenzará el día del otorgamiento de la escritura pública de constitución y finalizará el 31 de diciembre de ese mismo año.</w:t>
      </w:r>
    </w:p>
    <w:p>
      <w:pPr>
        <w:spacing w:after="80" w:before="220"/>
      </w:pPr>
      <w:r>
        <w:rPr>
          <w:b/>
          <w:bCs/>
          <w:sz w:val="22"/>
          <w:szCs w:val="22"/>
        </w:rPr>
        <w:t xml:space="preserve">Artículo 14.º.— Cuentas anuales</w:t>
      </w:r>
    </w:p>
    <w:p>
      <w:pPr>
        <w:spacing w:after="100" w:line="276"/>
        <w:jc w:val="both"/>
      </w:pPr>
      <w:r>
        <w:rPr>
          <w:i w:val="false"/>
          <w:iCs w:val="false"/>
          <w:sz w:val="22"/>
          <w:szCs w:val="22"/>
        </w:rPr>
        <w:t xml:space="preserve">El órgano de administración, en el plazo máximo de tres meses contados desde el cierre del ejercicio social, formulará las cuentas anuales, el informe de gestión, en su caso, y la propuesta de aplicación del resultado. La distribución de dividendos a los socios se realizará en proporción a su participación en el capital social. En cuanto a su verificación, aprobación, depósito en el Registro Mercantil y derecho de información de los socios, se estará a lo dispuesto en la legislación aplicable.</w:t>
      </w:r>
    </w:p>
    <w:p>
      <w:pPr>
        <w:pStyle w:val="Heading1"/>
        <w:spacing w:after="160" w:before="320"/>
      </w:pPr>
      <w:r>
        <w:t xml:space="preserve">TÍTULO V.— DISOLUCIÓN Y LIQUIDACIÓN</w:t>
      </w:r>
    </w:p>
    <w:p>
      <w:pPr>
        <w:spacing w:after="80" w:before="220"/>
      </w:pPr>
      <w:r>
        <w:rPr>
          <w:b/>
          <w:bCs/>
          <w:sz w:val="22"/>
          <w:szCs w:val="22"/>
        </w:rPr>
        <w:t xml:space="preserve">Artículo 15.º.— Disolución y liquidación</w:t>
      </w:r>
    </w:p>
    <w:p>
      <w:pPr>
        <w:spacing w:after="100" w:line="276"/>
        <w:jc w:val="both"/>
      </w:pPr>
      <w:r>
        <w:rPr>
          <w:i w:val="false"/>
          <w:iCs w:val="false"/>
          <w:sz w:val="22"/>
          <w:szCs w:val="22"/>
        </w:rPr>
        <w:t xml:space="preserve">La Sociedad se disolverá por las causas legalmente establecidas, rigiéndose todo el proceso de disolución y liquidación por la normativa aplicable. Acordada la disolución y abierto el periodo de liquidación, cesarán en sus cargos los administradores, quedando convertidos en liquidadores, salvo que la Junta General, al acordar la disolución, designe otros liquidadores en número no superior a cinco. La cuota de liquidación de cada socio será proporcional a su participación en el capital social.</w:t>
      </w:r>
    </w:p>
    <w:p>
      <w:pPr>
        <w:pStyle w:val="Heading1"/>
        <w:spacing w:after="160" w:before="320"/>
      </w:pPr>
      <w:r>
        <w:t xml:space="preserve">TÍTULO VI.— DISPOSICIONES COMPLEMENTARIAS</w:t>
      </w:r>
    </w:p>
    <w:p>
      <w:pPr>
        <w:spacing w:after="80" w:before="220"/>
      </w:pPr>
      <w:r>
        <w:rPr>
          <w:b/>
          <w:bCs/>
          <w:sz w:val="22"/>
          <w:szCs w:val="22"/>
        </w:rPr>
        <w:t xml:space="preserve">Artículo 16.º.— Pacto de socios</w:t>
      </w:r>
    </w:p>
    <w:p>
      <w:pPr>
        <w:spacing w:after="100" w:line="276"/>
        <w:jc w:val="both"/>
      </w:pPr>
      <w:r>
        <w:rPr>
          <w:i w:val="false"/>
          <w:iCs w:val="false"/>
          <w:sz w:val="22"/>
          <w:szCs w:val="22"/>
        </w:rPr>
        <w:t xml:space="preserve">Los socios podrán suscribir un pacto de socios o protocolo extraestatutario que regule sus relaciones internas, incluyendo, entre otras materias, el calendario de consolidación de participaciones (vesting), las condiciones de salida y de recompra, las aportaciones a cuenta corriente de socios y la política de reparto. Dicho pacto vinculará a quienes lo suscriban; en caso de contradicción con estos Estatutos frente a terceros, prevalecerán los Estatutos.</w:t>
      </w:r>
    </w:p>
    <w:p>
      <w:pPr>
        <w:spacing w:after="80" w:before="220"/>
      </w:pPr>
      <w:r>
        <w:rPr>
          <w:b/>
          <w:bCs/>
          <w:sz w:val="22"/>
          <w:szCs w:val="22"/>
        </w:rPr>
        <w:t xml:space="preserve">Artículo 17.º.— Resolución de conflictos</w:t>
      </w:r>
    </w:p>
    <w:p>
      <w:pPr>
        <w:spacing w:after="100" w:line="276"/>
        <w:jc w:val="both"/>
      </w:pPr>
      <w:r>
        <w:rPr>
          <w:i w:val="false"/>
          <w:iCs w:val="false"/>
          <w:sz w:val="22"/>
          <w:szCs w:val="22"/>
        </w:rPr>
        <w:t xml:space="preserve">Toda cuestión que se suscite entre los socios, o entre éstos y la Sociedad, con motivo de las relaciones sociales, se someterá a mediación y, en su defecto, a los Juzgados y Tribunales correspondientes al domicilio social, sin perjuicio de las normas de competencia que resulten de imperativa aplicación.</w:t>
      </w:r>
    </w:p>
    <w:p>
      <w:pPr>
        <w:spacing w:before="200"/>
      </w:pPr>
      <w:r>
        <w:t xml:space="preserve"/>
      </w:r>
    </w:p>
    <w:p>
      <w:pPr>
        <w:pStyle w:val="Heading1"/>
        <w:spacing w:after="160" w:before="320"/>
      </w:pPr>
      <w:r>
        <w:t xml:space="preserve">ANEXO.— CUADRO DE DISTRIBUCIÓN DEL CAPITAL</w:t>
      </w:r>
    </w:p>
    <w:p>
      <w:pPr>
        <w:pBdr>
          <w:left w:val="single" w:color="1F4E79" w:sz="18" w:space="8"/>
        </w:pBdr>
        <w:spacing w:after="100" w:line="264"/>
        <w:ind w:left="200"/>
        <w:jc w:val="both"/>
      </w:pPr>
      <w:r>
        <w:rPr>
          <w:i/>
          <w:iCs/>
          <w:color w:val="555555"/>
          <w:sz w:val="20"/>
          <w:szCs w:val="20"/>
        </w:rPr>
        <w:t xml:space="preserve">Cuadro de apoyo para la escritura (los Estatutos no lo exigen, pero facilita su redacción). Reparto 25 % cada socio. Rellenar con nombre, NIE y desembolso de cada uno.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500"/>
        <w:gridCol w:w="1300"/>
        <w:gridCol w:w="1426"/>
      </w:tblGrid>
      <w:tr>
        <w:tc>
          <w:tcPr>
            <w:tcW w:type="dxa" w:w="2600"/>
            <w:tcBorders>
              <w:top w:val="single" w:color="BBBBBB" w:sz="1"/>
              <w:left w:val="single" w:color="BBBBBB" w:sz="1"/>
              <w:bottom w:val="single" w:color="BBBBBB" w:sz="1"/>
              <w:right w:val="single" w:color="BBBBBB" w:sz="1"/>
            </w:tcBorders>
            <w:shd w:fill="D5E0EF" w:val="clear"/>
            <w:tcMar>
              <w:top w:type="dxa" w:w="60"/>
              <w:left w:type="dxa" w:w="100"/>
              <w:bottom w:type="dxa" w:w="60"/>
              <w:right w:type="dxa" w:w="100"/>
            </w:tcMar>
          </w:tcPr>
          <w:p>
            <w:r>
              <w:rPr>
                <w:b/>
                <w:bCs/>
                <w:sz w:val="20"/>
                <w:szCs w:val="20"/>
              </w:rPr>
              <w:t xml:space="preserve">Socio (nombre)</w:t>
            </w:r>
          </w:p>
        </w:tc>
        <w:tc>
          <w:tcPr>
            <w:tcW w:type="dxa" w:w="2200"/>
            <w:tcBorders>
              <w:top w:val="single" w:color="BBBBBB" w:sz="1"/>
              <w:left w:val="single" w:color="BBBBBB" w:sz="1"/>
              <w:bottom w:val="single" w:color="BBBBBB" w:sz="1"/>
              <w:right w:val="single" w:color="BBBBBB" w:sz="1"/>
            </w:tcBorders>
            <w:shd w:fill="D5E0EF" w:val="clear"/>
            <w:tcMar>
              <w:top w:type="dxa" w:w="60"/>
              <w:left w:type="dxa" w:w="100"/>
              <w:bottom w:type="dxa" w:w="60"/>
              <w:right w:type="dxa" w:w="100"/>
            </w:tcMar>
          </w:tcPr>
          <w:p>
            <w:r>
              <w:rPr>
                <w:b/>
                <w:bCs/>
                <w:sz w:val="20"/>
                <w:szCs w:val="20"/>
              </w:rPr>
              <w:t xml:space="preserve">NIE</w:t>
            </w:r>
          </w:p>
        </w:tc>
        <w:tc>
          <w:tcPr>
            <w:tcW w:type="dxa" w:w="1500"/>
            <w:tcBorders>
              <w:top w:val="single" w:color="BBBBBB" w:sz="1"/>
              <w:left w:val="single" w:color="BBBBBB" w:sz="1"/>
              <w:bottom w:val="single" w:color="BBBBBB" w:sz="1"/>
              <w:right w:val="single" w:color="BBBBBB" w:sz="1"/>
            </w:tcBorders>
            <w:shd w:fill="D5E0EF" w:val="clear"/>
            <w:tcMar>
              <w:top w:type="dxa" w:w="60"/>
              <w:left w:type="dxa" w:w="100"/>
              <w:bottom w:type="dxa" w:w="60"/>
              <w:right w:type="dxa" w:w="100"/>
            </w:tcMar>
          </w:tcPr>
          <w:p>
            <w:r>
              <w:rPr>
                <w:b/>
                <w:bCs/>
                <w:sz w:val="20"/>
                <w:szCs w:val="20"/>
              </w:rPr>
              <w:t xml:space="preserve">Participaciones (n.º)</w:t>
            </w:r>
          </w:p>
        </w:tc>
        <w:tc>
          <w:tcPr>
            <w:tcW w:type="dxa" w:w="1300"/>
            <w:tcBorders>
              <w:top w:val="single" w:color="BBBBBB" w:sz="1"/>
              <w:left w:val="single" w:color="BBBBBB" w:sz="1"/>
              <w:bottom w:val="single" w:color="BBBBBB" w:sz="1"/>
              <w:right w:val="single" w:color="BBBBBB" w:sz="1"/>
            </w:tcBorders>
            <w:shd w:fill="D5E0EF" w:val="clear"/>
            <w:tcMar>
              <w:top w:type="dxa" w:w="60"/>
              <w:left w:type="dxa" w:w="100"/>
              <w:bottom w:type="dxa" w:w="60"/>
              <w:right w:type="dxa" w:w="100"/>
            </w:tcMar>
          </w:tcPr>
          <w:p>
            <w:r>
              <w:rPr>
                <w:b/>
                <w:bCs/>
                <w:sz w:val="20"/>
                <w:szCs w:val="20"/>
              </w:rPr>
              <w:t xml:space="preserve">% capital</w:t>
            </w:r>
          </w:p>
        </w:tc>
        <w:tc>
          <w:tcPr>
            <w:tcW w:type="dxa" w:w="1426"/>
            <w:tcBorders>
              <w:top w:val="single" w:color="BBBBBB" w:sz="1"/>
              <w:left w:val="single" w:color="BBBBBB" w:sz="1"/>
              <w:bottom w:val="single" w:color="BBBBBB" w:sz="1"/>
              <w:right w:val="single" w:color="BBBBBB" w:sz="1"/>
            </w:tcBorders>
            <w:shd w:fill="D5E0EF" w:val="clear"/>
            <w:tcMar>
              <w:top w:type="dxa" w:w="60"/>
              <w:left w:type="dxa" w:w="100"/>
              <w:bottom w:type="dxa" w:w="60"/>
              <w:right w:type="dxa" w:w="100"/>
            </w:tcMar>
          </w:tcPr>
          <w:p>
            <w:r>
              <w:rPr>
                <w:b/>
                <w:bCs/>
                <w:sz w:val="20"/>
                <w:szCs w:val="20"/>
              </w:rPr>
              <w:t xml:space="preserve">Desembolso (€)</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____________</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____________</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____________</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25 %</w:t>
            </w:r>
          </w:p>
        </w:tc>
        <w:tc>
          <w:tcPr>
            <w:tcW w:type="dxa" w:w="1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____________</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____________</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____________</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____________</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25 %</w:t>
            </w:r>
          </w:p>
        </w:tc>
        <w:tc>
          <w:tcPr>
            <w:tcW w:type="dxa" w:w="1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____________</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____________</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____________</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____________</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25 %</w:t>
            </w:r>
          </w:p>
        </w:tc>
        <w:tc>
          <w:tcPr>
            <w:tcW w:type="dxa" w:w="1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____________</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____________</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____________</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____________</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25 %</w:t>
            </w:r>
          </w:p>
        </w:tc>
        <w:tc>
          <w:tcPr>
            <w:tcW w:type="dxa" w:w="1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____________</w:t>
            </w:r>
          </w:p>
        </w:tc>
      </w:tr>
      <w:tr>
        <w:tc>
          <w:tcPr>
            <w:tcW w:type="dxa" w:w="2600"/>
            <w:tcBorders>
              <w:top w:val="single" w:color="BBBBBB" w:sz="1"/>
              <w:left w:val="single" w:color="BBBBBB" w:sz="1"/>
              <w:bottom w:val="single" w:color="BBBBBB" w:sz="1"/>
              <w:right w:val="single" w:color="BBBBBB" w:sz="1"/>
            </w:tcBorders>
            <w:shd w:fill="D5E0EF" w:val="clear"/>
            <w:tcMar>
              <w:top w:type="dxa" w:w="60"/>
              <w:left w:type="dxa" w:w="100"/>
              <w:bottom w:type="dxa" w:w="60"/>
              <w:right w:type="dxa" w:w="100"/>
            </w:tcMar>
          </w:tcPr>
          <w:p>
            <w:r>
              <w:rPr>
                <w:b/>
                <w:bCs/>
                <w:sz w:val="20"/>
                <w:szCs w:val="20"/>
              </w:rPr>
              <w:t xml:space="preserve">TOTAL</w:t>
            </w:r>
          </w:p>
        </w:tc>
        <w:tc>
          <w:tcPr>
            <w:tcW w:type="dxa" w:w="2200"/>
            <w:tcBorders>
              <w:top w:val="single" w:color="BBBBBB" w:sz="1"/>
              <w:left w:val="single" w:color="BBBBBB" w:sz="1"/>
              <w:bottom w:val="single" w:color="BBBBBB" w:sz="1"/>
              <w:right w:val="single" w:color="BBBBBB" w:sz="1"/>
            </w:tcBorders>
            <w:shd w:fill="D5E0EF" w:val="clear"/>
            <w:tcMar>
              <w:top w:type="dxa" w:w="60"/>
              <w:left w:type="dxa" w:w="100"/>
              <w:bottom w:type="dxa" w:w="60"/>
              <w:right w:type="dxa" w:w="100"/>
            </w:tcMar>
          </w:tcPr>
          <w:p>
            <w:r>
              <w:rPr>
                <w:b/>
                <w:bCs/>
                <w:sz w:val="20"/>
                <w:szCs w:val="20"/>
              </w:rPr>
              <w:t xml:space="preserve"/>
            </w:r>
          </w:p>
        </w:tc>
        <w:tc>
          <w:tcPr>
            <w:tcW w:type="dxa" w:w="1500"/>
            <w:tcBorders>
              <w:top w:val="single" w:color="BBBBBB" w:sz="1"/>
              <w:left w:val="single" w:color="BBBBBB" w:sz="1"/>
              <w:bottom w:val="single" w:color="BBBBBB" w:sz="1"/>
              <w:right w:val="single" w:color="BBBBBB" w:sz="1"/>
            </w:tcBorders>
            <w:shd w:fill="D5E0EF" w:val="clear"/>
            <w:tcMar>
              <w:top w:type="dxa" w:w="60"/>
              <w:left w:type="dxa" w:w="100"/>
              <w:bottom w:type="dxa" w:w="60"/>
              <w:right w:type="dxa" w:w="100"/>
            </w:tcMar>
          </w:tcPr>
          <w:p>
            <w:r>
              <w:rPr>
                <w:b/>
                <w:bCs/>
                <w:sz w:val="20"/>
                <w:szCs w:val="20"/>
              </w:rPr>
              <w:t xml:space="preserve">____________</w:t>
            </w:r>
          </w:p>
        </w:tc>
        <w:tc>
          <w:tcPr>
            <w:tcW w:type="dxa" w:w="1300"/>
            <w:tcBorders>
              <w:top w:val="single" w:color="BBBBBB" w:sz="1"/>
              <w:left w:val="single" w:color="BBBBBB" w:sz="1"/>
              <w:bottom w:val="single" w:color="BBBBBB" w:sz="1"/>
              <w:right w:val="single" w:color="BBBBBB" w:sz="1"/>
            </w:tcBorders>
            <w:shd w:fill="D5E0EF" w:val="clear"/>
            <w:tcMar>
              <w:top w:type="dxa" w:w="60"/>
              <w:left w:type="dxa" w:w="100"/>
              <w:bottom w:type="dxa" w:w="60"/>
              <w:right w:type="dxa" w:w="100"/>
            </w:tcMar>
          </w:tcPr>
          <w:p>
            <w:r>
              <w:rPr>
                <w:b/>
                <w:bCs/>
                <w:sz w:val="20"/>
                <w:szCs w:val="20"/>
              </w:rPr>
              <w:t xml:space="preserve">100 %</w:t>
            </w:r>
          </w:p>
        </w:tc>
        <w:tc>
          <w:tcPr>
            <w:tcW w:type="dxa" w:w="1426"/>
            <w:tcBorders>
              <w:top w:val="single" w:color="BBBBBB" w:sz="1"/>
              <w:left w:val="single" w:color="BBBBBB" w:sz="1"/>
              <w:bottom w:val="single" w:color="BBBBBB" w:sz="1"/>
              <w:right w:val="single" w:color="BBBBBB" w:sz="1"/>
            </w:tcBorders>
            <w:shd w:fill="D5E0EF" w:val="clear"/>
            <w:tcMar>
              <w:top w:type="dxa" w:w="60"/>
              <w:left w:type="dxa" w:w="100"/>
              <w:bottom w:type="dxa" w:w="60"/>
              <w:right w:type="dxa" w:w="100"/>
            </w:tcMar>
          </w:tcPr>
          <w:p>
            <w:r>
              <w:rPr>
                <w:b/>
                <w:bCs/>
                <w:sz w:val="20"/>
                <w:szCs w:val="20"/>
              </w:rPr>
              <w:t xml:space="preserve">____________</w:t>
            </w:r>
          </w:p>
        </w:tc>
      </w:tr>
    </w:tbl>
    <w:p>
      <w:pPr>
        <w:spacing w:after="80" w:before="320"/>
        <w:jc w:val="right"/>
      </w:pPr>
      <w:r>
        <w:rPr>
          <w:sz w:val="22"/>
          <w:szCs w:val="22"/>
        </w:rPr>
        <w:t xml:space="preserve">En Maspalomas, a ____________ de ____________ de ____________.</w:t>
      </w:r>
    </w:p>
    <w:p>
      <w:pPr>
        <w:spacing w:before="200"/>
        <w:jc w:val="center"/>
      </w:pPr>
      <w:r>
        <w:rPr>
          <w:sz w:val="22"/>
          <w:szCs w:val="22"/>
        </w:rPr>
        <w:t xml:space="preserve">Los socios fundadores:</w:t>
      </w:r>
    </w:p>
    <w:p>
      <w:pPr>
        <w:spacing w:before="360"/>
        <w:jc w:val="center"/>
      </w:pPr>
      <w:r>
        <w:rPr>
          <w:sz w:val="22"/>
          <w:szCs w:val="22"/>
        </w:rPr>
        <w:t xml:space="preserve">_____________________            _____________________</w:t>
      </w:r>
    </w:p>
    <w:p>
      <w:pPr>
        <w:spacing w:before="360"/>
        <w:jc w:val="center"/>
      </w:pPr>
      <w:r>
        <w:rPr>
          <w:sz w:val="22"/>
          <w:szCs w:val="22"/>
        </w:rPr>
        <w:t xml:space="preserve">_____________________            _____________________</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Página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20"/>
      <w:outlineLvl w:val="0"/>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2026-06-29T23:42:30.917Z</dcterms:created>
  <dcterms:modified xsi:type="dcterms:W3CDTF">2026-06-29T23:42:30.917Z</dcterms:modified>
</cp:coreProperties>
</file>

<file path=docProps/custom.xml><?xml version="1.0" encoding="utf-8"?>
<Properties xmlns="http://schemas.openxmlformats.org/officeDocument/2006/custom-properties" xmlns:vt="http://schemas.openxmlformats.org/officeDocument/2006/docPropsVTypes"/>
</file>