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INSTALLATION DE L'AUTÓNOMO — LE GÉRANT</w:t>
      </w:r>
    </w:p>
    <w:p>
      <w:pPr>
        <w:spacing w:after="40"/>
        <w:jc w:val="center"/>
      </w:pPr>
      <w:r>
        <w:rPr>
          <w:sz w:val="22"/>
          <w:szCs w:val="22"/>
        </w:rPr>
        <w:t xml:space="preserve">Démarches d'alta : Sécurité sociale (RETA) + Hacienda (modèle 036)</w:t>
      </w:r>
    </w:p>
    <w:p>
      <w:pPr>
        <w:spacing w:after="200"/>
        <w:jc w:val="center"/>
      </w:pPr>
      <w:r>
        <w:rPr>
          <w:color w:val="555555"/>
          <w:sz w:val="20"/>
          <w:szCs w:val="20"/>
        </w:rPr>
        <w:t xml:space="preserve">Cas du socio-administrateur d'une S.L. — «autónomo societario» — Restaurant à Maspalomas</w:t>
      </w:r>
    </w:p>
    <w:p>
      <w:pPr>
        <w:pBdr>
          <w:left w:val="single" w:color="1F4E79" w:sz="18" w:space="8"/>
        </w:pBdr>
        <w:spacing w:after="100" w:line="264"/>
        <w:ind w:left="200"/>
        <w:jc w:val="both"/>
      </w:pPr>
      <w:r>
        <w:rPr>
          <w:i/>
          <w:iCs/>
          <w:color w:val="555555"/>
          <w:sz w:val="20"/>
          <w:szCs w:val="20"/>
        </w:rPr>
        <w:t xml:space="preserve">Guide pratique 2026 destiné au gérant et au gestor. Procédure vérifiée sur sources espagnoles (Seguridad Social, AEAT). Ne remplace pas l'accompagnement d'un gestor, vivement recommandé pour le premier dépôt.</w:t>
      </w:r>
    </w:p>
    <w:p>
      <w:pPr>
        <w:pStyle w:val="Heading1"/>
      </w:pPr>
      <w:r>
        <w:t xml:space="preserve">1. Le statut : «autónomo societario»</w:t>
      </w:r>
    </w:p>
    <w:p>
      <w:pPr>
        <w:spacing w:after="100" w:line="276"/>
        <w:jc w:val="both"/>
      </w:pPr>
      <w:r>
        <w:rPr>
          <w:sz w:val="22"/>
          <w:szCs w:val="22"/>
        </w:rPr>
        <w:t xml:space="preserve">Le gérant n'est pas un autónomo «classique» : comme il est à la fois associé et administrateur (gérant) de la S.L., il relève du régime de l'autónomo societario. Il est obligatoirement affilié au RETA (régime des indépendants) dès lors qu'il a le «contrôle effectif» de la société, ce qui est présumé notamment lorsque :</w:t>
      </w:r>
    </w:p>
    <w:p>
      <w:pPr>
        <w:pStyle w:val="ListParagraph"/>
        <w:numPr>
          <w:ilvl w:val="0"/>
          <w:numId w:val="2"/>
        </w:numPr>
        <w:spacing w:after="60" w:line="270"/>
        <w:jc w:val="both"/>
      </w:pPr>
      <w:r>
        <w:rPr>
          <w:sz w:val="22"/>
          <w:szCs w:val="22"/>
        </w:rPr>
        <w:t xml:space="preserve">sa participation est d'au moins 33 % du capital ; ou</w:t>
      </w:r>
    </w:p>
    <w:p>
      <w:pPr>
        <w:pStyle w:val="ListParagraph"/>
        <w:numPr>
          <w:ilvl w:val="0"/>
          <w:numId w:val="2"/>
        </w:numPr>
        <w:spacing w:after="60" w:line="270"/>
        <w:jc w:val="both"/>
      </w:pPr>
      <w:r>
        <w:rPr>
          <w:sz w:val="22"/>
          <w:szCs w:val="22"/>
        </w:rPr>
        <w:t xml:space="preserve">sa participation est d'au moins 25 % ET il exerce des fonctions de direction/gérance (il est administrateur).</w:t>
      </w:r>
    </w:p>
    <w:p>
      <w:pPr>
        <w:spacing w:after="100" w:line="276"/>
        <w:jc w:val="both"/>
      </w:pPr>
      <w:r>
        <w:rPr>
          <w:sz w:val="22"/>
          <w:szCs w:val="22"/>
        </w:rPr>
        <w:t xml:space="preserve">Votre gérant détient 25 % et est administrateur : il tombe donc dans le second cas — </w:t>
      </w:r>
      <w:r>
        <w:rPr>
          <w:b/>
          <w:bCs/>
          <w:sz w:val="22"/>
          <w:szCs w:val="22"/>
        </w:rPr>
        <w:t xml:space="preserve">il est autónomo societario et doit s'inscrire au RETA.</w:t>
      </w:r>
    </w:p>
    <w:p>
      <w:pPr>
        <w:pBdr>
          <w:left w:val="single" w:color="1F4E79" w:sz="18" w:space="8"/>
        </w:pBdr>
        <w:spacing w:after="100" w:line="264"/>
        <w:ind w:left="200"/>
        <w:jc w:val="both"/>
      </w:pPr>
      <w:r>
        <w:rPr>
          <w:i/>
          <w:iCs/>
          <w:color w:val="555555"/>
          <w:sz w:val="20"/>
          <w:szCs w:val="20"/>
        </w:rPr>
        <w:t xml:space="preserve">Le 2e associé opérationnel (25 %, non-administrateur, sans contrôle familial) n'atteint en principe pas le seuil de contrôle : il peut souvent être salarié au régime général. À confirmer au cas par cas. Ce guide ne concerne que le gérant.</w:t>
      </w:r>
    </w:p>
    <w:p>
      <w:pPr>
        <w:pStyle w:val="Heading1"/>
      </w:pPr>
      <w:r>
        <w:t xml:space="preserve">2. Deux démarches — et un préalable</w:t>
      </w:r>
    </w:p>
    <w:p>
      <w:pPr>
        <w:spacing w:after="100" w:line="276"/>
        <w:jc w:val="both"/>
      </w:pPr>
      <w:r>
        <w:rPr>
          <w:sz w:val="22"/>
          <w:szCs w:val="22"/>
        </w:rPr>
        <w:t xml:space="preserve">S'installer comme autónomo suppose deux organismes distincts :</w:t>
      </w:r>
    </w:p>
    <w:p>
      <w:pPr>
        <w:pStyle w:val="ListParagraph"/>
        <w:numPr>
          <w:ilvl w:val="0"/>
          <w:numId w:val="2"/>
        </w:numPr>
        <w:spacing w:after="60" w:line="270"/>
        <w:jc w:val="both"/>
      </w:pPr>
      <w:r>
        <w:rPr>
          <w:sz w:val="22"/>
          <w:szCs w:val="22"/>
        </w:rPr>
        <w:t xml:space="preserve">la Sécurité sociale (Tesorería General de la Seguridad Social) — alta au RETA : OBLIGATOIRE dans tous les cas ;</w:t>
      </w:r>
    </w:p>
    <w:p>
      <w:pPr>
        <w:pStyle w:val="ListParagraph"/>
        <w:numPr>
          <w:ilvl w:val="0"/>
          <w:numId w:val="2"/>
        </w:numPr>
        <w:spacing w:after="60" w:line="270"/>
        <w:jc w:val="both"/>
      </w:pPr>
      <w:r>
        <w:rPr>
          <w:sz w:val="22"/>
          <w:szCs w:val="22"/>
        </w:rPr>
        <w:t xml:space="preserve">Hacienda (Agence des impôts, AEAT) — alta censale via le modèle 036 : nécessaire UNIQUEMENT si le gérant facture la société (voir §5).</w:t>
      </w:r>
    </w:p>
    <w:p>
      <w:pPr>
        <w:pBdr>
          <w:left w:val="single" w:color="1F4E79" w:sz="18" w:space="8"/>
        </w:pBdr>
        <w:spacing w:after="100" w:line="264"/>
        <w:ind w:left="200"/>
        <w:jc w:val="both"/>
      </w:pPr>
      <w:r>
        <w:rPr>
          <w:i/>
          <w:iCs/>
          <w:color w:val="555555"/>
          <w:sz w:val="20"/>
          <w:szCs w:val="20"/>
        </w:rPr>
        <w:t xml:space="preserve">À noter : le modèle 037 (version simplifiée) a été supprimé le 3 février 2025. Il n'existe plus : on utilise désormais uniquement le modèle 036.</w:t>
      </w:r>
    </w:p>
    <w:p>
      <w:pPr>
        <w:spacing w:after="100" w:line="276"/>
        <w:jc w:val="both"/>
      </w:pPr>
      <w:r>
        <w:rPr>
          <w:b/>
          <w:bCs/>
          <w:sz w:val="22"/>
          <w:szCs w:val="22"/>
        </w:rPr>
        <w:t xml:space="preserve">Préalable indispensable : </w:t>
      </w:r>
      <w:r>
        <w:rPr>
          <w:sz w:val="22"/>
          <w:szCs w:val="22"/>
        </w:rPr>
        <w:t xml:space="preserve">disposer d'un certificat numérique (certificado digital) ou d'une Cl@ve PIN, car toutes ces démarches se font en ligne. Et bien sûr, avoir son NIE (voir le mémo précédent).</w:t>
      </w:r>
    </w:p>
    <w:p>
      <w:pPr>
        <w:pStyle w:val="Heading1"/>
      </w:pPr>
      <w:r>
        <w:t xml:space="preserve">3. Démarche A — Alta au RETA (Sécurité sociale)</w:t>
      </w:r>
    </w:p>
    <w:p>
      <w:pPr>
        <w:spacing w:after="60" w:before="160"/>
      </w:pPr>
      <w:r>
        <w:rPr>
          <w:b/>
          <w:bCs/>
          <w:color w:val="1F4E79"/>
          <w:sz w:val="23"/>
          <w:szCs w:val="23"/>
        </w:rPr>
        <w:t xml:space="preserve">Où et comment</w:t>
      </w:r>
    </w:p>
    <w:p>
      <w:pPr>
        <w:spacing w:after="100" w:line="276"/>
        <w:jc w:val="both"/>
      </w:pPr>
      <w:r>
        <w:rPr>
          <w:sz w:val="22"/>
          <w:szCs w:val="22"/>
        </w:rPr>
        <w:t xml:space="preserve">En ligne, sur le portail Import@ss de la Seguridad Social, avec certificat numérique ou Cl@ve. Service «Alta en el RETA».</w:t>
      </w:r>
    </w:p>
    <w:p>
      <w:pPr>
        <w:spacing w:after="60" w:before="160"/>
      </w:pPr>
      <w:r>
        <w:rPr>
          <w:b/>
          <w:bCs/>
          <w:color w:val="1F4E79"/>
          <w:sz w:val="23"/>
          <w:szCs w:val="23"/>
        </w:rPr>
        <w:t xml:space="preserve">Quand</w:t>
      </w:r>
    </w:p>
    <w:p>
      <w:pPr>
        <w:spacing w:after="100" w:line="276"/>
        <w:jc w:val="both"/>
      </w:pPr>
      <w:r>
        <w:rPr>
          <w:sz w:val="22"/>
          <w:szCs w:val="22"/>
        </w:rPr>
        <w:t xml:space="preserve">Au plus tard le jour du début effectif de l'activité, et jusqu'à 60 jours avant. La date de début d'activité doit être identique à celle déclarée à Hacienda. Une alta tardive entraîne le paiement du mois complet et une base imposée pour la période antérieure.</w:t>
      </w:r>
    </w:p>
    <w:p>
      <w:pPr>
        <w:spacing w:after="60" w:before="160"/>
      </w:pPr>
      <w:r>
        <w:rPr>
          <w:b/>
          <w:bCs/>
          <w:color w:val="1F4E79"/>
          <w:sz w:val="23"/>
          <w:szCs w:val="23"/>
        </w:rPr>
        <w:t xml:space="preserve">Documents / informations</w:t>
      </w:r>
    </w:p>
    <w:p>
      <w:pPr>
        <w:pStyle w:val="ListParagraph"/>
        <w:numPr>
          <w:ilvl w:val="0"/>
          <w:numId w:val="2"/>
        </w:numPr>
        <w:spacing w:after="60" w:line="270"/>
        <w:jc w:val="both"/>
      </w:pPr>
      <w:r>
        <w:rPr>
          <w:sz w:val="22"/>
          <w:szCs w:val="22"/>
        </w:rPr>
        <w:t xml:space="preserve">NIE et pièce d'identité ;</w:t>
      </w:r>
    </w:p>
    <w:p>
      <w:pPr>
        <w:pStyle w:val="ListParagraph"/>
        <w:numPr>
          <w:ilvl w:val="0"/>
          <w:numId w:val="2"/>
        </w:numPr>
        <w:spacing w:after="60" w:line="270"/>
        <w:jc w:val="both"/>
      </w:pPr>
      <w:r>
        <w:rPr>
          <w:sz w:val="22"/>
          <w:szCs w:val="22"/>
        </w:rPr>
        <w:t xml:space="preserve">données de la société (CIF de la S.L., pourcentage de participation, fonction d'administrateur) ;</w:t>
      </w:r>
    </w:p>
    <w:p>
      <w:pPr>
        <w:pStyle w:val="ListParagraph"/>
        <w:numPr>
          <w:ilvl w:val="0"/>
          <w:numId w:val="2"/>
        </w:numPr>
        <w:spacing w:after="60" w:line="270"/>
        <w:jc w:val="both"/>
      </w:pPr>
      <w:r>
        <w:rPr>
          <w:sz w:val="22"/>
          <w:szCs w:val="22"/>
        </w:rPr>
        <w:t xml:space="preserve">code d'activité CNAE (restauration : 5610) ;</w:t>
      </w:r>
    </w:p>
    <w:p>
      <w:pPr>
        <w:pStyle w:val="ListParagraph"/>
        <w:numPr>
          <w:ilvl w:val="0"/>
          <w:numId w:val="2"/>
        </w:numPr>
        <w:spacing w:after="60" w:line="270"/>
        <w:jc w:val="both"/>
      </w:pPr>
      <w:r>
        <w:rPr>
          <w:sz w:val="22"/>
          <w:szCs w:val="22"/>
        </w:rPr>
        <w:t xml:space="preserve">choix de la base de cotisation et de la mutuelle (mutua) ;</w:t>
      </w:r>
    </w:p>
    <w:p>
      <w:pPr>
        <w:pStyle w:val="ListParagraph"/>
        <w:numPr>
          <w:ilvl w:val="0"/>
          <w:numId w:val="2"/>
        </w:numPr>
        <w:spacing w:after="60" w:line="270"/>
        <w:jc w:val="both"/>
      </w:pPr>
      <w:r>
        <w:rPr>
          <w:sz w:val="22"/>
          <w:szCs w:val="22"/>
        </w:rPr>
        <w:t xml:space="preserve">IBAN pour le prélèvement de la cotisation.</w:t>
      </w:r>
    </w:p>
    <w:p>
      <w:pPr>
        <w:spacing w:after="60" w:before="160"/>
      </w:pPr>
      <w:r>
        <w:rPr>
          <w:b/>
          <w:bCs/>
          <w:color w:val="1F4E79"/>
          <w:sz w:val="23"/>
          <w:szCs w:val="23"/>
        </w:rPr>
        <w:t xml:space="preserve">Combien (2026)</w:t>
      </w:r>
    </w:p>
    <w:p>
      <w:pPr>
        <w:spacing w:after="100" w:line="276"/>
        <w:jc w:val="both"/>
      </w:pPr>
      <w:r>
        <w:rPr>
          <w:sz w:val="22"/>
          <w:szCs w:val="22"/>
        </w:rPr>
        <w:t xml:space="preserve">La cotisation de l'autónomo societario se calcule sur une base minimale de 1 424,40 €/mois, soit une cotisation d'environ 448 €/mois (taux 31,50 %). Une base provisoire de 1 000 € est tolérée en cours d'année, mais la régularisation annuelle reposera, au minimum, sur 1 424,40 €.</w:t>
      </w:r>
    </w:p>
    <w:p>
      <w:pPr>
        <w:pBdr>
          <w:left w:val="single" w:color="1F4E79" w:sz="18" w:space="8"/>
        </w:pBdr>
        <w:spacing w:after="100" w:line="264"/>
        <w:ind w:left="200"/>
        <w:jc w:val="both"/>
      </w:pPr>
      <w:r>
        <w:rPr>
          <w:i/>
          <w:iCs/>
          <w:color w:val="555555"/>
          <w:sz w:val="20"/>
          <w:szCs w:val="20"/>
        </w:rPr>
        <w:t xml:space="preserve">Tarifa plana : les nouveaux autónomos (y compris societarios) paient une cotisation réduite de 80 €/mois pendant les 12 premiers mois, prolongeable 12 mois de plus si les revenus restent sous le SMIC espagnol. À demander lors de l'alta (case dédiée).</w:t>
      </w:r>
    </w:p>
    <w:p>
      <w:pPr>
        <w:pBdr>
          <w:left w:val="single" w:color="1F4E79" w:sz="18" w:space="8"/>
        </w:pBdr>
        <w:spacing w:after="100" w:line="264"/>
        <w:ind w:left="200"/>
        <w:jc w:val="both"/>
      </w:pPr>
      <w:r>
        <w:rPr>
          <w:i/>
          <w:iCs/>
          <w:color w:val="555555"/>
          <w:sz w:val="20"/>
          <w:szCs w:val="20"/>
        </w:rPr>
        <w:t xml:space="preserve">Avantage canarien à vérifier : les Canaries appliquent une «Cuota Cero» qui peut rembourser la tarifa plana (cotisation effective ~0 € la première période). Conditions et éligibilité des societarios à confirmer avec le gestor pour 2026.</w:t>
      </w:r>
    </w:p>
    <w:p>
      <w:pPr>
        <w:pStyle w:val="Heading1"/>
      </w:pPr>
      <w:r>
        <w:t xml:space="preserve">4. Démarche B — Alta censale à Hacienda (modèle 036)</w:t>
      </w:r>
    </w:p>
    <w:p>
      <w:pPr>
        <w:spacing w:after="100" w:line="276"/>
        <w:jc w:val="both"/>
      </w:pPr>
      <w:r>
        <w:rPr>
          <w:b/>
          <w:bCs/>
          <w:sz w:val="22"/>
          <w:szCs w:val="22"/>
        </w:rPr>
        <w:t xml:space="preserve">Nécessaire uniquement si le gérant facture ses services à la société</w:t>
      </w:r>
      <w:r>
        <w:rPr>
          <w:sz w:val="22"/>
          <w:szCs w:val="22"/>
        </w:rPr>
        <w:t xml:space="preserve"> (voir §5). S'il est payé en bulletin de salaire (nómina), cette démarche individuelle n'est pas requise : c'est la S.L. qui gère la fiscalité (IGIC, IS) et qui retient l'IRPF sur sa paie.</w:t>
      </w:r>
    </w:p>
    <w:p>
      <w:pPr>
        <w:spacing w:after="60" w:before="160"/>
      </w:pPr>
      <w:r>
        <w:rPr>
          <w:b/>
          <w:bCs/>
          <w:color w:val="1F4E79"/>
          <w:sz w:val="23"/>
          <w:szCs w:val="23"/>
        </w:rPr>
        <w:t xml:space="preserve">Où et quand</w:t>
      </w:r>
    </w:p>
    <w:p>
      <w:pPr>
        <w:spacing w:after="100" w:line="276"/>
        <w:jc w:val="both"/>
      </w:pPr>
      <w:r>
        <w:rPr>
          <w:sz w:val="22"/>
          <w:szCs w:val="22"/>
        </w:rPr>
        <w:t xml:space="preserve">En ligne sur le Sede Electrónica de l'AEAT, avec certificat numérique ou Cl@ve. À déposer AVANT le début de l'activité. Gratuit.</w:t>
      </w:r>
    </w:p>
    <w:p>
      <w:pPr>
        <w:spacing w:after="60" w:before="160"/>
      </w:pPr>
      <w:r>
        <w:rPr>
          <w:b/>
          <w:bCs/>
          <w:color w:val="1F4E79"/>
          <w:sz w:val="23"/>
          <w:szCs w:val="23"/>
        </w:rPr>
        <w:t xml:space="preserve">Ce qu'on y déclare (cases principales)</w:t>
      </w:r>
    </w:p>
    <w:p>
      <w:pPr>
        <w:pStyle w:val="ListParagraph"/>
        <w:numPr>
          <w:ilvl w:val="0"/>
          <w:numId w:val="2"/>
        </w:numPr>
        <w:spacing w:after="60" w:line="270"/>
        <w:jc w:val="both"/>
      </w:pPr>
      <w:r>
        <w:rPr>
          <w:sz w:val="22"/>
          <w:szCs w:val="22"/>
        </w:rPr>
        <w:t xml:space="preserve">Case 111 : alta au censo (motif : début d'activité) ;</w:t>
      </w:r>
    </w:p>
    <w:p>
      <w:pPr>
        <w:pStyle w:val="ListParagraph"/>
        <w:numPr>
          <w:ilvl w:val="0"/>
          <w:numId w:val="2"/>
        </w:numPr>
        <w:spacing w:after="60" w:line="270"/>
        <w:jc w:val="both"/>
      </w:pPr>
      <w:r>
        <w:rPr>
          <w:sz w:val="22"/>
          <w:szCs w:val="22"/>
        </w:rPr>
        <w:t xml:space="preserve">Activité économique : épígrafe IAE (la restauration relève de l'épígrafe 671 ; pour des services de gérance facturés, l'épígrafe sera celui des services correspondants) et date de début ;</w:t>
      </w:r>
    </w:p>
    <w:p>
      <w:pPr>
        <w:pStyle w:val="ListParagraph"/>
        <w:numPr>
          <w:ilvl w:val="0"/>
          <w:numId w:val="2"/>
        </w:numPr>
        <w:spacing w:after="60" w:line="270"/>
        <w:jc w:val="both"/>
      </w:pPr>
      <w:r>
        <w:rPr>
          <w:sz w:val="22"/>
          <w:szCs w:val="22"/>
        </w:rPr>
        <w:t xml:space="preserve">Situation IGIC : régime applicable (l'IGIC remplace la TVA aux Canaries) ;</w:t>
      </w:r>
    </w:p>
    <w:p>
      <w:pPr>
        <w:pStyle w:val="ListParagraph"/>
        <w:numPr>
          <w:ilvl w:val="0"/>
          <w:numId w:val="2"/>
        </w:numPr>
        <w:spacing w:after="60" w:line="270"/>
        <w:jc w:val="both"/>
      </w:pPr>
      <w:r>
        <w:rPr>
          <w:sz w:val="22"/>
          <w:szCs w:val="22"/>
        </w:rPr>
        <w:t xml:space="preserve">IRPF : méthode d'estimation (directe simplifiée en général) et paiements fractionnés (modèle 130) le cas échéant ;</w:t>
      </w:r>
    </w:p>
    <w:p>
      <w:pPr>
        <w:pStyle w:val="ListParagraph"/>
        <w:numPr>
          <w:ilvl w:val="0"/>
          <w:numId w:val="2"/>
        </w:numPr>
        <w:spacing w:after="60" w:line="270"/>
        <w:jc w:val="both"/>
      </w:pPr>
      <w:r>
        <w:rPr>
          <w:sz w:val="22"/>
          <w:szCs w:val="22"/>
        </w:rPr>
        <w:t xml:space="preserve">ROI : seulement si opérations intracommunautaires.</w:t>
      </w:r>
    </w:p>
    <w:p>
      <w:pPr>
        <w:spacing w:after="60" w:before="160"/>
      </w:pPr>
      <w:r>
        <w:rPr>
          <w:b/>
          <w:bCs/>
          <w:color w:val="1F4E79"/>
          <w:sz w:val="23"/>
          <w:szCs w:val="23"/>
        </w:rPr>
        <w:t xml:space="preserve">Ordre des deux démarches</w:t>
      </w:r>
    </w:p>
    <w:p>
      <w:pPr>
        <w:spacing w:after="100" w:line="276"/>
        <w:jc w:val="both"/>
      </w:pPr>
      <w:r>
        <w:rPr>
          <w:sz w:val="22"/>
          <w:szCs w:val="22"/>
        </w:rPr>
        <w:t xml:space="preserve">Les deux altas doivent porter la même date de début d'activité. En pratique courante depuis 2018, on réalise le RETA d'abord (ou le même jour), puis le 036 avant de commencer l'activité ; les deux peuvent se faire le même jour.</w:t>
      </w:r>
    </w:p>
    <w:p>
      <w:pPr>
        <w:pStyle w:val="Heading1"/>
      </w:pPr>
      <w:r>
        <w:t xml:space="preserve">5. Le choix décisif : nómina ou facture ?</w:t>
      </w:r>
    </w:p>
    <w:p>
      <w:pPr>
        <w:spacing w:after="100" w:line="276"/>
        <w:jc w:val="both"/>
      </w:pPr>
      <w:r>
        <w:rPr>
          <w:sz w:val="22"/>
          <w:szCs w:val="22"/>
        </w:rPr>
        <w:t xml:space="preserve">La façon dont le gérant est rémunéré détermine s'il a besoin du 036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
            </w:r>
          </w:p>
        </w:tc>
        <w:tc>
          <w:tcPr>
            <w:tcW w:type="dxa" w:w="3013"/>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Payé en NÓMINA (paie)</w:t>
            </w:r>
          </w:p>
        </w:tc>
        <w:tc>
          <w:tcPr>
            <w:tcW w:type="dxa" w:w="3013"/>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FACTURE la société</w:t>
            </w:r>
          </w:p>
        </w:tc>
      </w:tr>
      <w:tr>
        <w:tc>
          <w:tcPr>
            <w:tcW w:type="dxa" w:w="3000"/>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Alta RETA</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Oui (obligatoire)</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Oui (obligatoire)</w:t>
            </w:r>
          </w:p>
        </w:tc>
      </w:tr>
      <w:tr>
        <w:tc>
          <w:tcPr>
            <w:tcW w:type="dxa" w:w="3000"/>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Alta 036 individuelle</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Non nécessaire</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Oui, requise</w:t>
            </w:r>
          </w:p>
        </w:tc>
      </w:tr>
      <w:tr>
        <w:tc>
          <w:tcPr>
            <w:tcW w:type="dxa" w:w="3000"/>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Revenu</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Salaire (rendimiento del trabajo)</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Honoraires facturés</w:t>
            </w:r>
          </w:p>
        </w:tc>
      </w:tr>
      <w:tr>
        <w:tc>
          <w:tcPr>
            <w:tcW w:type="dxa" w:w="3000"/>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Fiscalité</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IRPF retenu sur la paie ; pas d'IGIC perso</w:t>
            </w:r>
          </w:p>
        </w:tc>
        <w:tc>
          <w:tcPr>
            <w:tcW w:type="dxa" w:w="30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Factures avec IRPF retenu + IGIC ; déclarations trimestrielles</w:t>
            </w:r>
          </w:p>
        </w:tc>
      </w:tr>
    </w:tbl>
    <w:p>
      <w:pPr>
        <w:pBdr>
          <w:left w:val="single" w:color="1F4E79" w:sz="18" w:space="8"/>
        </w:pBdr>
        <w:spacing w:after="100" w:line="264"/>
        <w:ind w:left="200"/>
        <w:jc w:val="both"/>
      </w:pPr>
      <w:r>
        <w:rPr>
          <w:i/>
          <w:iCs/>
          <w:color w:val="555555"/>
          <w:sz w:val="20"/>
          <w:szCs w:val="20"/>
        </w:rPr>
        <w:t xml:space="preserve">Pour un gérant unique de petite S.L., la nómina est souvent la voie la plus simple (pas de 036, pas de déclarations trimestrielles à titre personnel). Le choix a un impact fiscal et de déductibilité : à trancher avec le gestor.</w:t>
      </w:r>
    </w:p>
    <w:p>
      <w:pPr>
        <w:pStyle w:val="Heading1"/>
      </w:pPr>
      <w:r>
        <w:t xml:space="preserve">6. Obligations qui suivent (si facturation)</w:t>
      </w:r>
    </w:p>
    <w:p>
      <w:pPr>
        <w:spacing w:after="100" w:line="276"/>
        <w:jc w:val="both"/>
      </w:pPr>
      <w:r>
        <w:rPr>
          <w:sz w:val="22"/>
          <w:szCs w:val="22"/>
        </w:rPr>
        <w:t xml:space="preserve">Si le gérant facture la société, il devra ensuite, à titre personnel :</w:t>
      </w:r>
    </w:p>
    <w:p>
      <w:pPr>
        <w:pStyle w:val="ListParagraph"/>
        <w:numPr>
          <w:ilvl w:val="0"/>
          <w:numId w:val="2"/>
        </w:numPr>
        <w:spacing w:after="60" w:line="270"/>
        <w:jc w:val="both"/>
      </w:pPr>
      <w:r>
        <w:rPr>
          <w:sz w:val="22"/>
          <w:szCs w:val="22"/>
        </w:rPr>
        <w:t xml:space="preserve">émettre des factures avec retenue d'IRPF et IGIC ;</w:t>
      </w:r>
    </w:p>
    <w:p>
      <w:pPr>
        <w:pStyle w:val="ListParagraph"/>
        <w:numPr>
          <w:ilvl w:val="0"/>
          <w:numId w:val="2"/>
        </w:numPr>
        <w:spacing w:after="60" w:line="270"/>
        <w:jc w:val="both"/>
      </w:pPr>
      <w:r>
        <w:rPr>
          <w:sz w:val="22"/>
          <w:szCs w:val="22"/>
        </w:rPr>
        <w:t xml:space="preserve">déposer les déclarations trimestrielles d'IGIC (modèle 420) et, le cas échéant, d'IRPF (modèle 130) ;</w:t>
      </w:r>
    </w:p>
    <w:p>
      <w:pPr>
        <w:pStyle w:val="ListParagraph"/>
        <w:numPr>
          <w:ilvl w:val="0"/>
          <w:numId w:val="2"/>
        </w:numPr>
        <w:spacing w:after="60" w:line="270"/>
        <w:jc w:val="both"/>
      </w:pPr>
      <w:r>
        <w:rPr>
          <w:sz w:val="22"/>
          <w:szCs w:val="22"/>
        </w:rPr>
        <w:t xml:space="preserve">tenir une comptabilité de recettes/dépenses ;</w:t>
      </w:r>
    </w:p>
    <w:p>
      <w:pPr>
        <w:pStyle w:val="ListParagraph"/>
        <w:numPr>
          <w:ilvl w:val="0"/>
          <w:numId w:val="2"/>
        </w:numPr>
        <w:spacing w:after="60" w:line="270"/>
        <w:jc w:val="both"/>
      </w:pPr>
      <w:r>
        <w:rPr>
          <w:sz w:val="22"/>
          <w:szCs w:val="22"/>
        </w:rPr>
        <w:t xml:space="preserve">se conformer à la facturation électronique (VeriFactu) selon le calendrier en vigueur.</w:t>
      </w:r>
    </w:p>
    <w:p>
      <w:pPr>
        <w:pBdr>
          <w:left w:val="single" w:color="1F4E79" w:sz="18" w:space="8"/>
        </w:pBdr>
        <w:spacing w:after="100" w:line="264"/>
        <w:ind w:left="200"/>
        <w:jc w:val="both"/>
      </w:pPr>
      <w:r>
        <w:rPr>
          <w:i/>
          <w:iCs/>
          <w:color w:val="555555"/>
          <w:sz w:val="20"/>
          <w:szCs w:val="20"/>
        </w:rPr>
        <w:t xml:space="preserve">S'il est en nómina, ces obligations n'existent pas à son niveau : elles sont portées par la S.L.</w:t>
      </w:r>
    </w:p>
    <w:p>
      <w:pPr>
        <w:pStyle w:val="Heading1"/>
      </w:pPr>
      <w:r>
        <w:t xml:space="preserve">7. Récapitulatif des coûts (gérant)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Poste</w:t>
            </w:r>
          </w:p>
        </w:tc>
        <w:tc>
          <w:tcPr>
            <w:tcW w:type="dxa" w:w="4513"/>
            <w:tcBorders>
              <w:top w:val="single" w:color="BBBBBB" w:sz="1"/>
              <w:left w:val="single" w:color="BBBBBB" w:sz="1"/>
              <w:bottom w:val="single" w:color="BBBBBB" w:sz="1"/>
              <w:right w:val="single" w:color="BBBBBB" w:sz="1"/>
            </w:tcBorders>
            <w:shd w:fill="D5E0EF" w:val="clear"/>
            <w:tcMar>
              <w:top w:type="dxa" w:w="60"/>
              <w:left w:type="dxa" w:w="110"/>
              <w:bottom w:type="dxa" w:w="60"/>
              <w:right w:type="dxa" w:w="110"/>
            </w:tcMar>
          </w:tcPr>
          <w:p>
            <w:r>
              <w:rPr>
                <w:b/>
                <w:bCs/>
                <w:sz w:val="20"/>
                <w:szCs w:val="20"/>
              </w:rPr>
              <w:t xml:space="preserve">Montant 2026</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Cotisation RETA (base mini societario)</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448 €/mois</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Tarifa plana (1ère année)</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80 €/mois (12 mois)</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Cuota Cero canaria (si applicable)</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 0 € — à vérifier</w:t>
            </w:r>
          </w:p>
        </w:tc>
      </w:tr>
      <w:tr>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Alta RETA et alta 036</w:t>
            </w:r>
          </w:p>
        </w:tc>
        <w:tc>
          <w:tcPr>
            <w:tcW w:type="dxa" w:w="4513"/>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20"/>
                <w:szCs w:val="20"/>
              </w:rPr>
              <w:t xml:space="preserve">Gratuites</w:t>
            </w:r>
          </w:p>
        </w:tc>
      </w:tr>
    </w:tbl>
    <w:p>
      <w:pPr>
        <w:pStyle w:val="Heading1"/>
      </w:pPr>
      <w:r>
        <w:t xml:space="preserve">8. Check-list de l'alta</w:t>
      </w:r>
    </w:p>
    <w:p>
      <w:pPr>
        <w:pStyle w:val="ListParagraph"/>
        <w:numPr>
          <w:ilvl w:val="0"/>
          <w:numId w:val="3"/>
        </w:numPr>
        <w:spacing w:after="60" w:line="270"/>
        <w:jc w:val="both"/>
      </w:pPr>
      <w:r>
        <w:rPr>
          <w:sz w:val="22"/>
          <w:szCs w:val="22"/>
        </w:rPr>
        <w:t xml:space="preserve">Obtenir le certificat numérique / Cl@ve (et avoir son NIE).</w:t>
      </w:r>
    </w:p>
    <w:p>
      <w:pPr>
        <w:pStyle w:val="ListParagraph"/>
        <w:numPr>
          <w:ilvl w:val="0"/>
          <w:numId w:val="3"/>
        </w:numPr>
        <w:spacing w:after="60" w:line="270"/>
        <w:jc w:val="both"/>
      </w:pPr>
      <w:r>
        <w:rPr>
          <w:sz w:val="22"/>
          <w:szCs w:val="22"/>
        </w:rPr>
        <w:t xml:space="preserve">Fixer la date de début d'activité (identique pour les deux organismes).</w:t>
      </w:r>
    </w:p>
    <w:p>
      <w:pPr>
        <w:pStyle w:val="ListParagraph"/>
        <w:numPr>
          <w:ilvl w:val="0"/>
          <w:numId w:val="3"/>
        </w:numPr>
        <w:spacing w:after="60" w:line="270"/>
        <w:jc w:val="both"/>
      </w:pPr>
      <w:r>
        <w:rPr>
          <w:sz w:val="22"/>
          <w:szCs w:val="22"/>
        </w:rPr>
        <w:t xml:space="preserve">Alta au RETA sur Import@ss (base, mutua, tarifa plana, IBAN).</w:t>
      </w:r>
    </w:p>
    <w:p>
      <w:pPr>
        <w:pStyle w:val="ListParagraph"/>
        <w:numPr>
          <w:ilvl w:val="0"/>
          <w:numId w:val="3"/>
        </w:numPr>
        <w:spacing w:after="60" w:line="270"/>
        <w:jc w:val="both"/>
      </w:pPr>
      <w:r>
        <w:rPr>
          <w:sz w:val="22"/>
          <w:szCs w:val="22"/>
        </w:rPr>
        <w:t xml:space="preserve">Si facturation : alta censale 036 sur Sede AEAT (épígrafe, IGIC, IRPF) avant le début.</w:t>
      </w:r>
    </w:p>
    <w:p>
      <w:pPr>
        <w:pStyle w:val="ListParagraph"/>
        <w:numPr>
          <w:ilvl w:val="0"/>
          <w:numId w:val="3"/>
        </w:numPr>
        <w:spacing w:after="60" w:line="270"/>
        <w:jc w:val="both"/>
      </w:pPr>
      <w:r>
        <w:rPr>
          <w:sz w:val="22"/>
          <w:szCs w:val="22"/>
        </w:rPr>
        <w:t xml:space="preserve">Conserver les justificatifs de dépôt des deux altas.</w:t>
      </w:r>
    </w:p>
    <w:p>
      <w:pPr>
        <w:pStyle w:val="ListParagraph"/>
        <w:numPr>
          <w:ilvl w:val="0"/>
          <w:numId w:val="3"/>
        </w:numPr>
        <w:spacing w:after="60" w:line="270"/>
        <w:jc w:val="both"/>
      </w:pPr>
      <w:r>
        <w:rPr>
          <w:sz w:val="22"/>
          <w:szCs w:val="22"/>
        </w:rPr>
        <w:t xml:space="preserve">Vérifier l'éligibilité à la Cuota Cero canaria avec le gestor.</w:t>
      </w:r>
    </w:p>
    <w:p>
      <w:pPr>
        <w:spacing w:before="200"/>
      </w:pPr>
      <w:r>
        <w:t xml:space="preserve"/>
      </w:r>
    </w:p>
    <w:p>
      <w:pPr>
        <w:pBdr>
          <w:left w:val="single" w:color="1F4E79" w:sz="18" w:space="8"/>
        </w:pBdr>
        <w:spacing w:after="100" w:line="264"/>
        <w:ind w:left="200"/>
        <w:jc w:val="both"/>
      </w:pPr>
      <w:r>
        <w:rPr>
          <w:i/>
          <w:iCs/>
          <w:color w:val="555555"/>
          <w:sz w:val="20"/>
          <w:szCs w:val="20"/>
        </w:rPr>
        <w:t xml:space="preserve">Sources (2026) : Seguridad Social (Import@ss, guía del trabajo autónomo) ; AEAT (modèle 036, suppression du 037 le 03/02/2025) ; ordres de cotisation RETA 2026. Document indicatif : faire valider le premier dépôt par le gestor.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40" w:before="32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2026-06-30T00:18:53.811Z</dcterms:created>
  <dcterms:modified xsi:type="dcterms:W3CDTF">2026-06-30T00:18:53.811Z</dcterms:modified>
</cp:coreProperties>
</file>

<file path=docProps/custom.xml><?xml version="1.0" encoding="utf-8"?>
<Properties xmlns="http://schemas.openxmlformats.org/officeDocument/2006/custom-properties" xmlns:vt="http://schemas.openxmlformats.org/officeDocument/2006/docPropsVTypes"/>
</file>