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PACTE D'ASSOCIÉS</w:t>
      </w:r>
    </w:p>
    <w:p>
      <w:pPr>
        <w:spacing w:after="40"/>
        <w:jc w:val="center"/>
      </w:pPr>
      <w:r>
        <w:rPr>
          <w:sz w:val="22"/>
          <w:szCs w:val="22"/>
        </w:rPr>
        <w:t xml:space="preserve">(pacto de socios) — avec clause d'acquisition progressive des parts (vesting)</w:t>
      </w:r>
    </w:p>
    <w:p>
      <w:pPr>
        <w:spacing w:after="200"/>
        <w:jc w:val="center"/>
      </w:pPr>
      <w:r>
        <w:rPr>
          <w:color w:val="555555"/>
          <w:sz w:val="20"/>
          <w:szCs w:val="20"/>
        </w:rPr>
        <w:t xml:space="preserve">Société «____________, S.L.» — restaurant à Maspalomas (Grande Canarie)</w:t>
      </w:r>
    </w:p>
    <w:p>
      <w:pPr>
        <w:pBdr>
          <w:left w:val="single" w:color="1F4E79" w:sz="18" w:space="8"/>
        </w:pBdr>
        <w:spacing w:after="100" w:line="264"/>
        <w:ind w:left="200"/>
        <w:jc w:val="both"/>
      </w:pPr>
      <w:r>
        <w:rPr>
          <w:i/>
          <w:iCs/>
          <w:color w:val="555555"/>
          <w:sz w:val="20"/>
          <w:szCs w:val="20"/>
        </w:rPr>
        <w:t xml:space="preserve">Document de travail en français, destiné à la compréhension et à la négociation entre les quatre associés. Le pacte concerne une société de droit espagnol : sa version définitive doit être revue par un avocat/gestor et, de préférence, traduite ou établie en espagnol pour son efficacité en Espagne. Les espaces (______) sont à compléter. Ne constitue pas un conseil juridique définitif.</w:t>
      </w:r>
    </w:p>
    <w:p>
      <w:pPr>
        <w:pStyle w:val="Heading1"/>
      </w:pPr>
      <w:r>
        <w:t xml:space="preserve">ENTRE LES SOUSSIGNÉS</w:t>
      </w:r>
    </w:p>
    <w:p>
      <w:pPr>
        <w:spacing w:after="100" w:line="276"/>
        <w:jc w:val="both"/>
      </w:pPr>
      <w:r>
        <w:rPr>
          <w:sz w:val="22"/>
          <w:szCs w:val="22"/>
        </w:rPr>
        <w:t xml:space="preserve">(1) ______________________, titulaire du NIE ____________, demeurant à ____________ ;</w:t>
      </w:r>
    </w:p>
    <w:p>
      <w:pPr>
        <w:spacing w:after="100" w:line="276"/>
        <w:jc w:val="both"/>
      </w:pPr>
      <w:r>
        <w:rPr>
          <w:sz w:val="22"/>
          <w:szCs w:val="22"/>
        </w:rPr>
        <w:t xml:space="preserve">(2) ______________________, titulaire du NIE ____________, demeurant à ____________ ;</w:t>
      </w:r>
    </w:p>
    <w:p>
      <w:pPr>
        <w:spacing w:after="100" w:line="276"/>
        <w:jc w:val="both"/>
      </w:pPr>
      <w:r>
        <w:rPr>
          <w:sz w:val="22"/>
          <w:szCs w:val="22"/>
        </w:rPr>
        <w:t xml:space="preserve">(3) ______________________, titulaire du NIE ____________, demeurant à ____________ ;</w:t>
      </w:r>
    </w:p>
    <w:p>
      <w:pPr>
        <w:spacing w:after="100" w:line="276"/>
        <w:jc w:val="both"/>
      </w:pPr>
      <w:r>
        <w:rPr>
          <w:sz w:val="22"/>
          <w:szCs w:val="22"/>
        </w:rPr>
        <w:t xml:space="preserve">(4) ______________________, titulaire du NIE ____________, demeurant à ____________ ;</w:t>
      </w:r>
    </w:p>
    <w:p>
      <w:pPr>
        <w:spacing w:after="100" w:line="276"/>
        <w:jc w:val="both"/>
      </w:pPr>
      <w:r>
        <w:rPr>
          <w:sz w:val="22"/>
          <w:szCs w:val="22"/>
        </w:rPr>
        <w:t xml:space="preserve">ci-après désignés ensemble les «Associés» et individuellement un «Associé».</w:t>
      </w:r>
    </w:p>
    <w:p>
      <w:pPr>
        <w:pBdr>
          <w:left w:val="single" w:color="1F4E79" w:sz="18" w:space="8"/>
        </w:pBdr>
        <w:spacing w:after="100" w:line="264"/>
        <w:ind w:left="200"/>
        <w:jc w:val="both"/>
      </w:pPr>
      <w:r>
        <w:rPr>
          <w:i/>
          <w:iCs/>
          <w:color w:val="555555"/>
          <w:sz w:val="20"/>
          <w:szCs w:val="20"/>
        </w:rPr>
        <w:t xml:space="preserve">Identifier ci-dessus, parmi les quatre, les deux «Associés opérationnels» (qui travaillent dans le restaurant, dont le gérant) et les deux «Associés investisseurs» (passifs, qui apportent les fonds). Ces qualités sont reprises à la clause 1.</w:t>
      </w:r>
    </w:p>
    <w:p>
      <w:pPr>
        <w:pStyle w:val="Heading1"/>
      </w:pPr>
      <w:r>
        <w:t xml:space="preserve">EXPOSÉ PRÉALABLE</w:t>
      </w:r>
    </w:p>
    <w:p>
      <w:pPr>
        <w:spacing w:after="100" w:line="276"/>
        <w:jc w:val="both"/>
      </w:pPr>
      <w:r>
        <w:rPr>
          <w:sz w:val="22"/>
          <w:szCs w:val="22"/>
        </w:rPr>
        <w:t xml:space="preserve">A. Les Associés ont constitué (ou vont constituer) la société «____________, S.L.», société de droit espagnol dont le siège est à Maspalomas, ayant pour objet l'exploitation d'un établissement de restauration (ci-après la «Société»).</w:t>
      </w:r>
    </w:p>
    <w:p>
      <w:pPr>
        <w:spacing w:after="100" w:line="276"/>
        <w:jc w:val="both"/>
      </w:pPr>
      <w:r>
        <w:rPr>
          <w:sz w:val="22"/>
          <w:szCs w:val="22"/>
        </w:rPr>
        <w:t xml:space="preserve">B. Le capital est réparti à parts égales : 25 % pour chacun des quatre Associés.</w:t>
      </w:r>
    </w:p>
    <w:p>
      <w:pPr>
        <w:spacing w:after="100" w:line="276"/>
        <w:jc w:val="both"/>
      </w:pPr>
      <w:r>
        <w:rPr>
          <w:sz w:val="22"/>
          <w:szCs w:val="22"/>
        </w:rPr>
        <w:t xml:space="preserve">C. Les Associés reconnaissent que les Associés investisseurs apportent la quasi-totalité des fonds (capital et avances en compte courant), tandis que les Associés opérationnels apportent principalement leur travail et leur savoir-faire.</w:t>
      </w:r>
    </w:p>
    <w:p>
      <w:pPr>
        <w:spacing w:after="100" w:line="276"/>
        <w:jc w:val="both"/>
      </w:pPr>
      <w:r>
        <w:rPr>
          <w:sz w:val="22"/>
          <w:szCs w:val="22"/>
        </w:rPr>
        <w:t xml:space="preserve">D. Pour équilibrer cette asymétrie et sécuriser le projet, les Associés conviennent d'un mécanisme d'acquisition progressive des parts des opérationnels (vesting), de conditions de sortie et de rachat, et d'un cadre de gouvernance, objet du présent pacte.</w:t>
      </w:r>
    </w:p>
    <w:p>
      <w:pPr>
        <w:spacing w:after="100" w:line="276"/>
        <w:jc w:val="both"/>
      </w:pPr>
      <w:r>
        <w:rPr>
          <w:sz w:val="22"/>
          <w:szCs w:val="22"/>
        </w:rPr>
        <w:t xml:space="preserve">CECI EXPOSÉ, IL A ÉTÉ CONVENU CE QUI SUIT :</w:t>
      </w:r>
    </w:p>
    <w:p>
      <w:pPr>
        <w:pStyle w:val="Heading1"/>
      </w:pPr>
      <w:r>
        <w:t xml:space="preserve">Clause 1 — Définitions</w:t>
      </w:r>
    </w:p>
    <w:p>
      <w:pPr>
        <w:pStyle w:val="ListParagraph"/>
        <w:numPr>
          <w:ilvl w:val="0"/>
          <w:numId w:val="2"/>
        </w:numPr>
        <w:spacing w:after="60" w:line="270"/>
        <w:jc w:val="both"/>
      </w:pPr>
      <w:r>
        <w:rPr>
          <w:sz w:val="22"/>
          <w:szCs w:val="22"/>
        </w:rPr>
        <w:t xml:space="preserve">«Associés opérationnels» : ____________ et ____________, qui exercent un travail effectif dans la Société (dont le gérant).</w:t>
      </w:r>
    </w:p>
    <w:p>
      <w:pPr>
        <w:pStyle w:val="ListParagraph"/>
        <w:numPr>
          <w:ilvl w:val="0"/>
          <w:numId w:val="2"/>
        </w:numPr>
        <w:spacing w:after="60" w:line="270"/>
        <w:jc w:val="both"/>
      </w:pPr>
      <w:r>
        <w:rPr>
          <w:sz w:val="22"/>
          <w:szCs w:val="22"/>
        </w:rPr>
        <w:t xml:space="preserve">«Associés investisseurs» : ____________ et ____________, qui n'exercent pas d'activité opérationnelle.</w:t>
      </w:r>
    </w:p>
    <w:p>
      <w:pPr>
        <w:pStyle w:val="ListParagraph"/>
        <w:numPr>
          <w:ilvl w:val="0"/>
          <w:numId w:val="2"/>
        </w:numPr>
        <w:spacing w:after="60" w:line="270"/>
        <w:jc w:val="both"/>
      </w:pPr>
      <w:r>
        <w:rPr>
          <w:sz w:val="22"/>
          <w:szCs w:val="22"/>
        </w:rPr>
        <w:t xml:space="preserve">«Parts acquises» (vested) : parts d'un Associé opérationnel définitivement consolidées selon le calendrier de la clause 5.</w:t>
      </w:r>
    </w:p>
    <w:p>
      <w:pPr>
        <w:pStyle w:val="ListParagraph"/>
        <w:numPr>
          <w:ilvl w:val="0"/>
          <w:numId w:val="2"/>
        </w:numPr>
        <w:spacing w:after="60" w:line="270"/>
        <w:jc w:val="both"/>
      </w:pPr>
      <w:r>
        <w:rPr>
          <w:sz w:val="22"/>
          <w:szCs w:val="22"/>
        </w:rPr>
        <w:t xml:space="preserve">«Parts non acquises» (unvested) : parts encore soumises au calendrier d'acquisition, susceptibles de rachat à la valeur nominale en cas de départ.</w:t>
      </w:r>
    </w:p>
    <w:p>
      <w:pPr>
        <w:pStyle w:val="ListParagraph"/>
        <w:numPr>
          <w:ilvl w:val="0"/>
          <w:numId w:val="2"/>
        </w:numPr>
        <w:spacing w:after="60" w:line="270"/>
        <w:jc w:val="both"/>
      </w:pPr>
      <w:r>
        <w:rPr>
          <w:sz w:val="22"/>
          <w:szCs w:val="22"/>
        </w:rPr>
        <w:t xml:space="preserve">«Valeur nominale» : valeur faciale de la part fixée par les statuts (montant souscrit et libéré).</w:t>
      </w:r>
    </w:p>
    <w:p>
      <w:pPr>
        <w:pStyle w:val="ListParagraph"/>
        <w:numPr>
          <w:ilvl w:val="0"/>
          <w:numId w:val="2"/>
        </w:numPr>
        <w:spacing w:after="60" w:line="270"/>
        <w:jc w:val="both"/>
      </w:pPr>
      <w:r>
        <w:rPr>
          <w:sz w:val="22"/>
          <w:szCs w:val="22"/>
        </w:rPr>
        <w:t xml:space="preserve">«Valeur réelle» : valeur vénale des parts, déterminée d'un commun accord ou, à défaut, par expert indépendant (clause 7).</w:t>
      </w:r>
    </w:p>
    <w:p>
      <w:pPr>
        <w:pStyle w:val="ListParagraph"/>
        <w:numPr>
          <w:ilvl w:val="0"/>
          <w:numId w:val="2"/>
        </w:numPr>
        <w:spacing w:after="60" w:line="270"/>
        <w:jc w:val="both"/>
      </w:pPr>
      <w:r>
        <w:rPr>
          <w:sz w:val="22"/>
          <w:szCs w:val="22"/>
        </w:rPr>
        <w:t xml:space="preserve">«Good leaver / Bad leaver» : associé sortant selon les cas définis à la clause 6.</w:t>
      </w:r>
    </w:p>
    <w:p>
      <w:pPr>
        <w:pStyle w:val="Heading1"/>
      </w:pPr>
      <w:r>
        <w:t xml:space="preserve">Clause 2 — Objet et portée du pacte</w:t>
      </w:r>
    </w:p>
    <w:p>
      <w:pPr>
        <w:spacing w:after="100" w:line="276"/>
        <w:jc w:val="both"/>
      </w:pPr>
      <w:r>
        <w:rPr>
          <w:sz w:val="22"/>
          <w:szCs w:val="22"/>
        </w:rPr>
        <w:t xml:space="preserve">Le présent pacte régit les relations internes entre les Associés. Il complète les statuts sans s'y substituer.</w:t>
      </w:r>
    </w:p>
    <w:p>
      <w:pPr>
        <w:spacing w:after="100" w:line="276"/>
        <w:jc w:val="both"/>
      </w:pPr>
      <w:r>
        <w:rPr>
          <w:sz w:val="22"/>
          <w:szCs w:val="22"/>
        </w:rPr>
        <w:t xml:space="preserve">Conformément à l'article 29 du Texte refondu de la loi espagnole sur les sociétés de capitaux, les pactes réservés entre associés ne sont pas opposables à la Société ni aux tiers ; en cas de contradiction avec les statuts à l'égard des tiers, les statuts prévalent. Entre les parties signataires, le présent pacte a force obligatoire et chaque Associé s'engage à exercer ses droits sociaux (vote, cession) de manière conforme à ses stipulations.</w:t>
      </w:r>
    </w:p>
    <w:p>
      <w:pPr>
        <w:pStyle w:val="Heading1"/>
      </w:pPr>
      <w:r>
        <w:t xml:space="preserve">Clause 3 — Capital et reconnaissance des apports</w:t>
      </w:r>
    </w:p>
    <w:p>
      <w:pPr>
        <w:spacing w:after="100" w:line="276"/>
        <w:jc w:val="both"/>
      </w:pPr>
      <w:r>
        <w:rPr>
          <w:sz w:val="22"/>
          <w:szCs w:val="22"/>
        </w:rPr>
        <w:t xml:space="preserve">Le capital est réparti à 25 % par Associé. Les Associés investisseurs acceptent expressément de financer une part des fonds supérieure à celle des Associés opérationnels tout en détenant un nombre égal de parts, en contrepartie des engagements de travail (clause 4) et du mécanisme d'acquisition progressive (clause 5) prévus ci-après, ainsi que du remboursement prioritaire de leurs comptes courants (clause 8).</w:t>
      </w:r>
    </w:p>
    <w:p>
      <w:pPr>
        <w:pStyle w:val="Heading1"/>
      </w:pPr>
      <w:r>
        <w:t xml:space="preserve">Clause 4 — Engagement de travail des Associés opérationnels</w:t>
      </w:r>
    </w:p>
    <w:p>
      <w:pPr>
        <w:spacing w:after="100" w:line="276"/>
        <w:jc w:val="both"/>
      </w:pPr>
      <w:r>
        <w:rPr>
          <w:sz w:val="22"/>
          <w:szCs w:val="22"/>
        </w:rPr>
        <w:t xml:space="preserve">Chaque Associé opérationnel s'engage à consacrer son activité professionnelle à temps plein à la Société, en cohérence avec les prestations accessoires prévues, le cas échéant, par les statuts. Cet engagement conditionne l'acquisition progressive de ses parts (clause 5). Tout manquement grave ou abandon caractérise un cas de Bad leaver (clause 6).</w:t>
      </w:r>
    </w:p>
    <w:p>
      <w:pPr>
        <w:pStyle w:val="Heading1"/>
      </w:pPr>
      <w:r>
        <w:t xml:space="preserve">Clause 5 — Acquisition progressive des parts (vesting)</w:t>
      </w:r>
    </w:p>
    <w:p>
      <w:pPr>
        <w:spacing w:after="100" w:line="276"/>
        <w:jc w:val="both"/>
      </w:pPr>
      <w:r>
        <w:rPr>
          <w:sz w:val="22"/>
          <w:szCs w:val="22"/>
        </w:rPr>
        <w:t xml:space="preserve">Les parts des Associés opérationnels sont soumises à un calendrier d'acquisition progressive d'une durée totale de ____________ (par défaut : 4 ans), à compter du ____________ (date de constitution ou d'ouverture du restaurant), selon les modalités suivantes :</w:t>
      </w:r>
    </w:p>
    <w:p>
      <w:pPr>
        <w:pStyle w:val="ListParagraph"/>
        <w:numPr>
          <w:ilvl w:val="0"/>
          <w:numId w:val="2"/>
        </w:numPr>
        <w:spacing w:after="60" w:line="270"/>
        <w:jc w:val="both"/>
      </w:pPr>
      <w:r>
        <w:rPr>
          <w:sz w:val="22"/>
          <w:szCs w:val="22"/>
        </w:rPr>
        <w:t xml:space="preserve">Période de carence (cliff) : aucune part n'est acquise pendant les ____________ premiers mois (par défaut : 12). À l'issue de cette période, ____________ % des parts (par défaut : 25 %) sont acquises en une fois.</w:t>
      </w:r>
    </w:p>
    <w:p>
      <w:pPr>
        <w:pStyle w:val="ListParagraph"/>
        <w:numPr>
          <w:ilvl w:val="0"/>
          <w:numId w:val="2"/>
        </w:numPr>
        <w:spacing w:after="60" w:line="270"/>
        <w:jc w:val="both"/>
      </w:pPr>
      <w:r>
        <w:rPr>
          <w:sz w:val="22"/>
          <w:szCs w:val="22"/>
        </w:rPr>
        <w:t xml:space="preserve">Acquisition ultérieure : le solde s'acquiert ensuite par fractions égales ____________ (par défaut : trimestrielles) sur les ____________ mois restants (par défaut : 36).</w:t>
      </w:r>
    </w:p>
    <w:p>
      <w:pPr>
        <w:spacing w:after="100" w:line="276"/>
        <w:jc w:val="both"/>
      </w:pPr>
      <w:r>
        <w:rPr>
          <w:sz w:val="22"/>
          <w:szCs w:val="22"/>
        </w:rPr>
        <w:t xml:space="preserve">Les parts des Associés investisseurs sont intégralement et définitivement acquises dès l'origine ; elles ne sont pas soumises au vesting.</w:t>
      </w:r>
    </w:p>
    <w:p>
      <w:pPr>
        <w:pBdr>
          <w:left w:val="single" w:color="1F4E79" w:sz="18" w:space="8"/>
        </w:pBdr>
        <w:spacing w:after="100" w:line="264"/>
        <w:ind w:left="200"/>
        <w:jc w:val="both"/>
      </w:pPr>
      <w:r>
        <w:rPr>
          <w:i/>
          <w:iCs/>
          <w:color w:val="555555"/>
          <w:sz w:val="20"/>
          <w:szCs w:val="20"/>
        </w:rPr>
        <w:t xml:space="preserve">Calendrier standard «4 ans / cliff 1 an». À ajuster ensemble : un cliff protège fortement si quelqu'un part dans la 1ère année (il ne garde rien). Le calendrier individuel de chaque opérationnel figure en Annexe A.</w:t>
      </w:r>
    </w:p>
    <w:p>
      <w:pPr>
        <w:pStyle w:val="Heading1"/>
      </w:pPr>
      <w:r>
        <w:t xml:space="preserve">Clause 6 — Départ d'un Associé opérationnel : Good leaver / Bad leaver</w:t>
      </w:r>
    </w:p>
    <w:p>
      <w:pPr>
        <w:spacing w:after="50" w:before="140"/>
      </w:pPr>
      <w:r>
        <w:rPr>
          <w:b/>
          <w:bCs/>
          <w:color w:val="1F4E79"/>
          <w:sz w:val="22"/>
          <w:szCs w:val="22"/>
        </w:rPr>
        <w:t xml:space="preserve">Cas de Good leaver</w:t>
      </w:r>
    </w:p>
    <w:p>
      <w:pPr>
        <w:spacing w:after="100" w:line="276"/>
        <w:jc w:val="both"/>
      </w:pPr>
      <w:r>
        <w:rPr>
          <w:sz w:val="22"/>
          <w:szCs w:val="22"/>
        </w:rPr>
        <w:t xml:space="preserve">Sont notamment considérés comme Good leaver : le décès, l'invalidité permanente, la révocation ou le licenciement sans faute grave, et le départ d'un commun accord écrit des Associés. L'Associé conserve ses Parts acquises ; ses Parts non acquises sont rachetées à la valeur nominale.</w:t>
      </w:r>
    </w:p>
    <w:p>
      <w:pPr>
        <w:spacing w:after="50" w:before="140"/>
      </w:pPr>
      <w:r>
        <w:rPr>
          <w:b/>
          <w:bCs/>
          <w:color w:val="1F4E79"/>
          <w:sz w:val="22"/>
          <w:szCs w:val="22"/>
        </w:rPr>
        <w:t xml:space="preserve">Cas de Bad leaver</w:t>
      </w:r>
    </w:p>
    <w:p>
      <w:pPr>
        <w:spacing w:after="100" w:line="276"/>
        <w:jc w:val="both"/>
      </w:pPr>
      <w:r>
        <w:rPr>
          <w:sz w:val="22"/>
          <w:szCs w:val="22"/>
        </w:rPr>
        <w:t xml:space="preserve">Sont notamment considérés comme Bad leaver : la démission ou l'abandon de poste avant le terme du vesting, la faute grave, le manquement aux obligations de travail (clause 4) ou de non-concurrence (clause 12). Les Parts non acquises sont rachetées à la valeur nominale ; les Parts acquises sont rachetées à ____________ (par défaut : un pourcentage décoté de la valeur réelle, p. ex. 70 %).</w:t>
      </w:r>
    </w:p>
    <w:p>
      <w:pPr>
        <w:pBdr>
          <w:left w:val="single" w:color="1F4E79" w:sz="18" w:space="8"/>
        </w:pBdr>
        <w:spacing w:after="100" w:line="264"/>
        <w:ind w:left="200"/>
        <w:jc w:val="both"/>
      </w:pPr>
      <w:r>
        <w:rPr>
          <w:i/>
          <w:iCs/>
          <w:color w:val="555555"/>
          <w:sz w:val="20"/>
          <w:szCs w:val="20"/>
        </w:rPr>
        <w:t xml:space="preserve">La décote sur les parts acquises d'un Bad leaver est dissuasive et négociable. Si vous préférez plus de douceur, mettez «valeur réelle sans décote» ; si plus de fermeté, abaissez le pourcentage.</w:t>
      </w:r>
    </w:p>
    <w:p>
      <w:pPr>
        <w:pStyle w:val="Heading1"/>
      </w:pPr>
      <w:r>
        <w:t xml:space="preserve">Clause 7 — Rachat des parts et valorisation</w:t>
      </w:r>
    </w:p>
    <w:p>
      <w:pPr>
        <w:spacing w:after="100" w:line="276"/>
        <w:jc w:val="both"/>
      </w:pPr>
      <w:r>
        <w:rPr>
          <w:sz w:val="22"/>
          <w:szCs w:val="22"/>
        </w:rPr>
        <w:t xml:space="preserve">En cas de départ d'un Associé (opérationnel ou investisseur dans les conditions de la clause 11), les autres Associés au prorata, puis la Société, bénéficient d'une option d'achat sur ses parts, et l'Associé sortant d'une option de vente, aux prix suivants :</w:t>
      </w:r>
    </w:p>
    <w:p>
      <w:pPr>
        <w:pStyle w:val="ListParagraph"/>
        <w:numPr>
          <w:ilvl w:val="0"/>
          <w:numId w:val="2"/>
        </w:numPr>
        <w:spacing w:after="60" w:line="270"/>
        <w:jc w:val="both"/>
      </w:pPr>
      <w:r>
        <w:rPr>
          <w:sz w:val="22"/>
          <w:szCs w:val="22"/>
        </w:rPr>
        <w:t xml:space="preserve">Parts non acquises : valeur nominale ;</w:t>
      </w:r>
    </w:p>
    <w:p>
      <w:pPr>
        <w:pStyle w:val="ListParagraph"/>
        <w:numPr>
          <w:ilvl w:val="0"/>
          <w:numId w:val="2"/>
        </w:numPr>
        <w:spacing w:after="60" w:line="270"/>
        <w:jc w:val="both"/>
      </w:pPr>
      <w:r>
        <w:rPr>
          <w:sz w:val="22"/>
          <w:szCs w:val="22"/>
        </w:rPr>
        <w:t xml:space="preserve">Parts acquises d'un Good leaver : valeur réelle ;</w:t>
      </w:r>
    </w:p>
    <w:p>
      <w:pPr>
        <w:pStyle w:val="ListParagraph"/>
        <w:numPr>
          <w:ilvl w:val="0"/>
          <w:numId w:val="2"/>
        </w:numPr>
        <w:spacing w:after="60" w:line="270"/>
        <w:jc w:val="both"/>
      </w:pPr>
      <w:r>
        <w:rPr>
          <w:sz w:val="22"/>
          <w:szCs w:val="22"/>
        </w:rPr>
        <w:t xml:space="preserve">Parts acquises d'un Bad leaver : prix défini à la clause 6.</w:t>
      </w:r>
    </w:p>
    <w:p>
      <w:pPr>
        <w:spacing w:after="100" w:line="276"/>
        <w:jc w:val="both"/>
      </w:pPr>
      <w:r>
        <w:rPr>
          <w:sz w:val="22"/>
          <w:szCs w:val="22"/>
        </w:rPr>
        <w:t xml:space="preserve">La valeur réelle est fixée d'un commun accord. À défaut d'accord dans un délai de ____________ jours, elle est déterminée par un expert indépendant (auditeur) désigné conjointement ou, à défaut, par le Registre du commerce conformément à l'article 353 du Texte refondu de la loi sur les sociétés de capitaux. Le prix est payable comptant ou, au choix de l'acquéreur, de façon échelonnée sur ____________ mois maximum, avec intérêt au taux ____________.</w:t>
      </w:r>
    </w:p>
    <w:p>
      <w:pPr>
        <w:pStyle w:val="Heading1"/>
      </w:pPr>
      <w:r>
        <w:t xml:space="preserve">Clause 8 — Comptes courants d'associés</w:t>
      </w:r>
    </w:p>
    <w:p>
      <w:pPr>
        <w:spacing w:after="100" w:line="276"/>
        <w:jc w:val="both"/>
      </w:pPr>
      <w:r>
        <w:rPr>
          <w:sz w:val="22"/>
          <w:szCs w:val="22"/>
        </w:rPr>
        <w:t xml:space="preserve">Les fonds apportés par les Associés investisseurs au-delà du capital constituent des avances en compte courant d'associé (prêts remboursables), et non du capital social. Chaque avance fait l'objet d'une convention écrite précisant le montant, le taux d'intérêt et les échéances (modèle en Annexe B).</w:t>
      </w:r>
    </w:p>
    <w:p>
      <w:pPr>
        <w:spacing w:after="100" w:line="276"/>
        <w:jc w:val="both"/>
      </w:pPr>
      <w:r>
        <w:rPr>
          <w:sz w:val="22"/>
          <w:szCs w:val="22"/>
        </w:rPr>
        <w:t xml:space="preserve">Les intérêts éventuels respectent les conditions de marché et la convention fiscale France-Espagne. Le remboursement des comptes courants est prioritaire sur toute distribution de dividendes, mais subordonné au maintien d'une trésorerie suffisante : il ne peut intervenir s'il compromet la continuité de l'exploitation.</w:t>
      </w:r>
    </w:p>
    <w:p>
      <w:pPr>
        <w:pBdr>
          <w:left w:val="single" w:color="1F4E79" w:sz="18" w:space="8"/>
        </w:pBdr>
        <w:spacing w:after="100" w:line="264"/>
        <w:ind w:left="200"/>
        <w:jc w:val="both"/>
      </w:pPr>
      <w:r>
        <w:rPr>
          <w:i/>
          <w:iCs/>
          <w:color w:val="555555"/>
          <w:sz w:val="20"/>
          <w:szCs w:val="20"/>
        </w:rPr>
        <w:t xml:space="preserve">Point fiscal : bien documenter ces conventions (montant, taux, échéances) pour éviter une requalification par le fisc espagnol, et coordonner le traitement des intérêts avec le comptable français des investisseurs.</w:t>
      </w:r>
    </w:p>
    <w:p>
      <w:pPr>
        <w:pStyle w:val="Heading1"/>
      </w:pPr>
      <w:r>
        <w:t xml:space="preserve">Clause 9 — Gouvernance : décisions réservées</w:t>
      </w:r>
    </w:p>
    <w:p>
      <w:pPr>
        <w:spacing w:after="100" w:line="276"/>
        <w:jc w:val="both"/>
      </w:pPr>
      <w:r>
        <w:rPr>
          <w:sz w:val="22"/>
          <w:szCs w:val="22"/>
        </w:rPr>
        <w:t xml:space="preserve">Outre les majorités prévues par les statuts, les décisions suivantes requièrent l'accord ____________ (par défaut : unanimité des Associés ou majorité des 3/4) :</w:t>
      </w:r>
    </w:p>
    <w:p>
      <w:pPr>
        <w:pStyle w:val="ListParagraph"/>
        <w:numPr>
          <w:ilvl w:val="0"/>
          <w:numId w:val="2"/>
        </w:numPr>
        <w:spacing w:after="60" w:line="270"/>
        <w:jc w:val="both"/>
      </w:pPr>
      <w:r>
        <w:rPr>
          <w:sz w:val="22"/>
          <w:szCs w:val="22"/>
        </w:rPr>
        <w:t xml:space="preserve">modification de l'objet ou de l'activité de la Société ;</w:t>
      </w:r>
    </w:p>
    <w:p>
      <w:pPr>
        <w:pStyle w:val="ListParagraph"/>
        <w:numPr>
          <w:ilvl w:val="0"/>
          <w:numId w:val="2"/>
        </w:numPr>
        <w:spacing w:after="60" w:line="270"/>
        <w:jc w:val="both"/>
      </w:pPr>
      <w:r>
        <w:rPr>
          <w:sz w:val="22"/>
          <w:szCs w:val="22"/>
        </w:rPr>
        <w:t xml:space="preserve">endettement ou investissement supérieur à ____________ € ;</w:t>
      </w:r>
    </w:p>
    <w:p>
      <w:pPr>
        <w:pStyle w:val="ListParagraph"/>
        <w:numPr>
          <w:ilvl w:val="0"/>
          <w:numId w:val="2"/>
        </w:numPr>
        <w:spacing w:after="60" w:line="270"/>
        <w:jc w:val="both"/>
      </w:pPr>
      <w:r>
        <w:rPr>
          <w:sz w:val="22"/>
          <w:szCs w:val="22"/>
        </w:rPr>
        <w:t xml:space="preserve">cession ou nantissement d'actifs essentiels (fonds de commerce, bail) ;</w:t>
      </w:r>
    </w:p>
    <w:p>
      <w:pPr>
        <w:pStyle w:val="ListParagraph"/>
        <w:numPr>
          <w:ilvl w:val="0"/>
          <w:numId w:val="2"/>
        </w:numPr>
        <w:spacing w:after="60" w:line="270"/>
        <w:jc w:val="both"/>
      </w:pPr>
      <w:r>
        <w:rPr>
          <w:sz w:val="22"/>
          <w:szCs w:val="22"/>
        </w:rPr>
        <w:t xml:space="preserve">admission de nouveaux associés, émission de nouvelles parts ;</w:t>
      </w:r>
    </w:p>
    <w:p>
      <w:pPr>
        <w:pStyle w:val="ListParagraph"/>
        <w:numPr>
          <w:ilvl w:val="0"/>
          <w:numId w:val="2"/>
        </w:numPr>
        <w:spacing w:after="60" w:line="270"/>
        <w:jc w:val="both"/>
      </w:pPr>
      <w:r>
        <w:rPr>
          <w:sz w:val="22"/>
          <w:szCs w:val="22"/>
        </w:rPr>
        <w:t xml:space="preserve">fixation de la rémunération des dirigeants et des prestations accessoires ;</w:t>
      </w:r>
    </w:p>
    <w:p>
      <w:pPr>
        <w:pStyle w:val="ListParagraph"/>
        <w:numPr>
          <w:ilvl w:val="0"/>
          <w:numId w:val="2"/>
        </w:numPr>
        <w:spacing w:after="60" w:line="270"/>
        <w:jc w:val="both"/>
      </w:pPr>
      <w:r>
        <w:rPr>
          <w:sz w:val="22"/>
          <w:szCs w:val="22"/>
        </w:rPr>
        <w:t xml:space="preserve">conventions conclues entre la Société et un Associé ou un proche ;</w:t>
      </w:r>
    </w:p>
    <w:p>
      <w:pPr>
        <w:pStyle w:val="ListParagraph"/>
        <w:numPr>
          <w:ilvl w:val="0"/>
          <w:numId w:val="2"/>
        </w:numPr>
        <w:spacing w:after="60" w:line="270"/>
        <w:jc w:val="both"/>
      </w:pPr>
      <w:r>
        <w:rPr>
          <w:sz w:val="22"/>
          <w:szCs w:val="22"/>
        </w:rPr>
        <w:t xml:space="preserve">décision de distribuer ou de mettre en réserve les bénéfices ;</w:t>
      </w:r>
    </w:p>
    <w:p>
      <w:pPr>
        <w:pStyle w:val="ListParagraph"/>
        <w:numPr>
          <w:ilvl w:val="0"/>
          <w:numId w:val="2"/>
        </w:numPr>
        <w:spacing w:after="60" w:line="270"/>
        <w:jc w:val="both"/>
      </w:pPr>
      <w:r>
        <w:rPr>
          <w:sz w:val="22"/>
          <w:szCs w:val="22"/>
        </w:rPr>
        <w:t xml:space="preserve">dissolution, transformation, fusion ou cession globale.</w:t>
      </w:r>
    </w:p>
    <w:p>
      <w:pPr>
        <w:pStyle w:val="Heading1"/>
      </w:pPr>
      <w:r>
        <w:t xml:space="preserve">Clause 10 — Information des Associés</w:t>
      </w:r>
    </w:p>
    <w:p>
      <w:pPr>
        <w:spacing w:after="100" w:line="276"/>
        <w:jc w:val="both"/>
      </w:pPr>
      <w:r>
        <w:rPr>
          <w:sz w:val="22"/>
          <w:szCs w:val="22"/>
        </w:rPr>
        <w:t xml:space="preserve">Le gérant communique aux Associés investisseurs un reporting ____________ (par défaut : trimestriel) comprenant la situation de trésorerie et l'activité, ainsi que le budget annuel. Tout Associé peut consulter les livres et comptes de la Société dans les conditions légales.</w:t>
      </w:r>
    </w:p>
    <w:p>
      <w:pPr>
        <w:pStyle w:val="Heading1"/>
      </w:pPr>
      <w:r>
        <w:t xml:space="preserve">Clause 11 — Cession des parts</w:t>
      </w:r>
    </w:p>
    <w:p>
      <w:pPr>
        <w:spacing w:after="50" w:before="140"/>
      </w:pPr>
      <w:r>
        <w:rPr>
          <w:b/>
          <w:bCs/>
          <w:color w:val="1F4E79"/>
          <w:sz w:val="22"/>
          <w:szCs w:val="22"/>
        </w:rPr>
        <w:t xml:space="preserve">Inaliénabilité (lock-up)</w:t>
      </w:r>
    </w:p>
    <w:p>
      <w:pPr>
        <w:spacing w:after="100" w:line="276"/>
        <w:jc w:val="both"/>
      </w:pPr>
      <w:r>
        <w:rPr>
          <w:sz w:val="22"/>
          <w:szCs w:val="22"/>
        </w:rPr>
        <w:t xml:space="preserve">Les parts sont inaliénables pendant ____________ (par défaut : la durée du vesting), sauf accord unanime des Associés.</w:t>
      </w:r>
    </w:p>
    <w:p>
      <w:pPr>
        <w:spacing w:after="50" w:before="140"/>
      </w:pPr>
      <w:r>
        <w:rPr>
          <w:b/>
          <w:bCs/>
          <w:color w:val="1F4E79"/>
          <w:sz w:val="22"/>
          <w:szCs w:val="22"/>
        </w:rPr>
        <w:t xml:space="preserve">Droit de préemption</w:t>
      </w:r>
    </w:p>
    <w:p>
      <w:pPr>
        <w:spacing w:after="100" w:line="276"/>
        <w:jc w:val="both"/>
      </w:pPr>
      <w:r>
        <w:rPr>
          <w:sz w:val="22"/>
          <w:szCs w:val="22"/>
        </w:rPr>
        <w:t xml:space="preserve">Toute cession projetée au profit d'un tiers est d'abord offerte aux autres Associés, au prorata de leur participation, aux mêmes prix et conditions, en cohérence avec les statuts.</w:t>
      </w:r>
    </w:p>
    <w:p>
      <w:pPr>
        <w:spacing w:after="50" w:before="140"/>
      </w:pPr>
      <w:r>
        <w:rPr>
          <w:b/>
          <w:bCs/>
          <w:color w:val="1F4E79"/>
          <w:sz w:val="22"/>
          <w:szCs w:val="22"/>
        </w:rPr>
        <w:t xml:space="preserve">Sortie conjointe (tag-along)</w:t>
      </w:r>
    </w:p>
    <w:p>
      <w:pPr>
        <w:spacing w:after="100" w:line="276"/>
        <w:jc w:val="both"/>
      </w:pPr>
      <w:r>
        <w:rPr>
          <w:sz w:val="22"/>
          <w:szCs w:val="22"/>
        </w:rPr>
        <w:t xml:space="preserve">Si un ou plusieurs Associés cèdent à un tiers une participation conférant le contrôle, les autres Associés peuvent exiger que le tiers acquière également leurs parts, aux mêmes conditions.</w:t>
      </w:r>
    </w:p>
    <w:p>
      <w:pPr>
        <w:spacing w:after="50" w:before="140"/>
      </w:pPr>
      <w:r>
        <w:rPr>
          <w:b/>
          <w:bCs/>
          <w:color w:val="1F4E79"/>
          <w:sz w:val="22"/>
          <w:szCs w:val="22"/>
        </w:rPr>
        <w:t xml:space="preserve">Obligation de sortie conjointe (drag-along)</w:t>
      </w:r>
    </w:p>
    <w:p>
      <w:pPr>
        <w:spacing w:after="100" w:line="276"/>
        <w:jc w:val="both"/>
      </w:pPr>
      <w:r>
        <w:rPr>
          <w:sz w:val="22"/>
          <w:szCs w:val="22"/>
        </w:rPr>
        <w:t xml:space="preserve">Si des Associés représentant au moins ____________ % du capital (par défaut : 75 %) acceptent une offre de bonne foi d'un tiers portant sur 100 % du capital, ils peuvent obliger les autres Associés à céder leurs parts aux mêmes conditions.</w:t>
      </w:r>
    </w:p>
    <w:p>
      <w:pPr>
        <w:pStyle w:val="Heading1"/>
      </w:pPr>
      <w:r>
        <w:t xml:space="preserve">Clause 12 — Non-concurrence et non-débauchage</w:t>
      </w:r>
    </w:p>
    <w:p>
      <w:pPr>
        <w:spacing w:after="100" w:line="276"/>
        <w:jc w:val="both"/>
      </w:pPr>
      <w:r>
        <w:rPr>
          <w:sz w:val="22"/>
          <w:szCs w:val="22"/>
        </w:rPr>
        <w:t xml:space="preserve">Pendant la durée du présent pacte et pendant ____________ ans (par défaut : 2) après leur départ, les Associés opérationnels s'interdisent d'exploiter ou de participer à une activité de restauration concurrente dans un rayon de ____________ (par défaut : à Maspalomas / Grande Canarie), ainsi que de débaucher le personnel de la Société.</w:t>
      </w:r>
    </w:p>
    <w:p>
      <w:pPr>
        <w:pStyle w:val="Heading1"/>
      </w:pPr>
      <w:r>
        <w:t xml:space="preserve">Clause 13 — Politique de distribution</w:t>
      </w:r>
    </w:p>
    <w:p>
      <w:pPr>
        <w:spacing w:after="100" w:line="276"/>
        <w:jc w:val="both"/>
      </w:pPr>
      <w:r>
        <w:rPr>
          <w:sz w:val="22"/>
          <w:szCs w:val="22"/>
        </w:rPr>
        <w:t xml:space="preserve">Les Associés conviennent de privilégier le réinvestissement des bénéfices durant les ____________ premiers exercices (le cas échéant via la Réserve pour Investissements aux Canaries — RIC). Toute distribution est décidée selon la clause 9 et s'effectue proportionnellement au capital.</w:t>
      </w:r>
    </w:p>
    <w:p>
      <w:pPr>
        <w:pStyle w:val="Heading1"/>
      </w:pPr>
      <w:r>
        <w:t xml:space="preserve">Clause 14 — Décès et invalidité</w:t>
      </w:r>
    </w:p>
    <w:p>
      <w:pPr>
        <w:spacing w:after="100" w:line="276"/>
        <w:jc w:val="both"/>
      </w:pPr>
      <w:r>
        <w:rPr>
          <w:sz w:val="22"/>
          <w:szCs w:val="22"/>
        </w:rPr>
        <w:t xml:space="preserve">Le décès ou l'invalidité permanente d'un Associé est traité comme un cas de Good leaver. Les Associés survivants bénéficient du droit de préemption prévu par les statuts sur les parts transmises.</w:t>
      </w:r>
    </w:p>
    <w:p>
      <w:pPr>
        <w:pStyle w:val="Heading1"/>
      </w:pPr>
      <w:r>
        <w:t xml:space="preserve">Clause 15 — Durée</w:t>
      </w:r>
    </w:p>
    <w:p>
      <w:pPr>
        <w:spacing w:after="100" w:line="276"/>
        <w:jc w:val="both"/>
      </w:pPr>
      <w:r>
        <w:rPr>
          <w:sz w:val="22"/>
          <w:szCs w:val="22"/>
        </w:rPr>
        <w:t xml:space="preserve">Le présent pacte produit ses effets tant que ses signataires demeurent Associés de la Société, et au minimum pendant ____________ ans, renouvelable par accord écrit.</w:t>
      </w:r>
    </w:p>
    <w:p>
      <w:pPr>
        <w:pStyle w:val="Heading1"/>
      </w:pPr>
      <w:r>
        <w:t xml:space="preserve">Clause 16 — Confidentialité</w:t>
      </w:r>
    </w:p>
    <w:p>
      <w:pPr>
        <w:spacing w:after="100" w:line="276"/>
        <w:jc w:val="both"/>
      </w:pPr>
      <w:r>
        <w:rPr>
          <w:sz w:val="22"/>
          <w:szCs w:val="22"/>
        </w:rPr>
        <w:t xml:space="preserve">Les Associés s'obligent à garder confidentiels le contenu du présent pacte et les informations relatives à la Société, sauf obligation légale ou accord écrit.</w:t>
      </w:r>
    </w:p>
    <w:p>
      <w:pPr>
        <w:pStyle w:val="Heading1"/>
      </w:pPr>
      <w:r>
        <w:t xml:space="preserve">Clause 17 — Droit applicable et règlement des litiges</w:t>
      </w:r>
    </w:p>
    <w:p>
      <w:pPr>
        <w:spacing w:after="100" w:line="276"/>
        <w:jc w:val="both"/>
      </w:pPr>
      <w:r>
        <w:rPr>
          <w:sz w:val="22"/>
          <w:szCs w:val="22"/>
        </w:rPr>
        <w:t xml:space="preserve">Le présent pacte est régi par le droit espagnol. Tout différend sera soumis à une médiation préalable et, à défaut d'accord, aux juridictions compétentes du siège social (San Bartolomé de Tirajana / Las Palmas), sans préjudice des règles de compétence impératives.</w:t>
      </w:r>
    </w:p>
    <w:p>
      <w:pPr>
        <w:pStyle w:val="Heading1"/>
      </w:pPr>
      <w:r>
        <w:t xml:space="preserve">Clause 18 — Dispositions diverses</w:t>
      </w:r>
    </w:p>
    <w:p>
      <w:pPr>
        <w:spacing w:after="100" w:line="276"/>
        <w:jc w:val="both"/>
      </w:pPr>
      <w:r>
        <w:rPr>
          <w:sz w:val="22"/>
          <w:szCs w:val="22"/>
        </w:rPr>
        <w:t xml:space="preserve">La nullité d'une stipulation n'affecte pas la validité des autres. Le présent pacte, avec ses annexes, exprime l'intégralité de l'accord des Associés et annule tout accord antérieur de même objet. Les notifications se font par écrit aux adresses figurant en tête des présentes. Annexes : A) calendriers individuels de vesting ; B) modèle de convention de compte courant d'associé.</w:t>
      </w:r>
    </w:p>
    <w:p>
      <w:pPr>
        <w:spacing w:after="80" w:before="300"/>
        <w:jc w:val="right"/>
      </w:pPr>
      <w:r>
        <w:rPr>
          <w:sz w:val="22"/>
          <w:szCs w:val="22"/>
        </w:rPr>
        <w:t xml:space="preserve">Fait à ____________, le ____________ / ____________ / ____________, en quatre exemplaires originaux.</w:t>
      </w:r>
    </w:p>
    <w:p>
      <w:pPr>
        <w:spacing w:before="360"/>
        <w:jc w:val="center"/>
      </w:pPr>
      <w:r>
        <w:rPr>
          <w:sz w:val="22"/>
          <w:szCs w:val="22"/>
        </w:rPr>
        <w:t xml:space="preserve">_____________________            _____________________</w:t>
      </w:r>
    </w:p>
    <w:p>
      <w:pPr>
        <w:spacing w:before="60"/>
        <w:jc w:val="center"/>
      </w:pPr>
      <w:r>
        <w:rPr>
          <w:color w:val="777777"/>
          <w:sz w:val="18"/>
          <w:szCs w:val="18"/>
        </w:rPr>
        <w:t xml:space="preserve">Associé (1)                                   Associé (2)</w:t>
      </w:r>
    </w:p>
    <w:p>
      <w:pPr>
        <w:spacing w:before="300"/>
        <w:jc w:val="center"/>
      </w:pPr>
      <w:r>
        <w:rPr>
          <w:sz w:val="22"/>
          <w:szCs w:val="22"/>
        </w:rPr>
        <w:t xml:space="preserve">_____________________            _____________________</w:t>
      </w:r>
    </w:p>
    <w:p>
      <w:pPr>
        <w:spacing w:before="60"/>
        <w:jc w:val="center"/>
      </w:pPr>
      <w:r>
        <w:rPr>
          <w:color w:val="777777"/>
          <w:sz w:val="18"/>
          <w:szCs w:val="18"/>
        </w:rPr>
        <w:t xml:space="preserve">Associé (3)                                   Associé (4)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30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2026-06-30T00:29:32.318Z</dcterms:created>
  <dcterms:modified xsi:type="dcterms:W3CDTF">2026-06-30T00:29:32.319Z</dcterms:modified>
</cp:coreProperties>
</file>

<file path=docProps/custom.xml><?xml version="1.0" encoding="utf-8"?>
<Properties xmlns="http://schemas.openxmlformats.org/officeDocument/2006/custom-properties" xmlns:vt="http://schemas.openxmlformats.org/officeDocument/2006/docPropsVTypes"/>
</file>