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36"/>
          <w:szCs w:val="36"/>
        </w:rPr>
        <w:t xml:space="preserve">STATUTS DE LA SOCIÉTÉ</w:t>
      </w:r>
    </w:p>
    <w:p>
      <w:pPr>
        <w:spacing w:after="60"/>
        <w:jc w:val="center"/>
      </w:pPr>
      <w:r>
        <w:rPr>
          <w:b/>
          <w:bCs/>
          <w:sz w:val="26"/>
          <w:szCs w:val="26"/>
        </w:rPr>
        <w:t xml:space="preserve">«____________, SOCIÉTÉ À RESPONSABILITÉ LIMITÉE»</w:t>
      </w:r>
    </w:p>
    <w:p>
      <w:pPr>
        <w:spacing w:after="40"/>
        <w:jc w:val="center"/>
      </w:pPr>
      <w:r>
        <w:rPr>
          <w:sz w:val="22"/>
          <w:szCs w:val="22"/>
        </w:rPr>
        <w:t xml:space="preserve">(en droit espagnol : Sociedad de Responsabilidad Limitada — en abrégé «____________, S.L.»)</w:t>
      </w:r>
    </w:p>
    <w:p>
      <w:pPr>
        <w:spacing w:after="200"/>
        <w:jc w:val="center"/>
      </w:pPr>
      <w:r>
        <w:rPr>
          <w:color w:val="555555"/>
          <w:sz w:val="20"/>
          <w:szCs w:val="20"/>
        </w:rPr>
        <w:t xml:space="preserve">Siège : Maspalomas, commune de San Bartolomé de Tirajana — Las Palmas (Grande Canarie)</w:t>
      </w:r>
    </w:p>
    <w:p>
      <w:pPr>
        <w:pBdr>
          <w:left w:val="single" w:color="1F4E79" w:sz="18" w:space="8"/>
        </w:pBdr>
        <w:spacing w:after="100" w:line="264"/>
        <w:ind w:left="200"/>
        <w:jc w:val="both"/>
      </w:pPr>
      <w:r>
        <w:rPr>
          <w:i/>
          <w:iCs/>
          <w:color w:val="555555"/>
          <w:sz w:val="20"/>
          <w:szCs w:val="20"/>
        </w:rPr>
        <w:t xml:space="preserve">VERSION FRANÇAISE DE TRAVAIL — traduction non officielle, destinée à la relecture et à la vérification. Seule la version espagnole sera élevée en acte authentique (escritura pública) devant notaire et déposée au Registre du commerce (Registro Mercantil). Les espaces (______) sont à compléter avant signature. Ne constitue pas un conseil juridique définitif.</w:t>
      </w:r>
    </w:p>
    <w:p>
      <w:pPr>
        <w:pStyle w:val="Heading1"/>
        <w:spacing w:after="160" w:before="320"/>
      </w:pPr>
      <w:r>
        <w:t xml:space="preserve">TITRE I — DÉNOMINATION, DURÉE, SIÈGE ET OBJET</w:t>
      </w:r>
    </w:p>
    <w:p>
      <w:pPr>
        <w:spacing w:after="80" w:before="220"/>
      </w:pPr>
      <w:r>
        <w:rPr>
          <w:b/>
          <w:bCs/>
          <w:sz w:val="22"/>
          <w:szCs w:val="22"/>
        </w:rPr>
        <w:t xml:space="preserve">Article 1 — Dénomination</w:t>
      </w:r>
    </w:p>
    <w:p>
      <w:pPr>
        <w:spacing w:after="100" w:line="276"/>
        <w:jc w:val="both"/>
      </w:pPr>
      <w:r>
        <w:rPr>
          <w:sz w:val="22"/>
          <w:szCs w:val="22"/>
        </w:rPr>
        <w:t xml:space="preserve">La Société est dénommée «____________, SOCIÉTÉ À RESPONSABILITÉ LIMITÉE». Elle est régie par son acte de constitution, par les présents statuts et, pour le surplus, par le Texte refondu de la loi sur les sociétés de capitaux (Texto Refundido de la Ley de Sociedades de Capital), approuvé par le Décret royal législatif 1/2010 du 2 juillet, ainsi que par les autres dispositions légales applicables.</w:t>
      </w:r>
    </w:p>
    <w:p>
      <w:pPr>
        <w:spacing w:after="80" w:before="220"/>
      </w:pPr>
      <w:r>
        <w:rPr>
          <w:b/>
          <w:bCs/>
          <w:sz w:val="22"/>
          <w:szCs w:val="22"/>
        </w:rPr>
        <w:t xml:space="preserve">Article 2 — Durée</w:t>
      </w:r>
    </w:p>
    <w:p>
      <w:pPr>
        <w:spacing w:after="100" w:line="276"/>
        <w:jc w:val="both"/>
      </w:pPr>
      <w:r>
        <w:rPr>
          <w:sz w:val="22"/>
          <w:szCs w:val="22"/>
        </w:rPr>
        <w:t xml:space="preserve">La Société a une durée indéfinie. Elle commence ses opérations sociales le jour de la signature de l'acte authentique de constitution, sans préjudice des conséquences légales prévues pour les actes et contrats conclus au nom de la Société avant son inscription au Registre du commerce.</w:t>
      </w:r>
    </w:p>
    <w:p>
      <w:pPr>
        <w:spacing w:after="80" w:before="220"/>
      </w:pPr>
      <w:r>
        <w:rPr>
          <w:b/>
          <w:bCs/>
          <w:sz w:val="22"/>
          <w:szCs w:val="22"/>
        </w:rPr>
        <w:t xml:space="preserve">Article 3 — Siège social</w:t>
      </w:r>
    </w:p>
    <w:p>
      <w:pPr>
        <w:spacing w:after="100" w:line="276"/>
        <w:jc w:val="both"/>
      </w:pPr>
      <w:r>
        <w:rPr>
          <w:sz w:val="22"/>
          <w:szCs w:val="22"/>
        </w:rPr>
        <w:t xml:space="preserve">Le siège social est fixé dans la commune de San Bartolomé de Tirajana (Maspalomas), Las Palmas, rue ______________________, n° ____________, code postal ____________.</w:t>
      </w:r>
    </w:p>
    <w:p>
      <w:pPr>
        <w:spacing w:after="100" w:line="276"/>
        <w:jc w:val="both"/>
      </w:pPr>
      <w:r>
        <w:rPr>
          <w:sz w:val="22"/>
          <w:szCs w:val="22"/>
        </w:rPr>
        <w:t xml:space="preserve">L'organe d'administration pourra créer, supprimer ou transférer des succursales, agences ou délégations en tout point du territoire national ou de l'étranger, et déplacer le siège à l'intérieur de la même commune.</w:t>
      </w:r>
    </w:p>
    <w:p>
      <w:pPr>
        <w:spacing w:after="80" w:before="220"/>
      </w:pPr>
      <w:r>
        <w:rPr>
          <w:b/>
          <w:bCs/>
          <w:sz w:val="22"/>
          <w:szCs w:val="22"/>
        </w:rPr>
        <w:t xml:space="preserve">Article 4 — Objet social</w:t>
      </w:r>
    </w:p>
    <w:p>
      <w:pPr>
        <w:spacing w:after="100" w:line="276"/>
        <w:jc w:val="both"/>
      </w:pPr>
      <w:r>
        <w:rPr>
          <w:sz w:val="22"/>
          <w:szCs w:val="22"/>
        </w:rPr>
        <w:t xml:space="preserve">La Société a pour objet l'exploitation d'établissements de restauration et d'hôtellerie-restauration (restauración y hostelería), comprenant notamment :</w:t>
      </w:r>
    </w:p>
    <w:p>
      <w:pPr>
        <w:spacing w:after="80" w:line="276"/>
        <w:ind w:left="360" w:hanging="360"/>
        <w:jc w:val="both"/>
      </w:pPr>
      <w:r>
        <w:rPr>
          <w:b/>
          <w:bCs/>
          <w:sz w:val="22"/>
          <w:szCs w:val="22"/>
        </w:rPr>
        <w:t xml:space="preserve">a) </w:t>
      </w:r>
      <w:r>
        <w:rPr>
          <w:sz w:val="22"/>
          <w:szCs w:val="22"/>
        </w:rPr>
        <w:t xml:space="preserve">l'activité de restaurants et de points de restauration (code CNAE 5610) ;</w:t>
      </w:r>
    </w:p>
    <w:p>
      <w:pPr>
        <w:spacing w:after="80" w:line="276"/>
        <w:ind w:left="360" w:hanging="360"/>
        <w:jc w:val="both"/>
      </w:pPr>
      <w:r>
        <w:rPr>
          <w:b/>
          <w:bCs/>
          <w:sz w:val="22"/>
          <w:szCs w:val="22"/>
        </w:rPr>
        <w:t xml:space="preserve">b) </w:t>
      </w:r>
      <w:r>
        <w:rPr>
          <w:sz w:val="22"/>
          <w:szCs w:val="22"/>
        </w:rPr>
        <w:t xml:space="preserve">le service et la fourniture de boissons dans les bars, cafétérias et établissements similaires (CNAE 5630) ;</w:t>
      </w:r>
    </w:p>
    <w:p>
      <w:pPr>
        <w:spacing w:after="80" w:line="276"/>
        <w:ind w:left="360" w:hanging="360"/>
        <w:jc w:val="both"/>
      </w:pPr>
      <w:r>
        <w:rPr>
          <w:b/>
          <w:bCs/>
          <w:sz w:val="22"/>
          <w:szCs w:val="22"/>
        </w:rPr>
        <w:t xml:space="preserve">c) </w:t>
      </w:r>
      <w:r>
        <w:rPr>
          <w:sz w:val="22"/>
          <w:szCs w:val="22"/>
        </w:rPr>
        <w:t xml:space="preserve">la fourniture de repas préparés, le traiteur et le service de repas pour événements (CNAE 5621 et 5629) ;</w:t>
      </w:r>
    </w:p>
    <w:p>
      <w:pPr>
        <w:spacing w:after="80" w:line="276"/>
        <w:ind w:left="360" w:hanging="360"/>
        <w:jc w:val="both"/>
      </w:pPr>
      <w:r>
        <w:rPr>
          <w:b/>
          <w:bCs/>
          <w:sz w:val="22"/>
          <w:szCs w:val="22"/>
        </w:rPr>
        <w:t xml:space="preserve">d) </w:t>
      </w:r>
      <w:r>
        <w:rPr>
          <w:sz w:val="22"/>
          <w:szCs w:val="22"/>
        </w:rPr>
        <w:t xml:space="preserve">le service de repas et de boissons à emporter et à domicile ;</w:t>
      </w:r>
    </w:p>
    <w:p>
      <w:pPr>
        <w:spacing w:after="80" w:line="276"/>
        <w:ind w:left="360" w:hanging="360"/>
        <w:jc w:val="both"/>
      </w:pPr>
      <w:r>
        <w:rPr>
          <w:b/>
          <w:bCs/>
          <w:sz w:val="22"/>
          <w:szCs w:val="22"/>
        </w:rPr>
        <w:t xml:space="preserve">e) </w:t>
      </w:r>
      <w:r>
        <w:rPr>
          <w:sz w:val="22"/>
          <w:szCs w:val="22"/>
        </w:rPr>
        <w:t xml:space="preserve">l'organisation et la tenue d'événements gastronomiques et de restauration.</w:t>
      </w:r>
    </w:p>
    <w:p>
      <w:pPr>
        <w:spacing w:after="100" w:line="276"/>
        <w:jc w:val="both"/>
      </w:pPr>
      <w:r>
        <w:rPr>
          <w:sz w:val="22"/>
          <w:szCs w:val="22"/>
        </w:rPr>
        <w:t xml:space="preserve">Sont exclues toutes les activités dont l'exercice exige des conditions particulières que la Société ne remplit pas. Si l'une des activités énumérées requiert une autorisation administrative, une licence ou un titre professionnel, elle ne sera exercée qu'après obtention des autorisations ou licences requises et, le cas échéant, par une personne disposant de la qualification exigée.</w:t>
      </w:r>
    </w:p>
    <w:p>
      <w:pPr>
        <w:pStyle w:val="Heading1"/>
        <w:spacing w:after="160" w:before="320"/>
      </w:pPr>
      <w:r>
        <w:t xml:space="preserve">TITRE II — CAPITAL SOCIAL ET PARTS SOCIALES</w:t>
      </w:r>
    </w:p>
    <w:p>
      <w:pPr>
        <w:spacing w:after="80" w:before="220"/>
      </w:pPr>
      <w:r>
        <w:rPr>
          <w:b/>
          <w:bCs/>
          <w:sz w:val="22"/>
          <w:szCs w:val="22"/>
        </w:rPr>
        <w:t xml:space="preserve">Article 5 — Capital social</w:t>
      </w:r>
    </w:p>
    <w:p>
      <w:pPr>
        <w:spacing w:after="100" w:line="276"/>
        <w:jc w:val="both"/>
      </w:pPr>
      <w:r>
        <w:rPr>
          <w:sz w:val="22"/>
          <w:szCs w:val="22"/>
        </w:rPr>
        <w:t xml:space="preserve">Le capital social est fixé à la somme de ____________ EUROS (____________ €), divisé en ____________ parts sociales, toutes égales, cumulables et indivisibles, d'une valeur nominale de ____________ euros chacune, numérotées de façon continue du n° 1 au n° ____________ inclus.</w:t>
      </w:r>
    </w:p>
    <w:p>
      <w:pPr>
        <w:spacing w:after="100" w:line="276"/>
        <w:jc w:val="both"/>
      </w:pPr>
      <w:r>
        <w:rPr>
          <w:sz w:val="22"/>
          <w:szCs w:val="22"/>
        </w:rPr>
        <w:t xml:space="preserve">Ce capital est intégralement souscrit et entièrement libéré au moyen d'apports en numéraire effectués par les associés fondateurs à titre de propriété, dans la proportion résultant de l'acte de constitution.</w:t>
      </w:r>
    </w:p>
    <w:p>
      <w:pPr>
        <w:pBdr>
          <w:left w:val="single" w:color="1F4E79" w:sz="18" w:space="8"/>
        </w:pBdr>
        <w:spacing w:after="100" w:line="264"/>
        <w:ind w:left="200"/>
        <w:jc w:val="both"/>
      </w:pPr>
      <w:r>
        <w:rPr>
          <w:i/>
          <w:iCs/>
          <w:color w:val="555555"/>
          <w:sz w:val="20"/>
          <w:szCs w:val="20"/>
        </w:rPr>
        <w:t xml:space="preserve">Capital minimum : depuis la loi 18/2022 («Crea y Crece»), une S.L. peut être constituée avec un capital inférieur à 3 000 € (voire 1 €), mais avec des obligations de réserve renforcée et une responsabilité des associés. Il est recommandé de fixer 3 000 € ou plus. La répartition 25 % / 25 % / 25 % / 25 % entre les quatre associés figure dans le tableau en annexe.</w:t>
      </w:r>
    </w:p>
    <w:p>
      <w:pPr>
        <w:spacing w:after="80" w:before="220"/>
      </w:pPr>
      <w:r>
        <w:rPr>
          <w:b/>
          <w:bCs/>
          <w:sz w:val="22"/>
          <w:szCs w:val="22"/>
        </w:rPr>
        <w:t xml:space="preserve">Article 6 — Prestations accessoires (article optionnel)</w:t>
      </w:r>
    </w:p>
    <w:p>
      <w:pPr>
        <w:spacing w:after="100" w:line="276"/>
        <w:jc w:val="both"/>
      </w:pPr>
      <w:r>
        <w:rPr>
          <w:sz w:val="22"/>
          <w:szCs w:val="22"/>
        </w:rPr>
        <w:t xml:space="preserve">Les associés titulaires des parts numéros </w:t>
      </w:r>
      <w:r>
        <w:rPr>
          <w:sz w:val="22"/>
          <w:szCs w:val="22"/>
        </w:rPr>
        <w:t xml:space="preserve">____________ à ____________</w:t>
      </w:r>
      <w:r>
        <w:rPr>
          <w:sz w:val="22"/>
          <w:szCs w:val="22"/>
        </w:rPr>
        <w:t xml:space="preserve"> sont tenus de réaliser, au profit de la Société et à temps plein, les prestations accessoires (prestaciones accesorias) consistant en la fourniture effective de leurs services et de leur travail personnel dans l'exploitation de l'établissement. Ces prestations sont rémunérées par une somme mensuelle fixée chaque exercice par l'assemblée générale, en fonction de l'implication, des fonctions et de la responsabilité de chaque associé. L'inexécution, totale ou partielle, de ces prestations accessoires constitue une cause d'exclusion de l'associé dans les conditions prévues par la loi.</w:t>
      </w:r>
    </w:p>
    <w:p>
      <w:pPr>
        <w:pBdr>
          <w:left w:val="single" w:color="1F4E79" w:sz="18" w:space="8"/>
        </w:pBdr>
        <w:spacing w:after="100" w:line="264"/>
        <w:ind w:left="200"/>
        <w:jc w:val="both"/>
      </w:pPr>
      <w:r>
        <w:rPr>
          <w:i/>
          <w:iCs/>
          <w:color w:val="555555"/>
          <w:sz w:val="20"/>
          <w:szCs w:val="20"/>
        </w:rPr>
        <w:t xml:space="preserve">Article OPTIONNEL. Il formalise l'obligation de travail des deux associés opérationnels (la «sueur» apportée) et permet leur exclusion s'ils cessent de travailler. Le détail du vesting, de la rémunération et des conditions de sortie doit figurer dans le PACTE D'ASSOCIÉS privé, et non dans ces statuts (qui sont publics et inscrits au Registre). Peut être supprimé si l'on préfère tout régler dans le pacte.</w:t>
      </w:r>
    </w:p>
    <w:p>
      <w:pPr>
        <w:spacing w:after="80" w:before="220"/>
      </w:pPr>
      <w:r>
        <w:rPr>
          <w:b/>
          <w:bCs/>
          <w:sz w:val="22"/>
          <w:szCs w:val="22"/>
        </w:rPr>
        <w:t xml:space="preserve">Article 7 — Régime de cession des parts sociales</w:t>
      </w:r>
    </w:p>
    <w:p>
      <w:pPr>
        <w:spacing w:after="100" w:line="276"/>
        <w:jc w:val="both"/>
      </w:pPr>
      <w:r>
        <w:rPr>
          <w:sz w:val="22"/>
          <w:szCs w:val="22"/>
        </w:rPr>
        <w:t xml:space="preserve">A) Cessions volontaires entre vifs.</w:t>
      </w:r>
    </w:p>
    <w:p>
      <w:pPr>
        <w:spacing w:after="100" w:line="276"/>
        <w:jc w:val="both"/>
      </w:pPr>
      <w:r>
        <w:rPr>
          <w:sz w:val="22"/>
          <w:szCs w:val="22"/>
        </w:rPr>
        <w:t xml:space="preserve">Est libre toute cession volontaire de parts réalisée entre associés, ainsi que celle réalisée au profit du conjoint, d'un ascendant ou d'un descendant de l'associé, ou au profit de sociétés appartenant au même groupe que le cédant. Les autres cessions entre vifs sont soumises aux règles et limitations de l'article 107 du Texte refondu de la loi sur les sociétés de capitaux ; les associés et, à défaut, la Société, disposent d'un droit d'acquisition préférentiel.</w:t>
      </w:r>
    </w:p>
    <w:p>
      <w:pPr>
        <w:spacing w:after="100" w:line="276"/>
        <w:jc w:val="both"/>
      </w:pPr>
      <w:r>
        <w:rPr>
          <w:sz w:val="22"/>
          <w:szCs w:val="22"/>
        </w:rPr>
        <w:t xml:space="preserve">B) Cessions à cause de mort.</w:t>
      </w:r>
    </w:p>
    <w:p>
      <w:pPr>
        <w:spacing w:after="100" w:line="276"/>
        <w:jc w:val="both"/>
      </w:pPr>
      <w:r>
        <w:rPr>
          <w:sz w:val="22"/>
          <w:szCs w:val="22"/>
        </w:rPr>
        <w:t xml:space="preserve">L'acquisition de parts par voie successorale confère à l'héritier ou au légataire la qualité d'associé. Toutefois, les associés survivants et, à défaut, la Société, disposent d'un droit d'acquisition préférentiel sur les parts de l'associé décédé, évaluées à leur valeur raisonnable au jour du décès, exerçable dans un délai maximum de trois mois à compter de la communication à la Société de l'acquisition successorale.</w:t>
      </w:r>
    </w:p>
    <w:p>
      <w:pPr>
        <w:spacing w:after="100" w:line="276"/>
        <w:jc w:val="both"/>
      </w:pPr>
      <w:r>
        <w:rPr>
          <w:sz w:val="22"/>
          <w:szCs w:val="22"/>
        </w:rPr>
        <w:t xml:space="preserve">C) Règles communes.</w:t>
      </w:r>
    </w:p>
    <w:p>
      <w:pPr>
        <w:spacing w:after="100" w:line="276"/>
        <w:jc w:val="both"/>
      </w:pPr>
      <w:r>
        <w:rPr>
          <w:sz w:val="22"/>
          <w:szCs w:val="22"/>
        </w:rPr>
        <w:t xml:space="preserve">Toute cession doit être constatée par acte authentique et communiquée par écrit à l'organe d'administration. Les cessions non conformes aux présents statuts et à la loi sont sans effet à l'égard de la Société.</w:t>
      </w:r>
    </w:p>
    <w:p>
      <w:pPr>
        <w:spacing w:after="80" w:before="220"/>
      </w:pPr>
      <w:r>
        <w:rPr>
          <w:b/>
          <w:bCs/>
          <w:sz w:val="22"/>
          <w:szCs w:val="22"/>
        </w:rPr>
        <w:t xml:space="preserve">Article 8 — Registre des associés</w:t>
      </w:r>
    </w:p>
    <w:p>
      <w:pPr>
        <w:spacing w:after="100" w:line="276"/>
        <w:jc w:val="both"/>
      </w:pPr>
      <w:r>
        <w:rPr>
          <w:sz w:val="22"/>
          <w:szCs w:val="22"/>
        </w:rPr>
        <w:t xml:space="preserve">La Société tient un Registre des associés (Libro Registro de Socios), dont la garde et la tenue incombent à l'organe d'administration, où sont consignées la titularité d'origine et les cessions successives, volontaires ou forcées, des parts sociales, ainsi que la constitution de droits réels et autres charges sur celles-ci. Tout associé peut en examiner le contenu et obtenir un certificat des parts et droits inscrits à son nom.</w:t>
      </w:r>
    </w:p>
    <w:p>
      <w:pPr>
        <w:pStyle w:val="Heading1"/>
        <w:spacing w:after="160" w:before="320"/>
      </w:pPr>
      <w:r>
        <w:t xml:space="preserve">TITRE III — ORGANES SOCIAUX</w:t>
      </w:r>
    </w:p>
    <w:p>
      <w:pPr>
        <w:spacing w:after="80" w:before="220"/>
      </w:pPr>
      <w:r>
        <w:rPr>
          <w:b/>
          <w:bCs/>
          <w:sz w:val="22"/>
          <w:szCs w:val="22"/>
        </w:rPr>
        <w:t xml:space="preserve">Article 9 — Assemblée générale</w:t>
      </w:r>
    </w:p>
    <w:p>
      <w:pPr>
        <w:spacing w:after="100" w:line="276"/>
        <w:jc w:val="both"/>
      </w:pPr>
      <w:r>
        <w:rPr>
          <w:sz w:val="22"/>
          <w:szCs w:val="22"/>
        </w:rPr>
        <w:t xml:space="preserve">A) Convocation.</w:t>
      </w:r>
    </w:p>
    <w:p>
      <w:pPr>
        <w:spacing w:after="100" w:line="276"/>
        <w:jc w:val="both"/>
      </w:pPr>
      <w:r>
        <w:rPr>
          <w:sz w:val="22"/>
          <w:szCs w:val="22"/>
        </w:rPr>
        <w:t xml:space="preserve">Les assemblées générales sont convoquées par communication individuelle et écrite adressée par l'organe d'administration à chaque associé, par lettre recommandée avec accusé de réception ou par voie électronique avec accusé de réception, à l'adresse postale ou électronique figurant à cet effet au Registre des associés. Les associés résidant à l'étranger doivent désigner une adresse sur le territoire national aux fins de notification.</w:t>
      </w:r>
    </w:p>
    <w:p>
      <w:pPr>
        <w:spacing w:after="100" w:line="276"/>
        <w:jc w:val="both"/>
      </w:pPr>
      <w:r>
        <w:rPr>
          <w:sz w:val="22"/>
          <w:szCs w:val="22"/>
        </w:rPr>
        <w:t xml:space="preserve">L'assemblée générale est valablement constituée pour traiter tout sujet, sans convocation préalable, lorsque l'intégralité du capital social est présente ou représentée et que les participants acceptent à l'unanimité la tenue de la réunion et son ordre du jour (assemblée universelle).</w:t>
      </w:r>
    </w:p>
    <w:p>
      <w:pPr>
        <w:spacing w:after="100" w:line="276"/>
        <w:jc w:val="both"/>
      </w:pPr>
      <w:r>
        <w:rPr>
          <w:sz w:val="22"/>
          <w:szCs w:val="22"/>
        </w:rPr>
        <w:t xml:space="preserve">B) Adoption des décisions.</w:t>
      </w:r>
    </w:p>
    <w:p>
      <w:pPr>
        <w:spacing w:after="100" w:line="276"/>
        <w:jc w:val="both"/>
      </w:pPr>
      <w:r>
        <w:rPr>
          <w:sz w:val="22"/>
          <w:szCs w:val="22"/>
        </w:rPr>
        <w:t xml:space="preserve">Les décisions sociales sont adoptées à la majorité des voix valablement exprimées, à condition qu'elles représentent au moins un tiers des voix correspondant aux parts composant le capital social, les votes blancs n'étant pas comptabilisés. Chaque part donne droit à une voix. Toutefois, est requis le vote favorable :</w:t>
      </w:r>
    </w:p>
    <w:p>
      <w:pPr>
        <w:spacing w:after="80" w:line="276"/>
        <w:ind w:left="360" w:hanging="360"/>
        <w:jc w:val="both"/>
      </w:pPr>
      <w:r>
        <w:rPr>
          <w:b/>
          <w:bCs/>
          <w:sz w:val="22"/>
          <w:szCs w:val="22"/>
        </w:rPr>
        <w:t xml:space="preserve">a) </w:t>
      </w:r>
      <w:r>
        <w:rPr>
          <w:sz w:val="22"/>
          <w:szCs w:val="22"/>
        </w:rPr>
        <w:t xml:space="preserve">de plus de la moitié des voix correspondant aux parts composant le capital social, pour les décisions d'augmentation ou de réduction du capital et, plus généralement, toute modification des statuts non visée à l'alinéa suivant ;</w:t>
      </w:r>
    </w:p>
    <w:p>
      <w:pPr>
        <w:spacing w:after="80" w:line="276"/>
        <w:ind w:left="360" w:hanging="360"/>
        <w:jc w:val="both"/>
      </w:pPr>
      <w:r>
        <w:rPr>
          <w:b/>
          <w:bCs/>
          <w:sz w:val="22"/>
          <w:szCs w:val="22"/>
        </w:rPr>
        <w:t xml:space="preserve">b) </w:t>
      </w:r>
      <w:r>
        <w:rPr>
          <w:sz w:val="22"/>
          <w:szCs w:val="22"/>
        </w:rPr>
        <w:t xml:space="preserve">d'au moins deux tiers des voix correspondant aux parts composant le capital social, pour les décisions de transformation, fusion, scission, cession globale d'actif et de passif, transfert du siège à l'étranger, suppression ou limitation du droit préférentiel de souscription, exclusion d'associés et autorisation donnée aux administrateurs d'exercer une activité identique, analogue ou complémentaire,</w:t>
      </w:r>
    </w:p>
    <w:p>
      <w:pPr>
        <w:spacing w:after="100" w:line="276"/>
        <w:jc w:val="both"/>
      </w:pPr>
      <w:r>
        <w:rPr>
          <w:sz w:val="22"/>
          <w:szCs w:val="22"/>
        </w:rPr>
        <w:t xml:space="preserve">le tout conformément aux articles 198 et 199 du Texte refondu de la loi sur les sociétés de capitaux.</w:t>
      </w:r>
    </w:p>
    <w:p>
      <w:pPr>
        <w:spacing w:after="100" w:line="276"/>
        <w:jc w:val="both"/>
      </w:pPr>
      <w:r>
        <w:rPr>
          <w:sz w:val="22"/>
          <w:szCs w:val="22"/>
        </w:rPr>
        <w:t xml:space="preserve">C) Société unipersonnelle.</w:t>
      </w:r>
    </w:p>
    <w:p>
      <w:pPr>
        <w:spacing w:after="100" w:line="276"/>
        <w:jc w:val="both"/>
      </w:pPr>
      <w:r>
        <w:rPr>
          <w:sz w:val="22"/>
          <w:szCs w:val="22"/>
        </w:rPr>
        <w:t xml:space="preserve">Si la Société revêt un caractère unipersonnel, l'associé unique exerce les compétences de l'assemblée générale ; ses décisions sont consignées dans un procès-verbal sous sa signature ou celle de son représentant.</w:t>
      </w:r>
    </w:p>
    <w:p>
      <w:pPr>
        <w:spacing w:after="80" w:before="220"/>
      </w:pPr>
      <w:r>
        <w:rPr>
          <w:b/>
          <w:bCs/>
          <w:sz w:val="22"/>
          <w:szCs w:val="22"/>
        </w:rPr>
        <w:t xml:space="preserve">Article 10 — Organe d'administration : mode d'organisation</w:t>
      </w:r>
    </w:p>
    <w:p>
      <w:pPr>
        <w:spacing w:after="100" w:line="276"/>
        <w:jc w:val="both"/>
      </w:pPr>
      <w:r>
        <w:rPr>
          <w:sz w:val="22"/>
          <w:szCs w:val="22"/>
        </w:rPr>
        <w:t xml:space="preserve">1. L'administration de la Société peut être confiée, sans modification statutaire, à un administrateur unique ; à deux administrateurs ou plus agissant solidairement ; à deux administrateurs agissant conjointement (mancomunados) ; ou à un Conseil d'administration composé de trois membres au minimum et de cinq au maximum.</w:t>
      </w:r>
    </w:p>
    <w:p>
      <w:pPr>
        <w:spacing w:after="100" w:line="276"/>
        <w:jc w:val="both"/>
      </w:pPr>
      <w:r>
        <w:rPr>
          <w:sz w:val="22"/>
          <w:szCs w:val="22"/>
        </w:rPr>
        <w:t xml:space="preserve">2. Il appartient à l'assemblée générale, à la majorité légalement requise et sans modification statutaire, d'opter pour l'un quelconque de ces modes d'organisation de l'administration.</w:t>
      </w:r>
    </w:p>
    <w:p>
      <w:pPr>
        <w:spacing w:after="100" w:line="276"/>
        <w:jc w:val="both"/>
      </w:pPr>
      <w:r>
        <w:rPr>
          <w:sz w:val="22"/>
          <w:szCs w:val="22"/>
        </w:rPr>
        <w:t xml:space="preserve">3. Les administrateurs exercent leur mandat pour une durée indéfinie, sauf décision contraire de l'assemblée générale fixant une durée déterminée.</w:t>
      </w:r>
    </w:p>
    <w:p>
      <w:pPr>
        <w:spacing w:after="100" w:line="276"/>
        <w:jc w:val="both"/>
      </w:pPr>
      <w:r>
        <w:rPr>
          <w:sz w:val="22"/>
          <w:szCs w:val="22"/>
        </w:rPr>
        <w:t xml:space="preserve">4. Le mandat d'administrateur est gratuit, sans préjudice de la rémunération qui peut revenir à l'administrateur au titre de services ou d'un travail fourni à la Société dans le cadre d'une relation distincte de celle d'administrateur (contrat de travail, direction ou prestation accessoire).</w:t>
      </w:r>
    </w:p>
    <w:p>
      <w:pPr>
        <w:pBdr>
          <w:left w:val="single" w:color="1F4E79" w:sz="18" w:space="8"/>
        </w:pBdr>
        <w:spacing w:after="100" w:line="264"/>
        <w:ind w:left="200"/>
        <w:jc w:val="both"/>
      </w:pPr>
      <w:r>
        <w:rPr>
          <w:i/>
          <w:iCs/>
          <w:color w:val="555555"/>
          <w:sz w:val="20"/>
          <w:szCs w:val="20"/>
        </w:rPr>
        <w:t xml:space="preserve">Point fiscal sensible : la rémunération de l'associé exerçant la gérance (autónomo societario) s'articule généralement au titre de son travail effectif, distinct du «mandat d'administrateur». Si l'on souhaite que le mandat d'administrateur soit rémunéré, l'article doit le dire expressément et l'assemblée en fixe la forme et le montant. À décider avec le gestor pour optimiser la déductibilité.</w:t>
      </w:r>
    </w:p>
    <w:p>
      <w:pPr>
        <w:spacing w:after="80" w:before="220"/>
      </w:pPr>
      <w:r>
        <w:rPr>
          <w:b/>
          <w:bCs/>
          <w:sz w:val="22"/>
          <w:szCs w:val="22"/>
        </w:rPr>
        <w:t xml:space="preserve">Article 11 — Pouvoir de représentation</w:t>
      </w:r>
    </w:p>
    <w:p>
      <w:pPr>
        <w:spacing w:after="100" w:line="276"/>
        <w:jc w:val="both"/>
      </w:pPr>
      <w:r>
        <w:rPr>
          <w:sz w:val="22"/>
          <w:szCs w:val="22"/>
        </w:rPr>
        <w:t xml:space="preserve">Le pouvoir de représentation appartient : à l'administrateur unique, le cas échéant ; à chacun des administrateurs solidaires ; conjointement à deux quelconques des administrateurs conjoints ; et au Conseil d'administration, qui agit collégialement, sans préjudice des délégations qu'il consent. Ne peuvent occuper ni exercer de fonctions dans la Société les personnes frappées d'une interdiction ou incompatibilité légale.</w:t>
      </w:r>
    </w:p>
    <w:p>
      <w:pPr>
        <w:spacing w:after="80" w:before="220"/>
      </w:pPr>
      <w:r>
        <w:rPr>
          <w:b/>
          <w:bCs/>
          <w:sz w:val="22"/>
          <w:szCs w:val="22"/>
        </w:rPr>
        <w:t xml:space="preserve">Article 12 — Pouvoirs de l'organe d'administration</w:t>
      </w:r>
    </w:p>
    <w:p>
      <w:pPr>
        <w:spacing w:after="100" w:line="276"/>
        <w:jc w:val="both"/>
      </w:pPr>
      <w:r>
        <w:rPr>
          <w:sz w:val="22"/>
          <w:szCs w:val="22"/>
        </w:rPr>
        <w:t xml:space="preserve">L'organe d'administration assure la gestion et la représentation de la Société, en justice et hors justice. Son pouvoir de représentation s'étend à tous les actes compris dans l'objet social, avec la plus grande amplitude pour contracter en général et accomplir toute sorte d'actes et d'opérations, d'administration ordinaire et extraordinaire et de pleine disposition, portant sur toute catégorie de biens meubles, immeubles, droits et valeurs, à la seule exception des actes réservés par la loi ou par les présents statuts à l'assemblée générale.</w:t>
      </w:r>
    </w:p>
    <w:p>
      <w:pPr>
        <w:pStyle w:val="Heading1"/>
        <w:spacing w:after="160" w:before="320"/>
      </w:pPr>
      <w:r>
        <w:t xml:space="preserve">TITRE IV — EXERCICE SOCIAL ET COMPTES ANNUELS</w:t>
      </w:r>
    </w:p>
    <w:p>
      <w:pPr>
        <w:spacing w:after="80" w:before="220"/>
      </w:pPr>
      <w:r>
        <w:rPr>
          <w:b/>
          <w:bCs/>
          <w:sz w:val="22"/>
          <w:szCs w:val="22"/>
        </w:rPr>
        <w:t xml:space="preserve">Article 13 — Exercice social</w:t>
      </w:r>
    </w:p>
    <w:p>
      <w:pPr>
        <w:spacing w:after="100" w:line="276"/>
        <w:jc w:val="both"/>
      </w:pPr>
      <w:r>
        <w:rPr>
          <w:sz w:val="22"/>
          <w:szCs w:val="22"/>
        </w:rPr>
        <w:t xml:space="preserve">L'exercice social commence le 1er janvier et se termine le 31 décembre de chaque année civile. Par exception, le premier exercice commence le jour de la signature de l'acte authentique de constitution et se termine le 31 décembre de la même année.</w:t>
      </w:r>
    </w:p>
    <w:p>
      <w:pPr>
        <w:spacing w:after="80" w:before="220"/>
      </w:pPr>
      <w:r>
        <w:rPr>
          <w:b/>
          <w:bCs/>
          <w:sz w:val="22"/>
          <w:szCs w:val="22"/>
        </w:rPr>
        <w:t xml:space="preserve">Article 14 — Comptes annuels</w:t>
      </w:r>
    </w:p>
    <w:p>
      <w:pPr>
        <w:spacing w:after="100" w:line="276"/>
        <w:jc w:val="both"/>
      </w:pPr>
      <w:r>
        <w:rPr>
          <w:sz w:val="22"/>
          <w:szCs w:val="22"/>
        </w:rPr>
        <w:t xml:space="preserve">L'organe d'administration établit, dans un délai maximum de trois mois à compter de la clôture de l'exercice, les comptes annuels, le rapport de gestion le cas échéant, et la proposition d'affectation du résultat. La distribution de dividendes aux associés s'effectue proportionnellement à leur participation au capital social. Pour leur vérification, approbation, dépôt au Registre du commerce et le droit d'information des associés, il est fait application de la législation en vigueur.</w:t>
      </w:r>
    </w:p>
    <w:p>
      <w:pPr>
        <w:pStyle w:val="Heading1"/>
        <w:spacing w:after="160" w:before="320"/>
      </w:pPr>
      <w:r>
        <w:t xml:space="preserve">TITRE V — DISSOLUTION ET LIQUIDATION</w:t>
      </w:r>
    </w:p>
    <w:p>
      <w:pPr>
        <w:spacing w:after="80" w:before="220"/>
      </w:pPr>
      <w:r>
        <w:rPr>
          <w:b/>
          <w:bCs/>
          <w:sz w:val="22"/>
          <w:szCs w:val="22"/>
        </w:rPr>
        <w:t xml:space="preserve">Article 15 — Dissolution et liquidation</w:t>
      </w:r>
    </w:p>
    <w:p>
      <w:pPr>
        <w:spacing w:after="100" w:line="276"/>
        <w:jc w:val="both"/>
      </w:pPr>
      <w:r>
        <w:rPr>
          <w:sz w:val="22"/>
          <w:szCs w:val="22"/>
        </w:rPr>
        <w:t xml:space="preserve">La Société est dissoute pour les causes légalement établies, l'ensemble du processus de dissolution et de liquidation étant régi par la réglementation applicable. Une fois la dissolution décidée et la période de liquidation ouverte, les administrateurs cessent leurs fonctions et deviennent liquidateurs, sauf si l'assemblée générale, en décidant la dissolution, désigne d'autres liquidateurs en nombre non supérieur à cinq. La quote-part de liquidation de chaque associé est proportionnelle à sa participation au capital social.</w:t>
      </w:r>
    </w:p>
    <w:p>
      <w:pPr>
        <w:pStyle w:val="Heading1"/>
        <w:spacing w:after="160" w:before="320"/>
      </w:pPr>
      <w:r>
        <w:t xml:space="preserve">TITRE VI — DISPOSITIONS COMPLÉMENTAIRES</w:t>
      </w:r>
    </w:p>
    <w:p>
      <w:pPr>
        <w:spacing w:after="80" w:before="220"/>
      </w:pPr>
      <w:r>
        <w:rPr>
          <w:b/>
          <w:bCs/>
          <w:sz w:val="22"/>
          <w:szCs w:val="22"/>
        </w:rPr>
        <w:t xml:space="preserve">Article 16 — Pacte d'associés</w:t>
      </w:r>
    </w:p>
    <w:p>
      <w:pPr>
        <w:spacing w:after="100" w:line="276"/>
        <w:jc w:val="both"/>
      </w:pPr>
      <w:r>
        <w:rPr>
          <w:sz w:val="22"/>
          <w:szCs w:val="22"/>
        </w:rPr>
        <w:t xml:space="preserve">Les associés peuvent conclure un pacte d'associés ou protocole extra-statutaire réglant leurs relations internes, notamment le calendrier d'acquisition progressive des parts (vesting), les conditions de sortie et de rachat, les apports en compte courant d'associés et la politique de distribution. Ce pacte lie ceux qui le signent ; en cas de contradiction avec les présents statuts à l'égard des tiers, les statuts prévalent.</w:t>
      </w:r>
    </w:p>
    <w:p>
      <w:pPr>
        <w:spacing w:after="80" w:before="220"/>
      </w:pPr>
      <w:r>
        <w:rPr>
          <w:b/>
          <w:bCs/>
          <w:sz w:val="22"/>
          <w:szCs w:val="22"/>
        </w:rPr>
        <w:t xml:space="preserve">Article 17 — Règlement des litiges</w:t>
      </w:r>
    </w:p>
    <w:p>
      <w:pPr>
        <w:spacing w:after="100" w:line="276"/>
        <w:jc w:val="both"/>
      </w:pPr>
      <w:r>
        <w:rPr>
          <w:sz w:val="22"/>
          <w:szCs w:val="22"/>
        </w:rPr>
        <w:t xml:space="preserve">Tout différend entre associés, ou entre ceux-ci et la Société, né des relations sociales, est soumis à la médiation et, à défaut, aux juridictions du lieu du siège social, sans préjudice des règles de compétence impérativement applicables.</w:t>
      </w:r>
    </w:p>
    <w:p>
      <w:pPr>
        <w:spacing w:before="200"/>
      </w:pPr>
      <w:r>
        <w:t xml:space="preserve"/>
      </w:r>
    </w:p>
    <w:p>
      <w:pPr>
        <w:pStyle w:val="Heading1"/>
        <w:spacing w:after="160" w:before="320"/>
      </w:pPr>
      <w:r>
        <w:t xml:space="preserve">ANNEXE — TABLEAU DE RÉPARTITION DU CAPITAL</w:t>
      </w:r>
    </w:p>
    <w:p>
      <w:pPr>
        <w:pBdr>
          <w:left w:val="single" w:color="1F4E79" w:sz="18" w:space="8"/>
        </w:pBdr>
        <w:spacing w:after="100" w:line="264"/>
        <w:ind w:left="200"/>
        <w:jc w:val="both"/>
      </w:pPr>
      <w:r>
        <w:rPr>
          <w:i/>
          <w:iCs/>
          <w:color w:val="555555"/>
          <w:sz w:val="20"/>
          <w:szCs w:val="20"/>
        </w:rPr>
        <w:t xml:space="preserve">Tableau d'appui pour l'acte notarié (non exigé par les statuts, mais facilite leur rédaction). Répartition de 25 % par associé. À compléter avec le nom, le NIE et la libération de chacun.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500"/>
        <w:gridCol w:w="1300"/>
        <w:gridCol w:w="1426"/>
      </w:tblGrid>
      <w:tr>
        <w:tc>
          <w:tcPr>
            <w:tcW w:type="dxa" w:w="2600"/>
            <w:tcBorders>
              <w:top w:val="single" w:color="BBBBBB" w:sz="1"/>
              <w:left w:val="single" w:color="BBBBBB" w:sz="1"/>
              <w:bottom w:val="single" w:color="BBBBBB" w:sz="1"/>
              <w:right w:val="single" w:color="BBBBBB" w:sz="1"/>
            </w:tcBorders>
            <w:shd w:fill="D5E0EF" w:val="clear"/>
            <w:tcMar>
              <w:top w:type="dxa" w:w="60"/>
              <w:left w:type="dxa" w:w="100"/>
              <w:bottom w:type="dxa" w:w="60"/>
              <w:right w:type="dxa" w:w="100"/>
            </w:tcMar>
          </w:tcPr>
          <w:p>
            <w:r>
              <w:rPr>
                <w:b/>
                <w:bCs/>
                <w:sz w:val="20"/>
                <w:szCs w:val="20"/>
              </w:rPr>
              <w:t xml:space="preserve">Associé (nom)</w:t>
            </w:r>
          </w:p>
        </w:tc>
        <w:tc>
          <w:tcPr>
            <w:tcW w:type="dxa" w:w="2200"/>
            <w:tcBorders>
              <w:top w:val="single" w:color="BBBBBB" w:sz="1"/>
              <w:left w:val="single" w:color="BBBBBB" w:sz="1"/>
              <w:bottom w:val="single" w:color="BBBBBB" w:sz="1"/>
              <w:right w:val="single" w:color="BBBBBB" w:sz="1"/>
            </w:tcBorders>
            <w:shd w:fill="D5E0EF" w:val="clear"/>
            <w:tcMar>
              <w:top w:type="dxa" w:w="60"/>
              <w:left w:type="dxa" w:w="100"/>
              <w:bottom w:type="dxa" w:w="60"/>
              <w:right w:type="dxa" w:w="100"/>
            </w:tcMar>
          </w:tcPr>
          <w:p>
            <w:r>
              <w:rPr>
                <w:b/>
                <w:bCs/>
                <w:sz w:val="20"/>
                <w:szCs w:val="20"/>
              </w:rPr>
              <w:t xml:space="preserve">NIE</w:t>
            </w:r>
          </w:p>
        </w:tc>
        <w:tc>
          <w:tcPr>
            <w:tcW w:type="dxa" w:w="1500"/>
            <w:tcBorders>
              <w:top w:val="single" w:color="BBBBBB" w:sz="1"/>
              <w:left w:val="single" w:color="BBBBBB" w:sz="1"/>
              <w:bottom w:val="single" w:color="BBBBBB" w:sz="1"/>
              <w:right w:val="single" w:color="BBBBBB" w:sz="1"/>
            </w:tcBorders>
            <w:shd w:fill="D5E0EF" w:val="clear"/>
            <w:tcMar>
              <w:top w:type="dxa" w:w="60"/>
              <w:left w:type="dxa" w:w="100"/>
              <w:bottom w:type="dxa" w:w="60"/>
              <w:right w:type="dxa" w:w="100"/>
            </w:tcMar>
          </w:tcPr>
          <w:p>
            <w:r>
              <w:rPr>
                <w:b/>
                <w:bCs/>
                <w:sz w:val="20"/>
                <w:szCs w:val="20"/>
              </w:rPr>
              <w:t xml:space="preserve">Parts (n°)</w:t>
            </w:r>
          </w:p>
        </w:tc>
        <w:tc>
          <w:tcPr>
            <w:tcW w:type="dxa" w:w="1300"/>
            <w:tcBorders>
              <w:top w:val="single" w:color="BBBBBB" w:sz="1"/>
              <w:left w:val="single" w:color="BBBBBB" w:sz="1"/>
              <w:bottom w:val="single" w:color="BBBBBB" w:sz="1"/>
              <w:right w:val="single" w:color="BBBBBB" w:sz="1"/>
            </w:tcBorders>
            <w:shd w:fill="D5E0EF" w:val="clear"/>
            <w:tcMar>
              <w:top w:type="dxa" w:w="60"/>
              <w:left w:type="dxa" w:w="100"/>
              <w:bottom w:type="dxa" w:w="60"/>
              <w:right w:type="dxa" w:w="100"/>
            </w:tcMar>
          </w:tcPr>
          <w:p>
            <w:r>
              <w:rPr>
                <w:b/>
                <w:bCs/>
                <w:sz w:val="20"/>
                <w:szCs w:val="20"/>
              </w:rPr>
              <w:t xml:space="preserve">% capital</w:t>
            </w:r>
          </w:p>
        </w:tc>
        <w:tc>
          <w:tcPr>
            <w:tcW w:type="dxa" w:w="1426"/>
            <w:tcBorders>
              <w:top w:val="single" w:color="BBBBBB" w:sz="1"/>
              <w:left w:val="single" w:color="BBBBBB" w:sz="1"/>
              <w:bottom w:val="single" w:color="BBBBBB" w:sz="1"/>
              <w:right w:val="single" w:color="BBBBBB" w:sz="1"/>
            </w:tcBorders>
            <w:shd w:fill="D5E0EF" w:val="clear"/>
            <w:tcMar>
              <w:top w:type="dxa" w:w="60"/>
              <w:left w:type="dxa" w:w="100"/>
              <w:bottom w:type="dxa" w:w="60"/>
              <w:right w:type="dxa" w:w="100"/>
            </w:tcMar>
          </w:tcPr>
          <w:p>
            <w:r>
              <w:rPr>
                <w:b/>
                <w:bCs/>
                <w:sz w:val="20"/>
                <w:szCs w:val="20"/>
              </w:rPr>
              <w:t xml:space="preserve">Libération (€)</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____________</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____________</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____________</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25 %</w:t>
            </w:r>
          </w:p>
        </w:tc>
        <w:tc>
          <w:tcPr>
            <w:tcW w:type="dxa" w:w="14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____________</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____________</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____________</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____________</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25 %</w:t>
            </w:r>
          </w:p>
        </w:tc>
        <w:tc>
          <w:tcPr>
            <w:tcW w:type="dxa" w:w="14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____________</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____________</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____________</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____________</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25 %</w:t>
            </w:r>
          </w:p>
        </w:tc>
        <w:tc>
          <w:tcPr>
            <w:tcW w:type="dxa" w:w="14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____________</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____________</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____________</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____________</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25 %</w:t>
            </w:r>
          </w:p>
        </w:tc>
        <w:tc>
          <w:tcPr>
            <w:tcW w:type="dxa" w:w="14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____________</w:t>
            </w:r>
          </w:p>
        </w:tc>
      </w:tr>
      <w:tr>
        <w:tc>
          <w:tcPr>
            <w:tcW w:type="dxa" w:w="2600"/>
            <w:tcBorders>
              <w:top w:val="single" w:color="BBBBBB" w:sz="1"/>
              <w:left w:val="single" w:color="BBBBBB" w:sz="1"/>
              <w:bottom w:val="single" w:color="BBBBBB" w:sz="1"/>
              <w:right w:val="single" w:color="BBBBBB" w:sz="1"/>
            </w:tcBorders>
            <w:shd w:fill="D5E0EF" w:val="clear"/>
            <w:tcMar>
              <w:top w:type="dxa" w:w="60"/>
              <w:left w:type="dxa" w:w="100"/>
              <w:bottom w:type="dxa" w:w="60"/>
              <w:right w:type="dxa" w:w="100"/>
            </w:tcMar>
          </w:tcPr>
          <w:p>
            <w:r>
              <w:rPr>
                <w:b/>
                <w:bCs/>
                <w:sz w:val="20"/>
                <w:szCs w:val="20"/>
              </w:rPr>
              <w:t xml:space="preserve">TOTAL</w:t>
            </w:r>
          </w:p>
        </w:tc>
        <w:tc>
          <w:tcPr>
            <w:tcW w:type="dxa" w:w="2200"/>
            <w:tcBorders>
              <w:top w:val="single" w:color="BBBBBB" w:sz="1"/>
              <w:left w:val="single" w:color="BBBBBB" w:sz="1"/>
              <w:bottom w:val="single" w:color="BBBBBB" w:sz="1"/>
              <w:right w:val="single" w:color="BBBBBB" w:sz="1"/>
            </w:tcBorders>
            <w:shd w:fill="D5E0EF" w:val="clear"/>
            <w:tcMar>
              <w:top w:type="dxa" w:w="60"/>
              <w:left w:type="dxa" w:w="100"/>
              <w:bottom w:type="dxa" w:w="60"/>
              <w:right w:type="dxa" w:w="100"/>
            </w:tcMar>
          </w:tcPr>
          <w:p>
            <w:r>
              <w:rPr>
                <w:b/>
                <w:bCs/>
                <w:sz w:val="20"/>
                <w:szCs w:val="20"/>
              </w:rPr>
              <w:t xml:space="preserve"/>
            </w:r>
          </w:p>
        </w:tc>
        <w:tc>
          <w:tcPr>
            <w:tcW w:type="dxa" w:w="1500"/>
            <w:tcBorders>
              <w:top w:val="single" w:color="BBBBBB" w:sz="1"/>
              <w:left w:val="single" w:color="BBBBBB" w:sz="1"/>
              <w:bottom w:val="single" w:color="BBBBBB" w:sz="1"/>
              <w:right w:val="single" w:color="BBBBBB" w:sz="1"/>
            </w:tcBorders>
            <w:shd w:fill="D5E0EF" w:val="clear"/>
            <w:tcMar>
              <w:top w:type="dxa" w:w="60"/>
              <w:left w:type="dxa" w:w="100"/>
              <w:bottom w:type="dxa" w:w="60"/>
              <w:right w:type="dxa" w:w="100"/>
            </w:tcMar>
          </w:tcPr>
          <w:p>
            <w:r>
              <w:rPr>
                <w:b/>
                <w:bCs/>
                <w:sz w:val="20"/>
                <w:szCs w:val="20"/>
              </w:rPr>
              <w:t xml:space="preserve">____________</w:t>
            </w:r>
          </w:p>
        </w:tc>
        <w:tc>
          <w:tcPr>
            <w:tcW w:type="dxa" w:w="1300"/>
            <w:tcBorders>
              <w:top w:val="single" w:color="BBBBBB" w:sz="1"/>
              <w:left w:val="single" w:color="BBBBBB" w:sz="1"/>
              <w:bottom w:val="single" w:color="BBBBBB" w:sz="1"/>
              <w:right w:val="single" w:color="BBBBBB" w:sz="1"/>
            </w:tcBorders>
            <w:shd w:fill="D5E0EF" w:val="clear"/>
            <w:tcMar>
              <w:top w:type="dxa" w:w="60"/>
              <w:left w:type="dxa" w:w="100"/>
              <w:bottom w:type="dxa" w:w="60"/>
              <w:right w:type="dxa" w:w="100"/>
            </w:tcMar>
          </w:tcPr>
          <w:p>
            <w:r>
              <w:rPr>
                <w:b/>
                <w:bCs/>
                <w:sz w:val="20"/>
                <w:szCs w:val="20"/>
              </w:rPr>
              <w:t xml:space="preserve">100 %</w:t>
            </w:r>
          </w:p>
        </w:tc>
        <w:tc>
          <w:tcPr>
            <w:tcW w:type="dxa" w:w="1426"/>
            <w:tcBorders>
              <w:top w:val="single" w:color="BBBBBB" w:sz="1"/>
              <w:left w:val="single" w:color="BBBBBB" w:sz="1"/>
              <w:bottom w:val="single" w:color="BBBBBB" w:sz="1"/>
              <w:right w:val="single" w:color="BBBBBB" w:sz="1"/>
            </w:tcBorders>
            <w:shd w:fill="D5E0EF" w:val="clear"/>
            <w:tcMar>
              <w:top w:type="dxa" w:w="60"/>
              <w:left w:type="dxa" w:w="100"/>
              <w:bottom w:type="dxa" w:w="60"/>
              <w:right w:type="dxa" w:w="100"/>
            </w:tcMar>
          </w:tcPr>
          <w:p>
            <w:r>
              <w:rPr>
                <w:b/>
                <w:bCs/>
                <w:sz w:val="20"/>
                <w:szCs w:val="20"/>
              </w:rPr>
              <w:t xml:space="preserve">____________</w:t>
            </w:r>
          </w:p>
        </w:tc>
      </w:tr>
    </w:tbl>
    <w:p>
      <w:pPr>
        <w:spacing w:after="80" w:before="320"/>
        <w:jc w:val="right"/>
      </w:pPr>
      <w:r>
        <w:rPr>
          <w:sz w:val="22"/>
          <w:szCs w:val="22"/>
        </w:rPr>
        <w:t xml:space="preserve">À Maspalomas, le ____________ ____________ ____________.</w:t>
      </w:r>
    </w:p>
    <w:p>
      <w:pPr>
        <w:spacing w:before="200"/>
        <w:jc w:val="center"/>
      </w:pPr>
      <w:r>
        <w:rPr>
          <w:sz w:val="22"/>
          <w:szCs w:val="22"/>
        </w:rPr>
        <w:t xml:space="preserve">Les associés fondateurs :</w:t>
      </w:r>
    </w:p>
    <w:p>
      <w:pPr>
        <w:spacing w:before="360"/>
        <w:jc w:val="center"/>
      </w:pPr>
      <w:r>
        <w:rPr>
          <w:sz w:val="22"/>
          <w:szCs w:val="22"/>
        </w:rPr>
        <w:t xml:space="preserve">_____________________            _____________________</w:t>
      </w:r>
    </w:p>
    <w:p>
      <w:pPr>
        <w:spacing w:before="360"/>
        <w:jc w:val="center"/>
      </w:pPr>
      <w:r>
        <w:rPr>
          <w:sz w:val="22"/>
          <w:szCs w:val="22"/>
        </w:rPr>
        <w:t xml:space="preserve">_____________________            _____________________</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160" w:before="320"/>
      <w:outlineLvl w:val="0"/>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2026-06-29T23:51:02.078Z</dcterms:created>
  <dcterms:modified xsi:type="dcterms:W3CDTF">2026-06-29T23:51:02.079Z</dcterms:modified>
</cp:coreProperties>
</file>

<file path=docProps/custom.xml><?xml version="1.0" encoding="utf-8"?>
<Properties xmlns="http://schemas.openxmlformats.org/officeDocument/2006/custom-properties" xmlns:vt="http://schemas.openxmlformats.org/officeDocument/2006/docPropsVTypes"/>
</file>