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Patterns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Fri,</w:t>
      </w:r>
      <w:r>
        <w:t xml:space="preserve"> </w:t>
      </w:r>
      <w:r>
        <w:t xml:space="preserve">Nov</w:t>
      </w:r>
      <w:r>
        <w:t xml:space="preserve"> </w:t>
      </w:r>
      <w:r>
        <w:t xml:space="preserve">24,</w:t>
      </w:r>
      <w:r>
        <w:t xml:space="preserve"> </w:t>
      </w:r>
      <w:r>
        <w:t xml:space="preserve">2017</w:t>
      </w:r>
      <w:r>
        <w:t xml:space="preserve"> </w:t>
      </w:r>
      <w:r>
        <w:t xml:space="preserve">1:50:59</w:t>
      </w:r>
      <w:r>
        <w:t xml:space="preserve"> </w:t>
      </w:r>
      <w:r>
        <w:t xml:space="preserve">PM</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two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design patterns</w:t>
      </w:r>
    </w:p>
    <w:p>
      <w:pPr>
        <w:pStyle w:val="Heading2"/>
      </w:pPr>
      <w:bookmarkStart w:id="23" w:name="deliverables"/>
      <w:bookmarkEnd w:id="23"/>
      <w:r>
        <w:t xml:space="preserve">Deliverables</w:t>
      </w:r>
    </w:p>
    <w:p>
      <w:pPr>
        <w:pStyle w:val="FirstParagraph"/>
      </w:pPr>
      <w:r>
        <w:t xml:space="preserve">The deliverables for this Working Group are separated into two time-based cohorts as below. Medium-term goals are mostly about seeking existing practice, and determining possible output forms for the activity areas. Long-term goals are about framing and delivering those outputs.</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r>
        <w:rPr>
          <w:rStyle w:val="FootnoteReference"/>
        </w:rPr>
        <w:footnoteReference w:id="25"/>
      </w:r>
      <w:r>
        <w:t xml:space="preserve">.</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design patterns generalised from use cases.</w:t>
      </w:r>
    </w:p>
    <w:p>
      <w:pPr>
        <w:pStyle w:val="Heading3"/>
      </w:pPr>
      <w:bookmarkStart w:id="27" w:name="long-term-m18"/>
      <w:bookmarkEnd w:id="27"/>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design patterns.</w:t>
      </w:r>
    </w:p>
    <w:p>
      <w:pPr>
        <w:pStyle w:val="Heading1"/>
      </w:pPr>
      <w:bookmarkStart w:id="28" w:name="value-proposition"/>
      <w:bookmarkEnd w:id="28"/>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features and structure.</w:t>
      </w:r>
    </w:p>
    <w:p>
      <w:pPr>
        <w:pStyle w:val="BodyText"/>
      </w:pPr>
      <w:r>
        <w:t xml:space="preserve">We propose a working group on</w:t>
      </w:r>
      <w:r>
        <w:t xml:space="preserve"> </w:t>
      </w:r>
      <w:r>
        <w:rPr>
          <w:i/>
        </w:rPr>
        <w:t xml:space="preserve">provenance patterns</w:t>
      </w:r>
      <w:r>
        <w:t xml:space="preserve">.</w:t>
      </w:r>
    </w:p>
    <w:p>
      <w:pPr>
        <w:pStyle w:val="Compact"/>
        <w:numPr>
          <w:numId w:val="1004"/>
          <w:ilvl w:val="0"/>
        </w:numPr>
      </w:pPr>
      <w:r>
        <w:t xml:space="preserve">The patterns should relate to core RDA interests, perhaps data/data</w:t>
      </w:r>
      <w:r>
        <w:t xml:space="preserve"> </w:t>
      </w:r>
      <w:r>
        <w:t xml:space="preserve">and data/people relationships.</w:t>
      </w:r>
    </w:p>
    <w:p>
      <w:pPr>
        <w:pStyle w:val="Compact"/>
        <w:numPr>
          <w:numId w:val="1004"/>
          <w:ilvl w:val="0"/>
        </w:numPr>
      </w:pPr>
      <w:r>
        <w:t xml:space="preserve">Provenance vocabularies offer a level of generality/specificity that address</w:t>
      </w:r>
      <w:r>
        <w:t xml:space="preserve"> </w:t>
      </w:r>
      <w:r>
        <w:t xml:space="preserve">what we perceive to be implementation gaps.</w:t>
      </w:r>
    </w:p>
    <w:p>
      <w:pPr>
        <w:pStyle w:val="Compact"/>
        <w:numPr>
          <w:numId w:val="1004"/>
          <w:ilvl w:val="0"/>
        </w:numPr>
      </w:pPr>
      <w:r>
        <w:t xml:space="preserve">Our goal: alerting the RDA community to similarities and common</w:t>
      </w:r>
      <w:r>
        <w:t xml:space="preserve"> </w:t>
      </w:r>
      <w:r>
        <w:t xml:space="preserve">features across use cases in different working groups and interest</w:t>
      </w:r>
      <w:r>
        <w:t xml:space="preserve"> </w:t>
      </w:r>
      <w:r>
        <w:t xml:space="preserve">groups.</w:t>
      </w:r>
    </w:p>
    <w:p>
      <w:pPr>
        <w:pStyle w:val="Heading3"/>
      </w:pPr>
      <w:bookmarkStart w:id="29" w:name="wg-activity-points"/>
      <w:bookmarkEnd w:id="29"/>
      <w:r>
        <w:t xml:space="preserve">WG activity points</w:t>
      </w:r>
    </w:p>
    <w:p>
      <w:pPr>
        <w:pStyle w:val="Compact"/>
        <w:numPr>
          <w:numId w:val="1005"/>
          <w:ilvl w:val="0"/>
        </w:numPr>
      </w:pPr>
      <w:r>
        <w:rPr>
          <w:b/>
        </w:rPr>
        <w:t xml:space="preserve">Common provenance Use Cases</w:t>
      </w:r>
    </w:p>
    <w:p>
      <w:pPr>
        <w:pStyle w:val="Compact"/>
        <w:numPr>
          <w:numId w:val="1006"/>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6"/>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interest</w:t>
      </w:r>
      <w:r>
        <w:t xml:space="preserve"> </w:t>
      </w:r>
      <w:r>
        <w:t xml:space="preserve">to them.</w:t>
      </w:r>
    </w:p>
    <w:p>
      <w:pPr>
        <w:pStyle w:val="Compact"/>
        <w:numPr>
          <w:numId w:val="1005"/>
          <w:ilvl w:val="0"/>
        </w:numPr>
      </w:pPr>
      <w:r>
        <w:rPr>
          <w:b/>
        </w:rPr>
        <w:t xml:space="preserve">Provenance design patterns</w:t>
      </w:r>
    </w:p>
    <w:p>
      <w:pPr>
        <w:pStyle w:val="Compact"/>
        <w:numPr>
          <w:numId w:val="1007"/>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7"/>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Heading1"/>
      </w:pPr>
      <w:bookmarkStart w:id="30" w:name="engagement"/>
      <w:bookmarkEnd w:id="30"/>
      <w:r>
        <w:t xml:space="preserve">Engagement</w:t>
      </w:r>
    </w:p>
    <w:p>
      <w:pPr>
        <w:pStyle w:val="FirstParagraph"/>
      </w:pPr>
      <w:r>
        <w:t xml:space="preserve">In addition to serving the RDA community directly, this Working Group</w:t>
      </w:r>
      <w:r>
        <w:t xml:space="preserve"> </w:t>
      </w:r>
      <w:r>
        <w:t xml:space="preserve">aims to serve the immediate interests of existing RDA</w:t>
      </w:r>
      <w:r>
        <w:t xml:space="preserve"> </w:t>
      </w:r>
      <w:r>
        <w:t xml:space="preserve">groups. Provenance is foundational to many other RDA groups' activity</w:t>
      </w:r>
      <w:r>
        <w:t xml:space="preserve"> </w:t>
      </w:r>
      <w:r>
        <w:t xml:space="preserve">and thus maximal impact on the RDA community can be achieved by</w:t>
      </w:r>
      <w:r>
        <w:t xml:space="preserve"> </w:t>
      </w:r>
      <w:r>
        <w:t xml:space="preserve">aligning and assisting work in existing groups. Therefore this working</w:t>
      </w:r>
      <w:r>
        <w:t xml:space="preserve"> </w:t>
      </w:r>
      <w:r>
        <w:t xml:space="preserve">group will engage heavily with other groups and source its primary</w:t>
      </w:r>
      <w:r>
        <w:t xml:space="preserve"> </w:t>
      </w:r>
      <w:r>
        <w:t xml:space="preserve">requirements and exemplars from other groups. Examples of</w:t>
      </w:r>
      <w:r>
        <w:t xml:space="preserve"> </w:t>
      </w:r>
      <w:r>
        <w:t xml:space="preserve">intersections we believe will be productive include the following:</w:t>
      </w:r>
    </w:p>
    <w:p>
      <w:pPr>
        <w:pStyle w:val="DefinitionTerm"/>
      </w:pPr>
      <w:r>
        <w:t xml:space="preserve">Publishing Data Workflows WG:</w:t>
      </w:r>
    </w:p>
    <w:p>
      <w:pPr>
        <w:pStyle w:val="Definition"/>
      </w:pPr>
      <w:r>
        <w:t xml:space="preserve">Interest in workflow persistence and quality control, data deposit</w:t>
      </w:r>
      <w:r>
        <w:t xml:space="preserve"> </w:t>
      </w:r>
      <w:r>
        <w:t xml:space="preserve">and citation, reference models and implementation.</w:t>
      </w:r>
    </w:p>
    <w:p>
      <w:pPr>
        <w:pStyle w:val="DefinitionTerm"/>
      </w:pPr>
      <w:r>
        <w:t xml:space="preserve">Dynamic Data Citation WG:</w:t>
      </w:r>
    </w:p>
    <w:p>
      <w:pPr>
        <w:pStyle w:val="Definition"/>
      </w:pPr>
      <w:r>
        <w:t xml:space="preserve">Interest in a conceptual model for citation fidelity despite changes</w:t>
      </w:r>
      <w:r>
        <w:t xml:space="preserve"> </w:t>
      </w:r>
      <w:r>
        <w:t xml:space="preserve">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1" w:name="work-plan"/>
      <w:bookmarkEnd w:id="31"/>
      <w:r>
        <w:t xml:space="preserve">Work Plan</w:t>
      </w:r>
    </w:p>
    <w:p>
      <w:pPr>
        <w:pStyle w:val="Heading3"/>
      </w:pPr>
      <w:bookmarkStart w:id="32" w:name="timeline"/>
      <w:bookmarkEnd w:id="32"/>
      <w:r>
        <w:t xml:space="preserve">Timeline</w:t>
      </w:r>
    </w:p>
    <w:p>
      <w:pPr>
        <w:pStyle w:val="Compact"/>
        <w:numPr>
          <w:numId w:val="1008"/>
          <w:ilvl w:val="0"/>
        </w:numPr>
      </w:pPr>
      <w:r>
        <w:rPr>
          <w:b/>
        </w:rPr>
        <w:t xml:space="preserve">Sep 17</w:t>
      </w:r>
      <w:r>
        <w:t xml:space="preserve">: Meeting WGs and summary of activity at Plenary 10.</w:t>
      </w:r>
    </w:p>
    <w:p>
      <w:pPr>
        <w:pStyle w:val="Compact"/>
        <w:numPr>
          <w:numId w:val="1008"/>
          <w:ilvl w:val="0"/>
        </w:numPr>
      </w:pPr>
      <w:r>
        <w:rPr>
          <w:b/>
        </w:rPr>
        <w:t xml:space="preserve">Nov 17 - Apr 18</w:t>
      </w:r>
      <w:r>
        <w:t xml:space="preserve">: Medium-term goals.</w:t>
      </w:r>
    </w:p>
    <w:p>
      <w:pPr>
        <w:pStyle w:val="Compact"/>
        <w:numPr>
          <w:numId w:val="1008"/>
          <w:ilvl w:val="0"/>
        </w:numPr>
      </w:pPr>
      <w:r>
        <w:rPr>
          <w:b/>
        </w:rPr>
        <w:t xml:space="preserve">Mar 18</w:t>
      </w:r>
      <w:r>
        <w:t xml:space="preserve">: Progress report presentation at Plenary 11.</w:t>
      </w:r>
    </w:p>
    <w:p>
      <w:pPr>
        <w:pStyle w:val="Compact"/>
        <w:numPr>
          <w:numId w:val="1008"/>
          <w:ilvl w:val="0"/>
        </w:numPr>
      </w:pPr>
      <w:r>
        <w:rPr>
          <w:b/>
        </w:rPr>
        <w:t xml:space="preserve">May 18 - Oct 18</w:t>
      </w:r>
      <w:r>
        <w:t xml:space="preserve">: Long-term goals.</w:t>
      </w:r>
    </w:p>
    <w:p>
      <w:pPr>
        <w:pStyle w:val="Compact"/>
        <w:numPr>
          <w:numId w:val="1008"/>
          <w:ilvl w:val="0"/>
        </w:numPr>
      </w:pPr>
      <w:r>
        <w:rPr>
          <w:b/>
        </w:rPr>
        <w:t xml:space="preserve">Sep 18</w:t>
      </w:r>
      <w:r>
        <w:t xml:space="preserve">: Draft deliverables at Plenary 12.</w:t>
      </w:r>
    </w:p>
    <w:p>
      <w:pPr>
        <w:pStyle w:val="Compact"/>
        <w:numPr>
          <w:numId w:val="1008"/>
          <w:ilvl w:val="0"/>
        </w:numPr>
      </w:pPr>
      <w:r>
        <w:rPr>
          <w:b/>
        </w:rPr>
        <w:t xml:space="preserve">Mar 19</w:t>
      </w:r>
      <w:r>
        <w:t xml:space="preserve">: Presentation of final reports at Plenary 13.</w:t>
      </w:r>
    </w:p>
    <w:p>
      <w:pPr>
        <w:pStyle w:val="Heading1"/>
      </w:pPr>
      <w:bookmarkStart w:id="33" w:name="initial-membership"/>
      <w:bookmarkEnd w:id="33"/>
      <w:r>
        <w:t xml:space="preserve">Initial Membership</w:t>
      </w:r>
    </w:p>
    <w:p>
      <w:pPr>
        <w:pStyle w:val="FirstParagraph"/>
      </w:pPr>
      <w:r>
        <w:t xml:space="preserve">A list of 39 initial members</w:t>
      </w:r>
      <w:r>
        <w:rPr>
          <w:rStyle w:val="FootnoteReference"/>
        </w:rPr>
        <w:footnoteReference w:id="34"/>
      </w:r>
      <w:r>
        <w:t xml:space="preserve"> </w:t>
      </w:r>
      <w:r>
        <w:t xml:space="preserve">is online at</w:t>
      </w:r>
      <w:r>
        <w:t xml:space="preserve"> </w:t>
      </w:r>
      <w:hyperlink r:id="rId35">
        <w:r>
          <w:rPr>
            <w:rStyle w:val="Hyperlink"/>
          </w:rPr>
          <w:t xml:space="preserve">https://www.rd-alliance.org/groups/provenance-patterns-wg</w:t>
        </w:r>
      </w:hyperlink>
      <w:r>
        <w:t xml:space="preserve">.</w:t>
      </w:r>
      <w:r>
        <w:t xml:space="preserve"> </w:t>
      </w:r>
      <w:r>
        <w:t xml:space="preserve">Since this group's work is highly relevant to other WGs, we will WG</w:t>
      </w:r>
      <w:r>
        <w:t xml:space="preserve"> </w:t>
      </w:r>
      <w:r>
        <w:t xml:space="preserve">members attend this group's meetings either in a liaison role or as</w:t>
      </w:r>
      <w:r>
        <w:t xml:space="preserve"> </w:t>
      </w:r>
      <w:r>
        <w:t xml:space="preserve">members in their own right.</w:t>
      </w:r>
    </w:p>
    <w:p>
      <w:pPr>
        <w:pStyle w:val="Heading1"/>
      </w:pPr>
      <w:bookmarkStart w:id="36" w:name="adoption"/>
      <w:bookmarkEnd w:id="36"/>
      <w:r>
        <w:t xml:space="preserve">Adoption</w:t>
      </w:r>
    </w:p>
    <w:p>
      <w:pPr>
        <w:pStyle w:val="Heading2"/>
      </w:pPr>
      <w:bookmarkStart w:id="37" w:name="other-rda-groups"/>
      <w:bookmarkEnd w:id="37"/>
      <w:r>
        <w:t xml:space="preserve">Other RDA groups</w:t>
      </w:r>
    </w:p>
    <w:p>
      <w:pPr>
        <w:pStyle w:val="FirstParagraph"/>
      </w:pPr>
      <w:r>
        <w:t xml:space="preserve">This WG proposal is engagement-driven, primarily with other RDA groups, thus it is in them that we expect to see</w:t>
      </w:r>
      <w:r>
        <w:t xml:space="preserve"> </w:t>
      </w:r>
      <w:r>
        <w:t xml:space="preserve">initial adoption.</w:t>
      </w:r>
    </w:p>
    <w:p>
      <w:pPr>
        <w:pStyle w:val="BodyText"/>
      </w:pPr>
      <w:r>
        <w:t xml:space="preserve">Where another RDA group presents us with a provenance use case, we hope to either:</w:t>
      </w:r>
    </w:p>
    <w:p>
      <w:pPr>
        <w:pStyle w:val="Compact"/>
        <w:numPr>
          <w:numId w:val="1009"/>
          <w:ilvl w:val="0"/>
        </w:numPr>
      </w:pPr>
      <w:r>
        <w:t xml:space="preserve">associate that use case with a generic use case and a thus a pre-made generic resolution</w:t>
      </w:r>
    </w:p>
    <w:p>
      <w:pPr>
        <w:pStyle w:val="Compact"/>
        <w:numPr>
          <w:numId w:val="1009"/>
          <w:ilvl w:val="0"/>
        </w:numPr>
      </w:pPr>
      <w:r>
        <w:t xml:space="preserve">provide a direct provenance pattern-based resolution directly</w:t>
      </w:r>
    </w:p>
    <w:p>
      <w:pPr>
        <w:pStyle w:val="FirstParagraph"/>
      </w:pPr>
      <w:r>
        <w:t xml:space="preserve">In either case, we hope to promote a pattern that the RDA group will adopt and promote to its members.</w:t>
      </w:r>
    </w:p>
    <w:p>
      <w:pPr>
        <w:pStyle w:val="Heading2"/>
      </w:pPr>
      <w:bookmarkStart w:id="38" w:name="prov-wg-member-institutions"/>
      <w:bookmarkEnd w:id="38"/>
      <w:r>
        <w:t xml:space="preserve">Prov WG member institutions</w:t>
      </w:r>
    </w:p>
    <w:p>
      <w:pPr>
        <w:pStyle w:val="FirstParagraph"/>
      </w:pPr>
      <w:r>
        <w:t xml:space="preserve">Most current RDA Provenance IG members are likely to become Prov WG members for their interest in provenance is</w:t>
      </w:r>
      <w:r>
        <w:t xml:space="preserve"> </w:t>
      </w:r>
      <w:r>
        <w:t xml:space="preserve">adoption and that too is the WG's goal. It is likely that outputs from this group, having been generated by its members</w:t>
      </w:r>
      <w:r>
        <w:t xml:space="preserve"> </w:t>
      </w:r>
      <w:r>
        <w:t xml:space="preserve">in response to their direct needs and similar needs of other RDA groups, will therefore be fed back into their home</w:t>
      </w:r>
      <w:r>
        <w:t xml:space="preserve"> </w:t>
      </w:r>
      <w:r>
        <w:t xml:space="preserve">institutions for adoption there.</w:t>
      </w:r>
    </w:p>
    <w:p>
      <w:pPr>
        <w:pStyle w:val="Heading2"/>
      </w:pPr>
      <w:bookmarkStart w:id="39" w:name="non-rda-groups"/>
      <w:bookmarkEnd w:id="39"/>
      <w:r>
        <w:t xml:space="preserve">Non-RDA groups</w:t>
      </w:r>
    </w:p>
    <w:p>
      <w:pPr>
        <w:pStyle w:val="FirstParagraph"/>
      </w:pPr>
      <w:r>
        <w:t xml:space="preserve">The international provenance research community is in contact with many potential consumers of provenance patterns due</w:t>
      </w:r>
      <w:r>
        <w:t xml:space="preserve"> </w:t>
      </w:r>
      <w:r>
        <w:t xml:space="preserve">to their profile as experts on provenance. The potential consumers don't always receive the advice they are seeking due</w:t>
      </w:r>
      <w:r>
        <w:t xml:space="preserve"> </w:t>
      </w:r>
      <w:r>
        <w:t xml:space="preserve">to differences in their aims and that of the research community's. The research community needs to push the provenance</w:t>
      </w:r>
      <w:r>
        <w:t xml:space="preserve"> </w:t>
      </w:r>
      <w:r>
        <w:t xml:space="preserve">envelope forward and not dwell on previous work, even when that work may contain patterns perfectly suited to the</w:t>
      </w:r>
      <w:r>
        <w:t xml:space="preserve"> </w:t>
      </w:r>
      <w:r>
        <w:t xml:space="preserve">potential consumers' needs.</w:t>
      </w:r>
    </w:p>
    <w:p>
      <w:pPr>
        <w:pStyle w:val="BodyText"/>
      </w:pPr>
      <w:r>
        <w:t xml:space="preserve">The Provenance IG has and the WG will have, if membership proceeds as expected, good contacts with the international</w:t>
      </w:r>
      <w:r>
        <w:t xml:space="preserve"> </w:t>
      </w:r>
      <w:r>
        <w:t xml:space="preserve">provenance research community with several IG members having made substantial contributions to provenance research</w:t>
      </w:r>
      <w:r>
        <w:t xml:space="preserve"> </w:t>
      </w:r>
      <w:r>
        <w:t xml:space="preserve">initiatives such as the</w:t>
      </w:r>
      <w:r>
        <w:t xml:space="preserve"> </w:t>
      </w:r>
      <w:hyperlink r:id="rId40">
        <w:r>
          <w:rPr>
            <w:rStyle w:val="Hyperlink"/>
          </w:rPr>
          <w:t xml:space="preserve">Open Provenance Model</w:t>
        </w:r>
      </w:hyperlink>
      <w:r>
        <w:t xml:space="preserve">,</w:t>
      </w:r>
      <w:r>
        <w:t xml:space="preserve"> </w:t>
      </w:r>
      <w:hyperlink r:id="rId41">
        <w:r>
          <w:rPr>
            <w:rStyle w:val="Hyperlink"/>
          </w:rPr>
          <w:t xml:space="preserve">ProvONE</w:t>
        </w:r>
      </w:hyperlink>
      <w:r>
        <w:t xml:space="preserve">, the</w:t>
      </w:r>
      <w:r>
        <w:t xml:space="preserve"> </w:t>
      </w:r>
      <w:hyperlink r:id="rId42">
        <w:r>
          <w:rPr>
            <w:rStyle w:val="Hyperlink"/>
          </w:rPr>
          <w:t xml:space="preserve">PROV W3C standard</w:t>
        </w:r>
      </w:hyperlink>
      <w:r>
        <w:t xml:space="preserve"> </w:t>
      </w:r>
      <w:r>
        <w:t xml:space="preserve">and having presented at many recent provenance conferences such as</w:t>
      </w:r>
      <w:r>
        <w:t xml:space="preserve"> </w:t>
      </w:r>
      <w:hyperlink r:id="rId43">
        <w:r>
          <w:rPr>
            <w:rStyle w:val="Hyperlink"/>
          </w:rPr>
          <w:t xml:space="preserve">IPAW 2014</w:t>
        </w:r>
      </w:hyperlink>
      <w:r>
        <w:t xml:space="preserve"> </w:t>
      </w:r>
      <w:r>
        <w:t xml:space="preserve">&amp;</w:t>
      </w:r>
      <w:r>
        <w:t xml:space="preserve"> </w:t>
      </w:r>
      <w:hyperlink r:id="rId44">
        <w:r>
          <w:rPr>
            <w:rStyle w:val="Hyperlink"/>
          </w:rPr>
          <w:t xml:space="preserve">2016</w:t>
        </w:r>
      </w:hyperlink>
      <w:r>
        <w:t xml:space="preserve">,</w:t>
      </w:r>
      <w:r>
        <w:t xml:space="preserve"> </w:t>
      </w:r>
      <w:hyperlink r:id="rId45">
        <w:r>
          <w:rPr>
            <w:rStyle w:val="Hyperlink"/>
          </w:rPr>
          <w:t xml:space="preserve">TaPP 2015</w:t>
        </w:r>
      </w:hyperlink>
      <w:r>
        <w:t xml:space="preserve">,</w:t>
      </w:r>
      <w:r>
        <w:t xml:space="preserve"> </w:t>
      </w:r>
      <w:hyperlink r:id="rId46">
        <w:r>
          <w:rPr>
            <w:rStyle w:val="Hyperlink"/>
          </w:rPr>
          <w:t xml:space="preserve">TaPP 2017</w:t>
        </w:r>
      </w:hyperlink>
      <w:r>
        <w:t xml:space="preserve"> </w:t>
      </w:r>
      <w:r>
        <w:rPr>
          <w:i/>
        </w:rPr>
        <w:t xml:space="preserve">(coming)</w:t>
      </w:r>
      <w:r>
        <w:t xml:space="preserve">,</w:t>
      </w:r>
      <w:r>
        <w:t xml:space="preserve"> </w:t>
      </w:r>
      <w:hyperlink r:id="rId47">
        <w:r>
          <w:rPr>
            <w:rStyle w:val="Hyperlink"/>
          </w:rPr>
          <w:t xml:space="preserve">Classification Soc 2017</w:t>
        </w:r>
      </w:hyperlink>
      <w:r>
        <w:t xml:space="preserve">,</w:t>
      </w:r>
      <w:r>
        <w:t xml:space="preserve"> </w:t>
      </w:r>
      <w:hyperlink r:id="rId48">
        <w:r>
          <w:rPr>
            <w:rStyle w:val="Hyperlink"/>
          </w:rPr>
          <w:t xml:space="preserve">ISWC 2016</w:t>
        </w:r>
      </w:hyperlink>
      <w:r>
        <w:t xml:space="preserve"> </w:t>
      </w:r>
      <w:r>
        <w:t xml:space="preserve">and</w:t>
      </w:r>
      <w:r>
        <w:t xml:space="preserve"> </w:t>
      </w:r>
      <w:hyperlink r:id="rId49">
        <w:r>
          <w:rPr>
            <w:rStyle w:val="Hyperlink"/>
          </w:rPr>
          <w:t xml:space="preserve">IDCC 2017</w:t>
        </w:r>
      </w:hyperlink>
      <w:r>
        <w:t xml:space="preserve">.</w:t>
      </w:r>
    </w:p>
    <w:p>
      <w:pPr>
        <w:pStyle w:val="BodyText"/>
      </w:pPr>
      <w:r>
        <w:t xml:space="preserve">The full listing of the IG's involvement in provenance conferences is available on the RDA Prov IG wiki:</w:t>
      </w:r>
    </w:p>
    <w:p>
      <w:pPr>
        <w:pStyle w:val="Compact"/>
        <w:numPr>
          <w:numId w:val="1010"/>
          <w:ilvl w:val="0"/>
        </w:numPr>
      </w:pPr>
      <w:hyperlink r:id="rId50">
        <w:r>
          <w:rPr>
            <w:rStyle w:val="Hyperlink"/>
          </w:rPr>
          <w:t xml:space="preserve">https://www.rd-alliance.org/group/research-data-provenance/wiki/provenance-conferences</w:t>
        </w:r>
      </w:hyperlink>
    </w:p>
    <w:p>
      <w:pPr>
        <w:pStyle w:val="Heading2"/>
      </w:pPr>
      <w:bookmarkStart w:id="51" w:name="continued-adoption"/>
      <w:bookmarkEnd w:id="51"/>
      <w:r>
        <w:t xml:space="preserve">Continued adoption</w:t>
      </w:r>
    </w:p>
    <w:p>
      <w:pPr>
        <w:pStyle w:val="FirstParagraph"/>
      </w:pPr>
      <w:r>
        <w:t xml:space="preserve">Some of the outputs from this WG are targeted at continued adoption over time. This proposal includes a deliverable for</w:t>
      </w:r>
      <w:r>
        <w:t xml:space="preserve"> </w:t>
      </w:r>
      <w:r>
        <w:t xml:space="preserve">a "sustainability plan for ongoing tool and data collection custodianship" after having initially established a</w:t>
      </w:r>
      <w:r>
        <w:t xml:space="preserve"> </w:t>
      </w:r>
      <w:r>
        <w:t xml:space="preserve">provenance use case database, listings of provenance tools and provenance datasets. Such a plan is currently missing</w:t>
      </w:r>
      <w:r>
        <w:t xml:space="preserve"> </w:t>
      </w:r>
      <w:r>
        <w:t xml:space="preserve">from the international provenance community despite widespread recognition that it would be useful. This was recognised</w:t>
      </w:r>
      <w:r>
        <w:t xml:space="preserve"> </w:t>
      </w:r>
      <w:r>
        <w:t xml:space="preserve">at IPAW 2016 independently of any RDA involvement.</w:t>
      </w:r>
    </w:p>
    <w:p>
      <w:pPr>
        <w:pStyle w:val="BodyText"/>
      </w:pPr>
      <w:r>
        <w:t xml:space="preserve">It is expected that at the conclusion of this WG, the current provenance IG will have some role in the custodianship of</w:t>
      </w:r>
      <w:r>
        <w:t xml:space="preserve"> </w:t>
      </w:r>
      <w:r>
        <w:t xml:space="preserve">its outputs.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Our use case and patterns database has been online since June 2017:</w:t>
      </w:r>
      <w:r>
        <w:t xml:space="preserve"> </w:t>
      </w:r>
      <w:hyperlink r:id="rId26">
        <w:r>
          <w:rPr>
            <w:rStyle w:val="Hyperlink"/>
          </w:rPr>
          <w:t xml:space="preserve">http://patterns.promsns.org/</w:t>
        </w:r>
      </w:hyperlink>
      <w:r>
        <w:t xml:space="preserve">.</w:t>
      </w:r>
    </w:p>
  </w:footnote>
  <w:footnote w:id="34">
    <w:p>
      <w:pPr>
        <w:pStyle w:val="FootnoteText"/>
      </w:pPr>
      <w:r>
        <w:rPr>
          <w:rStyle w:val="FootnoteReference"/>
        </w:rPr>
        <w:footnoteRef/>
      </w:r>
      <w:r>
        <w:t xml:space="preserve"> </w:t>
      </w:r>
      <w:r>
        <w:t xml:space="preserve">November 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0c3d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a697e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b385977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60fb43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batesa.web.engr.illinois.edu/tapp17/" TargetMode="External" /><Relationship Type="http://schemas.openxmlformats.org/officeDocument/2006/relationships/hyperlink" Id="rId48" Target="http://iswc2016.semanticweb.org/" TargetMode="External" /><Relationship Type="http://schemas.openxmlformats.org/officeDocument/2006/relationships/hyperlink" Id="rId40" Target="http://openprovenance.org/" TargetMode="External" /><Relationship Type="http://schemas.openxmlformats.org/officeDocument/2006/relationships/hyperlink" Id="rId26" Target="http://patterns.promsns.org/" TargetMode="External" /><Relationship Type="http://schemas.openxmlformats.org/officeDocument/2006/relationships/hyperlink" Id="rId41" Target="http://vcvcomputing.com/provone/provone.html" TargetMode="External" /><Relationship Type="http://schemas.openxmlformats.org/officeDocument/2006/relationships/hyperlink" Id="rId45" Target="http://workshops.inf.ed.ac.uk/tapp2015/" TargetMode="External" /><Relationship Type="http://schemas.openxmlformats.org/officeDocument/2006/relationships/hyperlink" Id="rId49" Target="http://www.dcc.ac.uk/events/idcc17" TargetMode="External" /><Relationship Type="http://schemas.openxmlformats.org/officeDocument/2006/relationships/hyperlink" Id="rId43" Target="http://www.ipaw.info/ipaw14" TargetMode="External" /><Relationship Type="http://schemas.openxmlformats.org/officeDocument/2006/relationships/hyperlink" Id="rId44" Target="http://www.ipaw.info/ipaw16" TargetMode="External" /><Relationship Type="http://schemas.openxmlformats.org/officeDocument/2006/relationships/hyperlink" Id="rId47" Target="https://tcs.wildapricot.org/Meeting" TargetMode="External" /><Relationship Type="http://schemas.openxmlformats.org/officeDocument/2006/relationships/hyperlink" Id="rId50" Target="https://www.rd-alliance.org/group/research-data-provenance/wiki/provenance-conferences" TargetMode="External" /><Relationship Type="http://schemas.openxmlformats.org/officeDocument/2006/relationships/hyperlink" Id="rId35" Target="https://www.rd-alliance.org/groups/provenance-patterns-wg" TargetMode="External" /><Relationship Type="http://schemas.openxmlformats.org/officeDocument/2006/relationships/hyperlink" Id="rId42" Target="https://www.w3.org/TR/prov-overview/" TargetMode="External" /></Relationships>
</file>

<file path=word/_rels/footnotes.xml.rels><?xml version="1.0" encoding="UTF-8"?>
<Relationships xmlns="http://schemas.openxmlformats.org/package/2006/relationships"><Relationship Type="http://schemas.openxmlformats.org/officeDocument/2006/relationships/hyperlink" Id="rId46" Target="http://batesa.web.engr.illinois.edu/tapp17/" TargetMode="External" /><Relationship Type="http://schemas.openxmlformats.org/officeDocument/2006/relationships/hyperlink" Id="rId48" Target="http://iswc2016.semanticweb.org/" TargetMode="External" /><Relationship Type="http://schemas.openxmlformats.org/officeDocument/2006/relationships/hyperlink" Id="rId40" Target="http://openprovenance.org/" TargetMode="External" /><Relationship Type="http://schemas.openxmlformats.org/officeDocument/2006/relationships/hyperlink" Id="rId26" Target="http://patterns.promsns.org/" TargetMode="External" /><Relationship Type="http://schemas.openxmlformats.org/officeDocument/2006/relationships/hyperlink" Id="rId41" Target="http://vcvcomputing.com/provone/provone.html" TargetMode="External" /><Relationship Type="http://schemas.openxmlformats.org/officeDocument/2006/relationships/hyperlink" Id="rId45" Target="http://workshops.inf.ed.ac.uk/tapp2015/" TargetMode="External" /><Relationship Type="http://schemas.openxmlformats.org/officeDocument/2006/relationships/hyperlink" Id="rId49" Target="http://www.dcc.ac.uk/events/idcc17" TargetMode="External" /><Relationship Type="http://schemas.openxmlformats.org/officeDocument/2006/relationships/hyperlink" Id="rId43" Target="http://www.ipaw.info/ipaw14" TargetMode="External" /><Relationship Type="http://schemas.openxmlformats.org/officeDocument/2006/relationships/hyperlink" Id="rId44" Target="http://www.ipaw.info/ipaw16" TargetMode="External" /><Relationship Type="http://schemas.openxmlformats.org/officeDocument/2006/relationships/hyperlink" Id="rId47" Target="https://tcs.wildapricot.org/Meeting" TargetMode="External" /><Relationship Type="http://schemas.openxmlformats.org/officeDocument/2006/relationships/hyperlink" Id="rId50" Target="https://www.rd-alliance.org/group/research-data-provenance/wiki/provenance-conferences" TargetMode="External" /><Relationship Type="http://schemas.openxmlformats.org/officeDocument/2006/relationships/hyperlink" Id="rId35" Target="https://www.rd-alliance.org/groups/provenance-patterns-wg" TargetMode="External" /><Relationship Type="http://schemas.openxmlformats.org/officeDocument/2006/relationships/hyperlink" Id="rId42" Target="https://www.w3.org/TR/prov-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Patterns</dc:title>
  <dc:creator>Research Data Provenance IG</dc:creator>
</cp:coreProperties>
</file>