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BB" w:rsidRPr="00DC096B" w:rsidRDefault="00630307" w:rsidP="00662DC4">
      <w:pPr>
        <w:jc w:val="center"/>
        <w:rPr>
          <w:b/>
          <w:sz w:val="28"/>
        </w:rPr>
      </w:pPr>
      <w:r w:rsidRPr="00DC096B">
        <w:rPr>
          <w:b/>
          <w:sz w:val="28"/>
        </w:rPr>
        <w:t xml:space="preserve">Bringing examples of resources to </w:t>
      </w:r>
      <w:r w:rsidR="006C145C">
        <w:rPr>
          <w:b/>
          <w:sz w:val="28"/>
        </w:rPr>
        <w:t>an “</w:t>
      </w:r>
      <w:r w:rsidR="00BA3CCC">
        <w:rPr>
          <w:b/>
          <w:sz w:val="28"/>
        </w:rPr>
        <w:t>X</w:t>
      </w:r>
      <w:r w:rsidRPr="00DC096B">
        <w:rPr>
          <w:b/>
          <w:sz w:val="28"/>
        </w:rPr>
        <w:t>-</w:t>
      </w:r>
      <w:proofErr w:type="spellStart"/>
      <w:r w:rsidRPr="00DC096B">
        <w:rPr>
          <w:b/>
          <w:sz w:val="28"/>
        </w:rPr>
        <w:t>athon</w:t>
      </w:r>
      <w:proofErr w:type="spellEnd"/>
      <w:r w:rsidR="006C145C">
        <w:rPr>
          <w:b/>
          <w:sz w:val="28"/>
        </w:rPr>
        <w:t>”</w:t>
      </w:r>
    </w:p>
    <w:p w:rsidR="00630307" w:rsidRDefault="00630307"/>
    <w:p w:rsidR="000F5225" w:rsidRDefault="000F5225">
      <w:r w:rsidRPr="000F5225">
        <w:t>RDA instructions specify the sources of information for data values, so X-</w:t>
      </w:r>
      <w:proofErr w:type="spellStart"/>
      <w:r w:rsidRPr="000F5225">
        <w:t>athon</w:t>
      </w:r>
      <w:proofErr w:type="spellEnd"/>
      <w:r w:rsidRPr="000F5225">
        <w:t xml:space="preserve"> data should be created with the information to hand.</w:t>
      </w:r>
    </w:p>
    <w:p w:rsidR="000F5225" w:rsidRDefault="000F5225"/>
    <w:p w:rsidR="00630307" w:rsidRDefault="00630307">
      <w:r>
        <w:t xml:space="preserve">You can bring </w:t>
      </w:r>
      <w:r w:rsidR="00825C0D">
        <w:t>examples</w:t>
      </w:r>
      <w:r>
        <w:t xml:space="preserve"> </w:t>
      </w:r>
      <w:r w:rsidR="00A4754D">
        <w:t xml:space="preserve">related to the topic "X" </w:t>
      </w:r>
      <w:bookmarkStart w:id="0" w:name="_GoBack"/>
      <w:bookmarkEnd w:id="0"/>
      <w:r>
        <w:t>as: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The real items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Photocopies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Scans on your laptop and/or a flash drive</w:t>
      </w:r>
    </w:p>
    <w:p w:rsidR="00B915FC" w:rsidRDefault="00825C0D" w:rsidP="00630307">
      <w:pPr>
        <w:pStyle w:val="ListParagraph"/>
        <w:numPr>
          <w:ilvl w:val="0"/>
          <w:numId w:val="1"/>
        </w:numPr>
      </w:pPr>
      <w:r>
        <w:t>Links to title pages and v</w:t>
      </w:r>
      <w:r w:rsidR="00B915FC">
        <w:t xml:space="preserve">ersos from Amazon or Google Books (+ additional data listed below) 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Lists of links to online resources</w:t>
      </w:r>
    </w:p>
    <w:p w:rsidR="00B915FC" w:rsidRDefault="00B915FC" w:rsidP="00630307"/>
    <w:p w:rsidR="003E58B5" w:rsidRDefault="00630307" w:rsidP="00630307">
      <w:r>
        <w:t xml:space="preserve">If you are bringing the real items or links to online resources, then you are done. </w:t>
      </w:r>
    </w:p>
    <w:p w:rsidR="003E58B5" w:rsidRDefault="003E58B5" w:rsidP="00630307"/>
    <w:p w:rsidR="00824446" w:rsidRDefault="00630307" w:rsidP="00630307">
      <w:r>
        <w:t>But if you are bringing scans or photoco</w:t>
      </w:r>
      <w:r w:rsidR="003E58B5">
        <w:t>pies, then please be sure that you</w:t>
      </w:r>
      <w:r w:rsidR="00824446">
        <w:t>:</w:t>
      </w:r>
    </w:p>
    <w:p w:rsidR="00630307" w:rsidRDefault="003E58B5" w:rsidP="00630307">
      <w:pPr>
        <w:pStyle w:val="ListParagraph"/>
        <w:numPr>
          <w:ilvl w:val="0"/>
          <w:numId w:val="2"/>
        </w:numPr>
      </w:pPr>
      <w:r>
        <w:t>Copy</w:t>
      </w:r>
      <w:r w:rsidR="00630307">
        <w:t xml:space="preserve"> the correct sources of information for the type of material:</w:t>
      </w:r>
    </w:p>
    <w:p w:rsidR="00630307" w:rsidRDefault="00630307" w:rsidP="00730209">
      <w:pPr>
        <w:pStyle w:val="ListParagraph"/>
        <w:numPr>
          <w:ilvl w:val="1"/>
          <w:numId w:val="2"/>
        </w:numPr>
        <w:ind w:left="1080"/>
      </w:pPr>
      <w:r>
        <w:t xml:space="preserve">2.2.2.2 Resources Consisting of One or More Pages, Leaves, Sheets, or Cards (or Images of One or More </w:t>
      </w:r>
      <w:r w:rsidR="00D05477">
        <w:t>Pages, Leaves, Sheets, or Cards)</w:t>
      </w:r>
      <w:r w:rsidR="00730209">
        <w:t xml:space="preserve">    </w:t>
      </w:r>
      <w:r>
        <w:t xml:space="preserve"> (</w:t>
      </w:r>
      <w:hyperlink r:id="rId8" w:history="1">
        <w:r w:rsidRPr="00630307">
          <w:rPr>
            <w:rStyle w:val="Hyperlink"/>
          </w:rPr>
          <w:t>http://access.rdatoolkit.org/rdachp2_rda2-2862.html</w:t>
        </w:r>
      </w:hyperlink>
      <w:r>
        <w:t>)</w:t>
      </w:r>
    </w:p>
    <w:p w:rsidR="00D05477" w:rsidRDefault="00D05477" w:rsidP="00630307">
      <w:pPr>
        <w:pStyle w:val="ListParagraph"/>
        <w:numPr>
          <w:ilvl w:val="2"/>
          <w:numId w:val="2"/>
        </w:numPr>
      </w:pPr>
      <w:r>
        <w:t>Single volume, print monographs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Title Page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3E58B5" w:rsidRDefault="00630307" w:rsidP="00D05477">
      <w:pPr>
        <w:pStyle w:val="ListParagraph"/>
        <w:numPr>
          <w:ilvl w:val="3"/>
          <w:numId w:val="2"/>
        </w:numPr>
        <w:ind w:left="2070"/>
      </w:pPr>
      <w:r>
        <w:t>Front and back cover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B846E1" w:rsidRDefault="00B846E1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</w:t>
      </w:r>
    </w:p>
    <w:p w:rsidR="00D05477" w:rsidRDefault="00D05477" w:rsidP="00D05477">
      <w:pPr>
        <w:pStyle w:val="ListParagraph"/>
        <w:numPr>
          <w:ilvl w:val="2"/>
          <w:numId w:val="2"/>
        </w:numPr>
      </w:pPr>
      <w:r>
        <w:t>Multi-volume, print monographs, and continuing resources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Title Page of first or earliest held issue and (if available) last issue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Front and back cover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information, if appropriate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Anything that indicates changes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 xml:space="preserve">2.2.2.3 Resources Consisting of Moving Images </w:t>
      </w:r>
      <w:r w:rsidR="003E58B5">
        <w:t xml:space="preserve"> - not online resources</w:t>
      </w:r>
      <w:r w:rsidR="00FF4F75">
        <w:t xml:space="preserve">; consider bringing a magnifying glass, if you are bringing photocopies of videodiscs/videocassettes </w:t>
      </w:r>
      <w:r>
        <w:t>(</w:t>
      </w:r>
      <w:hyperlink r:id="rId9" w:history="1">
        <w:r w:rsidRPr="00630307">
          <w:rPr>
            <w:rStyle w:val="Hyperlink"/>
          </w:rPr>
          <w:t>http://access.rdatoolkit.org/rdachp2_rda2-2893.html</w:t>
        </w:r>
      </w:hyperlink>
      <w:r>
        <w:t xml:space="preserve">) 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T</w:t>
      </w:r>
      <w:r w:rsidR="00630307" w:rsidRPr="00630307">
        <w:t>itle frame or frames, or title screen or screens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V</w:t>
      </w:r>
      <w:r w:rsidR="00630307">
        <w:t>ideodisc/videocassette label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>2.2.2.4 Other Resources</w:t>
      </w:r>
      <w:r w:rsidR="003E58B5">
        <w:t xml:space="preserve"> – not online resources</w:t>
      </w:r>
      <w:r>
        <w:t xml:space="preserve"> (</w:t>
      </w:r>
      <w:hyperlink r:id="rId10" w:history="1">
        <w:r w:rsidRPr="00630307">
          <w:rPr>
            <w:rStyle w:val="Hyperlink"/>
          </w:rPr>
          <w:t>http://access.rdatoolkit.org/rdachp2_rda2-2905.html</w:t>
        </w:r>
      </w:hyperlink>
      <w:r>
        <w:t>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 label on the resource itself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Internal textual content (e.g., on a CD)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Accompanying textual material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Other accompanying material</w:t>
      </w:r>
    </w:p>
    <w:p w:rsidR="003E58B5" w:rsidRDefault="003E58B5" w:rsidP="003E58B5">
      <w:pPr>
        <w:pStyle w:val="ListParagraph"/>
      </w:pPr>
    </w:p>
    <w:p w:rsidR="00CB0A7E" w:rsidRDefault="00CB0A7E" w:rsidP="003E58B5">
      <w:pPr>
        <w:pStyle w:val="ListParagraph"/>
      </w:pPr>
    </w:p>
    <w:p w:rsidR="00CB0A7E" w:rsidRDefault="00CB0A7E" w:rsidP="003E58B5">
      <w:pPr>
        <w:pStyle w:val="ListParagraph"/>
      </w:pPr>
    </w:p>
    <w:p w:rsidR="003E58B5" w:rsidRDefault="003E58B5" w:rsidP="003E58B5">
      <w:pPr>
        <w:pStyle w:val="ListParagraph"/>
        <w:numPr>
          <w:ilvl w:val="0"/>
          <w:numId w:val="2"/>
        </w:numPr>
      </w:pPr>
      <w:r>
        <w:t>Bring any additional data that is not obvious from the scans/photocopies but will be useful to uniquely identify the resources, provide information about interesting content, or relationships to other resources.</w:t>
      </w:r>
    </w:p>
    <w:p w:rsidR="00DC096B" w:rsidRDefault="00DC096B" w:rsidP="00DC096B">
      <w:pPr>
        <w:pStyle w:val="ListParagraph"/>
      </w:pPr>
    </w:p>
    <w:p w:rsidR="00DC096B" w:rsidRDefault="003E58B5" w:rsidP="00D05477">
      <w:pPr>
        <w:ind w:left="720"/>
      </w:pPr>
      <w:r>
        <w:t xml:space="preserve">The following are </w:t>
      </w:r>
      <w:r>
        <w:rPr>
          <w:u w:val="single"/>
        </w:rPr>
        <w:t>guidelines</w:t>
      </w:r>
      <w:r w:rsidR="00D05477">
        <w:t xml:space="preserve"> for additional </w:t>
      </w:r>
      <w:r>
        <w:t xml:space="preserve">information that could be useful for describing various common types of materials. </w:t>
      </w:r>
    </w:p>
    <w:p w:rsidR="00DC096B" w:rsidRDefault="00DC096B" w:rsidP="00DC096B">
      <w:pPr>
        <w:ind w:left="720"/>
      </w:pPr>
    </w:p>
    <w:p w:rsidR="00D7572A" w:rsidRDefault="00DC096B" w:rsidP="00D05477">
      <w:pPr>
        <w:ind w:left="720"/>
      </w:pPr>
      <w:r>
        <w:t>You could photocopy and fill out the next page for each item, or write this information (clearly) on your photocopied pages.</w:t>
      </w:r>
    </w:p>
    <w:p w:rsidR="00D7572A" w:rsidRDefault="00D7572A" w:rsidP="003E58B5">
      <w:pPr>
        <w:ind w:left="720"/>
        <w:rPr>
          <w:b/>
        </w:rPr>
      </w:pPr>
    </w:p>
    <w:p w:rsidR="00CB0A7E" w:rsidRDefault="00CB0A7E" w:rsidP="003E58B5">
      <w:pPr>
        <w:ind w:left="720"/>
        <w:rPr>
          <w:b/>
        </w:rPr>
      </w:pPr>
    </w:p>
    <w:p w:rsidR="00CB0A7E" w:rsidRDefault="00CB0A7E" w:rsidP="00CB0A7E">
      <w:pPr>
        <w:pStyle w:val="ListParagraph"/>
        <w:numPr>
          <w:ilvl w:val="0"/>
          <w:numId w:val="2"/>
        </w:numPr>
      </w:pPr>
      <w:r>
        <w:t>PLEASE SEPARATE YOUR EXAMPLES INTO THE FOLLOWING CATEGORIES: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in their original languages, carried in unmediated volumes (</w:t>
      </w:r>
      <w:proofErr w:type="spellStart"/>
      <w:r>
        <w:t>i.e</w:t>
      </w:r>
      <w:proofErr w:type="spellEnd"/>
      <w:r>
        <w:t>, print books)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in their original languages, requiring audio or computer devices for access (e.g., audiobooks, eBooks)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that are translations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 xml:space="preserve">Related works containing moving images (e.g., film or TV adaptations, </w:t>
      </w:r>
      <w:proofErr w:type="spellStart"/>
      <w:r>
        <w:t>etc</w:t>
      </w:r>
      <w:proofErr w:type="spellEnd"/>
      <w:r>
        <w:t>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fiction adaptations (e.g., sequels/prequels and other spin-offs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are about persons, families or corporate bodies, or their works expressions, manifestations or items (e.g., biographies and literary criticisms)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Aggregated works (e.g., compilations of novels, short stories, poems, letters, etc., or all works of a person ; or about a person or his or her works; or about a topic 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are object resources (</w:t>
      </w:r>
      <w:proofErr w:type="spellStart"/>
      <w:r>
        <w:t>realia</w:t>
      </w:r>
      <w:proofErr w:type="spellEnd"/>
      <w:r>
        <w:t>)</w:t>
      </w:r>
    </w:p>
    <w:p w:rsidR="00CB0A7E" w:rsidRDefault="00CB0A7E" w:rsidP="003E58B5">
      <w:pPr>
        <w:ind w:left="720"/>
        <w:rPr>
          <w:b/>
        </w:rPr>
        <w:sectPr w:rsidR="00CB0A7E" w:rsidSect="00D7572A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0A7E" w:rsidRDefault="00CB0A7E" w:rsidP="00D7572A">
      <w:pPr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Books</w:t>
      </w:r>
    </w:p>
    <w:p w:rsidR="00CB0A7E" w:rsidRDefault="00CB0A7E" w:rsidP="00D7572A">
      <w:pPr>
        <w:rPr>
          <w:b/>
        </w:rPr>
      </w:pPr>
    </w:p>
    <w:p w:rsidR="00DC096B" w:rsidRPr="00D7572A" w:rsidRDefault="00DC096B" w:rsidP="00D7572A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DC096B" w:rsidRPr="00662DC4" w:rsidRDefault="00DC096B" w:rsidP="00D7572A">
      <w:pPr>
        <w:rPr>
          <w:sz w:val="12"/>
          <w:szCs w:val="12"/>
        </w:rPr>
      </w:pPr>
    </w:p>
    <w:p w:rsidR="00B846E1" w:rsidRDefault="00CB0A7E" w:rsidP="00CB0A7E">
      <w:r>
        <w:t>A</w:t>
      </w:r>
      <w:r w:rsidR="00662DC4">
        <w:t>dditional information:</w:t>
      </w:r>
    </w:p>
    <w:p w:rsidR="00CB0A7E" w:rsidRPr="001C4680" w:rsidRDefault="00CB0A7E" w:rsidP="00CB0A7E">
      <w:pPr>
        <w:rPr>
          <w:sz w:val="16"/>
          <w:szCs w:val="16"/>
        </w:rPr>
      </w:pPr>
    </w:p>
    <w:p w:rsidR="00B846E1" w:rsidRDefault="00B846E1" w:rsidP="00D7572A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1836"/>
        <w:gridCol w:w="709"/>
      </w:tblGrid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illustrations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chiefly illustrations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RPr="008259E1" w:rsidTr="00D7572A">
        <w:tc>
          <w:tcPr>
            <w:tcW w:w="53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6E1" w:rsidRPr="008259E1" w:rsidRDefault="00B846E1">
            <w:pPr>
              <w:ind w:left="-180" w:firstLine="180"/>
              <w:rPr>
                <w:sz w:val="16"/>
                <w:szCs w:val="16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maps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RPr="00662DC4" w:rsidTr="00D7572A">
        <w:trPr>
          <w:gridAfter w:val="2"/>
          <w:wAfter w:w="2545" w:type="dxa"/>
        </w:trPr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6E1" w:rsidRPr="00662DC4" w:rsidRDefault="00B846E1">
            <w:pPr>
              <w:ind w:left="-180" w:firstLine="180"/>
              <w:rPr>
                <w:sz w:val="12"/>
                <w:szCs w:val="12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bibliography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B846E1" w:rsidRPr="00662DC4" w:rsidRDefault="00B846E1" w:rsidP="00D7572A">
      <w:pPr>
        <w:rPr>
          <w:sz w:val="12"/>
          <w:szCs w:val="12"/>
        </w:rPr>
      </w:pPr>
    </w:p>
    <w:p w:rsidR="00B846E1" w:rsidRDefault="00BA3CCC" w:rsidP="00D7572A">
      <w:pPr>
        <w:pStyle w:val="ListParagraph"/>
        <w:numPr>
          <w:ilvl w:val="0"/>
          <w:numId w:val="3"/>
        </w:numPr>
        <w:ind w:left="1080"/>
      </w:pPr>
      <w:r>
        <w:t>Note</w:t>
      </w:r>
      <w:r w:rsidR="00B846E1">
        <w:t xml:space="preserve">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2070"/>
      </w:tblGrid>
      <w:tr w:rsidR="001C4680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680" w:rsidRDefault="001C4680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last numbered  page of each sequence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80" w:rsidRDefault="001C4680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more than two sequences (complex pagination)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pages of plates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leaves of plates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1C4680" w:rsidRDefault="001C4680" w:rsidP="001C4680">
      <w:pPr>
        <w:pStyle w:val="ListParagraph"/>
        <w:ind w:left="1080"/>
      </w:pPr>
    </w:p>
    <w:p w:rsidR="001C4680" w:rsidRDefault="001C4680" w:rsidP="001C4680">
      <w:pPr>
        <w:pStyle w:val="ListParagraph"/>
        <w:numPr>
          <w:ilvl w:val="0"/>
          <w:numId w:val="3"/>
        </w:numPr>
        <w:ind w:left="1080"/>
      </w:pPr>
      <w:r>
        <w:t>Tick or 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1980"/>
      </w:tblGrid>
      <w:tr w:rsidR="001C4680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680" w:rsidRDefault="001C4680" w:rsidP="00550F62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unnumbered pages/leaves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80" w:rsidRDefault="001C4680" w:rsidP="00550F62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 of plates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8259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9E1" w:rsidRDefault="008259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leaves of plates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9E1" w:rsidRDefault="008259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numbered </w:t>
            </w:r>
            <w:r w:rsidR="008259E1">
              <w:rPr>
                <w:sz w:val="20"/>
                <w:szCs w:val="20"/>
              </w:rPr>
              <w:t>illustrations (if numbered)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FF4F75" w:rsidRDefault="00FF4F75" w:rsidP="00D7572A">
      <w:pPr>
        <w:ind w:left="720"/>
        <w:rPr>
          <w:sz w:val="12"/>
          <w:szCs w:val="12"/>
        </w:rPr>
      </w:pPr>
    </w:p>
    <w:p w:rsidR="001C4680" w:rsidRPr="001C4680" w:rsidRDefault="001C4680" w:rsidP="001C4680">
      <w:pPr>
        <w:pStyle w:val="ListParagraph"/>
        <w:numPr>
          <w:ilvl w:val="0"/>
          <w:numId w:val="3"/>
        </w:numPr>
        <w:ind w:left="1080"/>
      </w:pPr>
      <w:r>
        <w:t>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17"/>
      </w:tblGrid>
      <w:tr w:rsidR="00B846E1" w:rsidTr="001C4680">
        <w:trPr>
          <w:trHeight w:val="43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  <w:tr w:rsidR="00B846E1" w:rsidTr="001C4680">
        <w:trPr>
          <w:trHeight w:val="43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width (if greater than height)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</w:tbl>
    <w:p w:rsidR="00B846E1" w:rsidRPr="00662DC4" w:rsidRDefault="00B846E1" w:rsidP="00D7572A">
      <w:pPr>
        <w:ind w:left="720"/>
        <w:rPr>
          <w:sz w:val="12"/>
          <w:szCs w:val="12"/>
        </w:rPr>
      </w:pPr>
    </w:p>
    <w:p w:rsidR="001C4680" w:rsidRDefault="001C4680" w:rsidP="001C4680">
      <w:pPr>
        <w:pStyle w:val="ListParagraph"/>
        <w:numPr>
          <w:ilvl w:val="0"/>
          <w:numId w:val="3"/>
        </w:numPr>
        <w:spacing w:after="240" w:line="360" w:lineRule="auto"/>
        <w:ind w:left="1080"/>
      </w:pPr>
      <w:r>
        <w:t>If not obvious from the scanned/photocopied material:</w:t>
      </w:r>
    </w:p>
    <w:p w:rsidR="001C4680" w:rsidRDefault="001C4680" w:rsidP="001C4680">
      <w:pPr>
        <w:pStyle w:val="ListParagraph"/>
        <w:numPr>
          <w:ilvl w:val="1"/>
          <w:numId w:val="3"/>
        </w:numPr>
        <w:spacing w:before="240" w:after="240" w:line="600" w:lineRule="auto"/>
        <w:ind w:left="1440"/>
      </w:pPr>
      <w:r>
        <w:t>Language(s):  ___________________________________________________________</w:t>
      </w:r>
    </w:p>
    <w:p w:rsidR="001C4680" w:rsidRDefault="001C4680" w:rsidP="001C4680">
      <w:pPr>
        <w:pStyle w:val="ListParagraph"/>
        <w:numPr>
          <w:ilvl w:val="1"/>
          <w:numId w:val="3"/>
        </w:numPr>
        <w:spacing w:line="600" w:lineRule="auto"/>
        <w:ind w:left="1440"/>
      </w:pPr>
      <w:r>
        <w:t>Additional content, e.g., preface, reader’s guide, etc.: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P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  <w:r w:rsidR="00CB0A7E">
        <w:rPr>
          <w:b/>
        </w:rPr>
        <w:br w:type="page"/>
      </w:r>
    </w:p>
    <w:p w:rsidR="00CB0A7E" w:rsidRDefault="00CB0A7E" w:rsidP="00CB0A7E">
      <w:pPr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Videos</w:t>
      </w:r>
    </w:p>
    <w:p w:rsidR="00CB0A7E" w:rsidRDefault="00CB0A7E" w:rsidP="00CB0A7E">
      <w:pPr>
        <w:rPr>
          <w:b/>
        </w:rPr>
      </w:pPr>
    </w:p>
    <w:p w:rsidR="00CB0A7E" w:rsidRPr="00D7572A" w:rsidRDefault="00CB0A7E" w:rsidP="00CB0A7E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CB0A7E" w:rsidRPr="00662DC4" w:rsidRDefault="00CB0A7E" w:rsidP="00CB0A7E">
      <w:pPr>
        <w:rPr>
          <w:sz w:val="12"/>
          <w:szCs w:val="12"/>
        </w:rPr>
      </w:pPr>
    </w:p>
    <w:p w:rsidR="00CB0A7E" w:rsidRDefault="00CB0A7E" w:rsidP="00CB0A7E">
      <w:r>
        <w:t>Additional information (not obvious from the scanned/photocopied material):</w:t>
      </w:r>
    </w:p>
    <w:p w:rsidR="00CB0A7E" w:rsidRDefault="00CB0A7E" w:rsidP="00CB0A7E"/>
    <w:p w:rsidR="00C14D17" w:rsidRPr="00C14D17" w:rsidRDefault="00C14D17" w:rsidP="00D7572A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Style w:val="TableGrid"/>
        <w:tblW w:w="5778" w:type="dxa"/>
        <w:tblInd w:w="1440" w:type="dxa"/>
        <w:tblLook w:val="04A0" w:firstRow="1" w:lastRow="0" w:firstColumn="1" w:lastColumn="0" w:noHBand="0" w:noVBand="1"/>
      </w:tblPr>
      <w:tblGrid>
        <w:gridCol w:w="1188"/>
        <w:gridCol w:w="720"/>
        <w:gridCol w:w="810"/>
        <w:gridCol w:w="990"/>
        <w:gridCol w:w="1260"/>
        <w:gridCol w:w="810"/>
      </w:tblGrid>
      <w:tr w:rsidR="00C14D17" w:rsidTr="00D7572A">
        <w:tc>
          <w:tcPr>
            <w:tcW w:w="1188" w:type="dxa"/>
          </w:tcPr>
          <w:p w:rsidR="00C14D17" w:rsidRDefault="00C14D17" w:rsidP="00C14D17">
            <w:r>
              <w:t>sound</w:t>
            </w:r>
          </w:p>
        </w:tc>
        <w:tc>
          <w:tcPr>
            <w:tcW w:w="720" w:type="dxa"/>
          </w:tcPr>
          <w:p w:rsidR="00C14D17" w:rsidRDefault="00C14D17" w:rsidP="00C14D17"/>
        </w:tc>
        <w:tc>
          <w:tcPr>
            <w:tcW w:w="810" w:type="dxa"/>
            <w:tcBorders>
              <w:right w:val="single" w:sz="4" w:space="0" w:color="auto"/>
            </w:tcBorders>
          </w:tcPr>
          <w:p w:rsidR="00C14D17" w:rsidRDefault="00C14D17" w:rsidP="00C14D17">
            <w:r>
              <w:t>silent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17" w:rsidRDefault="00C14D17" w:rsidP="00C14D17"/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4D17" w:rsidRDefault="00C14D17" w:rsidP="00C14D17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D17" w:rsidRDefault="00C14D17" w:rsidP="00C14D17"/>
        </w:tc>
      </w:tr>
      <w:tr w:rsidR="00C14D17" w:rsidTr="00D7572A">
        <w:tc>
          <w:tcPr>
            <w:tcW w:w="1188" w:type="dxa"/>
          </w:tcPr>
          <w:p w:rsidR="00C14D17" w:rsidRDefault="00C14D17" w:rsidP="002A1519">
            <w:r>
              <w:t>color</w:t>
            </w:r>
          </w:p>
        </w:tc>
        <w:tc>
          <w:tcPr>
            <w:tcW w:w="720" w:type="dxa"/>
          </w:tcPr>
          <w:p w:rsidR="00C14D17" w:rsidRDefault="00C14D17" w:rsidP="002A1519"/>
        </w:tc>
        <w:tc>
          <w:tcPr>
            <w:tcW w:w="810" w:type="dxa"/>
          </w:tcPr>
          <w:p w:rsidR="00C14D17" w:rsidRDefault="00C14D17" w:rsidP="002A1519">
            <w:r>
              <w:t>B&amp;W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14D17" w:rsidRDefault="00C14D17" w:rsidP="002A1519"/>
        </w:tc>
        <w:tc>
          <w:tcPr>
            <w:tcW w:w="1260" w:type="dxa"/>
            <w:tcBorders>
              <w:top w:val="single" w:sz="4" w:space="0" w:color="auto"/>
            </w:tcBorders>
          </w:tcPr>
          <w:p w:rsidR="00C14D17" w:rsidRDefault="00C14D17" w:rsidP="002A1519">
            <w:r>
              <w:t>mixed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14D17" w:rsidRDefault="00C14D17" w:rsidP="002A1519"/>
        </w:tc>
      </w:tr>
    </w:tbl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Language(s):____________________________________________________________</w:t>
      </w:r>
    </w:p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Accessibility content (e.g., closed captioned):  _________________________________</w:t>
      </w:r>
    </w:p>
    <w:p w:rsidR="00CB0A7E" w:rsidRDefault="00CB0A7E" w:rsidP="00CB0A7E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Other useful data: 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A32377" w:rsidRDefault="00CB0A7E" w:rsidP="00CB0A7E">
      <w:pPr>
        <w:tabs>
          <w:tab w:val="left" w:pos="2160"/>
        </w:tabs>
        <w:spacing w:line="360" w:lineRule="auto"/>
        <w:ind w:left="1440"/>
      </w:pPr>
      <w:r>
        <w:t>______________________________________________________________________</w:t>
      </w:r>
      <w:r w:rsidR="00A32377">
        <w:t>____________________________________________________________</w:t>
      </w:r>
    </w:p>
    <w:p w:rsidR="00A32377" w:rsidRPr="00A32377" w:rsidRDefault="00A32377" w:rsidP="00D7572A">
      <w:pPr>
        <w:rPr>
          <w:sz w:val="12"/>
          <w:szCs w:val="16"/>
        </w:rPr>
      </w:pPr>
    </w:p>
    <w:p w:rsidR="001C4680" w:rsidRDefault="001C4680">
      <w:pPr>
        <w:rPr>
          <w:b/>
        </w:rPr>
      </w:pPr>
      <w:r>
        <w:rPr>
          <w:b/>
        </w:rPr>
        <w:br w:type="page"/>
      </w:r>
    </w:p>
    <w:p w:rsidR="001C4680" w:rsidRDefault="001C4680" w:rsidP="001C4680">
      <w:pPr>
        <w:tabs>
          <w:tab w:val="left" w:pos="6237"/>
        </w:tabs>
        <w:rPr>
          <w:b/>
        </w:rPr>
      </w:pPr>
      <w:r>
        <w:lastRenderedPageBreak/>
        <w:t xml:space="preserve">Type of material: </w:t>
      </w:r>
      <w:r>
        <w:rPr>
          <w:b/>
        </w:rPr>
        <w:t>Other tangible resources</w:t>
      </w:r>
      <w:r>
        <w:rPr>
          <w:b/>
        </w:rPr>
        <w:tab/>
      </w:r>
    </w:p>
    <w:p w:rsidR="001C4680" w:rsidRDefault="001C4680" w:rsidP="001C4680">
      <w:pPr>
        <w:rPr>
          <w:b/>
        </w:rPr>
      </w:pPr>
    </w:p>
    <w:p w:rsidR="001C4680" w:rsidRDefault="001C4680" w:rsidP="001C4680">
      <w:pPr>
        <w:rPr>
          <w:b/>
        </w:rPr>
      </w:pPr>
      <w:r>
        <w:rPr>
          <w:b/>
        </w:rPr>
        <w:t xml:space="preserve">Resource Identifier (e.g., Title, etc.):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______________________________________________________</w:t>
      </w:r>
    </w:p>
    <w:p w:rsidR="001C4680" w:rsidRDefault="001C4680" w:rsidP="001C4680">
      <w:pPr>
        <w:rPr>
          <w:sz w:val="12"/>
          <w:szCs w:val="12"/>
        </w:rPr>
      </w:pPr>
    </w:p>
    <w:p w:rsidR="001C4680" w:rsidRDefault="001C4680" w:rsidP="001C4680">
      <w:pPr>
        <w:rPr>
          <w:sz w:val="12"/>
          <w:szCs w:val="16"/>
        </w:rPr>
      </w:pPr>
    </w:p>
    <w:p w:rsidR="001C4680" w:rsidRDefault="001C4680" w:rsidP="001C4680">
      <w:pPr>
        <w:spacing w:line="360" w:lineRule="auto"/>
        <w:rPr>
          <w:b/>
        </w:rPr>
      </w:pPr>
      <w:r>
        <w:rPr>
          <w:b/>
        </w:rPr>
        <w:t>Additional information</w:t>
      </w:r>
      <w:r>
        <w:t xml:space="preserve"> (not obvious from scanned/photocopied material)</w:t>
      </w:r>
      <w:r>
        <w:rPr>
          <w:b/>
        </w:rPr>
        <w:t>:</w:t>
      </w:r>
    </w:p>
    <w:p w:rsidR="001C4680" w:rsidRDefault="001C4680" w:rsidP="001C4680">
      <w:pPr>
        <w:spacing w:line="360" w:lineRule="auto"/>
      </w:pPr>
    </w:p>
    <w:p w:rsidR="001C4680" w:rsidRDefault="001C4680" w:rsidP="001C4680">
      <w:pPr>
        <w:pStyle w:val="TableBullet1"/>
        <w:numPr>
          <w:ilvl w:val="3"/>
          <w:numId w:val="10"/>
        </w:numPr>
        <w:spacing w:line="600" w:lineRule="auto"/>
        <w:ind w:left="1440"/>
      </w:pPr>
      <w:r>
        <w:t>Language(s):  ____________________________________________________________</w:t>
      </w:r>
    </w:p>
    <w:p w:rsidR="001C4680" w:rsidRDefault="001C4680" w:rsidP="001C4680">
      <w:pPr>
        <w:pStyle w:val="TableBullet1"/>
        <w:numPr>
          <w:ilvl w:val="2"/>
          <w:numId w:val="9"/>
        </w:numPr>
        <w:spacing w:line="600" w:lineRule="auto"/>
        <w:ind w:left="1440" w:hanging="360"/>
      </w:pPr>
      <w:r>
        <w:t>Other useful data: 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sectPr w:rsidR="001C4680" w:rsidSect="00D75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13" w:rsidRDefault="00031213" w:rsidP="00DC096B">
      <w:r>
        <w:separator/>
      </w:r>
    </w:p>
  </w:endnote>
  <w:endnote w:type="continuationSeparator" w:id="0">
    <w:p w:rsidR="00031213" w:rsidRDefault="00031213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96B" w:rsidRPr="00DC096B" w:rsidRDefault="00BA3CCC">
    <w:pPr>
      <w:pStyle w:val="Footer"/>
    </w:pPr>
    <w:proofErr w:type="spellStart"/>
    <w:proofErr w:type="gramStart"/>
    <w:r>
      <w:t>xathonBringExamples</w:t>
    </w:r>
    <w:proofErr w:type="spellEnd"/>
    <w:proofErr w:type="gramEnd"/>
    <w:r>
      <w:t xml:space="preserve"> </w:t>
    </w:r>
    <w:r w:rsidR="00DC096B">
      <w:rPr>
        <w:i/>
      </w:rPr>
      <w:t>(</w:t>
    </w:r>
    <w:r>
      <w:rPr>
        <w:i/>
      </w:rPr>
      <w:t>March 22</w:t>
    </w:r>
    <w:r w:rsidR="00824446">
      <w:rPr>
        <w:i/>
      </w:rPr>
      <w:t>, 2015</w:t>
    </w:r>
    <w:r w:rsidR="00DC096B">
      <w:rPr>
        <w:i/>
      </w:rPr>
      <w:t>)</w:t>
    </w:r>
    <w:r w:rsidR="00DC096B">
      <w:rPr>
        <w:i/>
      </w:rPr>
      <w:tab/>
    </w:r>
    <w:r w:rsidR="00DC096B">
      <w:tab/>
    </w:r>
    <w:r w:rsidR="00DC096B">
      <w:fldChar w:fldCharType="begin"/>
    </w:r>
    <w:r w:rsidR="00DC096B">
      <w:instrText xml:space="preserve"> PAGE   \* MERGEFORMAT </w:instrText>
    </w:r>
    <w:r w:rsidR="00DC096B">
      <w:fldChar w:fldCharType="separate"/>
    </w:r>
    <w:r w:rsidR="00A4754D">
      <w:rPr>
        <w:noProof/>
      </w:rPr>
      <w:t>1</w:t>
    </w:r>
    <w:r w:rsidR="00DC09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13" w:rsidRDefault="00031213" w:rsidP="00DC096B">
      <w:r>
        <w:separator/>
      </w:r>
    </w:p>
  </w:footnote>
  <w:footnote w:type="continuationSeparator" w:id="0">
    <w:p w:rsidR="00031213" w:rsidRDefault="00031213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518"/>
    <w:multiLevelType w:val="multilevel"/>
    <w:tmpl w:val="36A0E004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6423F"/>
    <w:multiLevelType w:val="multilevel"/>
    <w:tmpl w:val="36A0E004"/>
    <w:numStyleLink w:val="Style1"/>
  </w:abstractNum>
  <w:abstractNum w:abstractNumId="5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031213"/>
    <w:rsid w:val="00044CA6"/>
    <w:rsid w:val="000F5225"/>
    <w:rsid w:val="001A4629"/>
    <w:rsid w:val="001C4680"/>
    <w:rsid w:val="002377AA"/>
    <w:rsid w:val="003E58B5"/>
    <w:rsid w:val="00441953"/>
    <w:rsid w:val="00507811"/>
    <w:rsid w:val="005217B3"/>
    <w:rsid w:val="00585D44"/>
    <w:rsid w:val="00594FB9"/>
    <w:rsid w:val="00630307"/>
    <w:rsid w:val="006547C6"/>
    <w:rsid w:val="00662DC4"/>
    <w:rsid w:val="006A3BE5"/>
    <w:rsid w:val="006A4C9F"/>
    <w:rsid w:val="006C145C"/>
    <w:rsid w:val="006E144B"/>
    <w:rsid w:val="00730209"/>
    <w:rsid w:val="00820120"/>
    <w:rsid w:val="00824446"/>
    <w:rsid w:val="008259E1"/>
    <w:rsid w:val="00825C0D"/>
    <w:rsid w:val="00912C3B"/>
    <w:rsid w:val="009A241A"/>
    <w:rsid w:val="009E3407"/>
    <w:rsid w:val="00A32377"/>
    <w:rsid w:val="00A4754D"/>
    <w:rsid w:val="00AC6FE8"/>
    <w:rsid w:val="00B03F6A"/>
    <w:rsid w:val="00B846E1"/>
    <w:rsid w:val="00B915FC"/>
    <w:rsid w:val="00BA3CCC"/>
    <w:rsid w:val="00C14D17"/>
    <w:rsid w:val="00C96CF2"/>
    <w:rsid w:val="00CB0A7E"/>
    <w:rsid w:val="00D05477"/>
    <w:rsid w:val="00D7572A"/>
    <w:rsid w:val="00D940A5"/>
    <w:rsid w:val="00DC096B"/>
    <w:rsid w:val="00DD2F6B"/>
    <w:rsid w:val="00E71725"/>
    <w:rsid w:val="00F36546"/>
    <w:rsid w:val="00FC329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C145C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C145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.rdatoolkit.org/rdachp2_rda2-2862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ccess.rdatoolkit.org/rdachp2_rda2-29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cess.rdatoolkit.org/rdachp2_rda2-28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5</cp:revision>
  <cp:lastPrinted>2014-12-24T21:44:00Z</cp:lastPrinted>
  <dcterms:created xsi:type="dcterms:W3CDTF">2015-03-22T11:52:00Z</dcterms:created>
  <dcterms:modified xsi:type="dcterms:W3CDTF">2015-03-22T12:27:00Z</dcterms:modified>
</cp:coreProperties>
</file>