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northwind-q3-proposal-reference-brief"/>
    <w:p>
      <w:pPr>
        <w:pStyle w:val="Heading1"/>
      </w:pPr>
      <w:r>
        <w:t xml:space="preserve">Northwind Q3 Proposal — Reference Brief</w:t>
      </w:r>
    </w:p>
    <w:p>
      <w:pPr>
        <w:pStyle w:val="FirstParagraph"/>
      </w:pPr>
      <w:r>
        <w:t xml:space="preserve">The FY2026 pacing target is 92 percent. CKW_FIXTURE_SENTINEL.</w:t>
      </w:r>
    </w:p>
    <w:bookmarkStart w:id="9" w:name="budget"/>
    <w:p>
      <w:pPr>
        <w:pStyle w:val="Heading2"/>
      </w:pPr>
      <w:r>
        <w:t xml:space="preserve">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$120,000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</w:tr>
    </w:tbl>
    <w:bookmarkEnd w:id="9"/>
    <w:bookmarkStart w:id="10" w:name="timeline"/>
    <w:p>
      <w:pPr>
        <w:pStyle w:val="Heading2"/>
      </w:pPr>
      <w:r>
        <w:t xml:space="preserve">Timeline</w:t>
      </w:r>
    </w:p>
    <w:p>
      <w:pPr>
        <w:pStyle w:val="FirstParagraph"/>
      </w:pPr>
      <w:r>
        <w:t xml:space="preserve">Kickoff in October; delivery by December.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2026-07-06T16:37:57Z</dcterms:created>
  <dcterms:modified xsi:type="dcterms:W3CDTF">2026-07-06T16:37:57Z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