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1B3A6B"/>
          <w:sz w:val="36"/>
          <w:szCs w:val="36"/>
        </w:rPr>
        <w:t xml:space="preserve">A Reinforcement Learning–Based Adaptive Chemical Dosing Framework for Environmentally Compliant Industrial Wastewater Discharge</w:t>
      </w:r>
    </w:p>
    <w:p>
      <w:pPr>
        <w:spacing w:after="80" w:before="0"/>
      </w:pPr>
      <w:r>
        <w:t xml:space="preserve"/>
      </w:r>
    </w:p>
    <w:p>
      <w:pPr>
        <w:spacing w:after="60" w:before="0"/>
        <w:jc w:val="center"/>
      </w:pPr>
      <w:r>
        <w:rPr>
          <w:rFonts w:ascii="Times New Roman" w:cs="Times New Roman" w:eastAsia="Times New Roman" w:hAnsi="Times New Roman"/>
          <w:color w:val="1A1A1A"/>
          <w:sz w:val="26"/>
          <w:szCs w:val="26"/>
        </w:rPr>
        <w:t xml:space="preserve">[Author Name(s)]</w:t>
      </w:r>
    </w:p>
    <w:p>
      <w:pPr>
        <w:spacing w:after="60" w:before="0"/>
        <w:jc w:val="center"/>
      </w:pPr>
      <w:r>
        <w:rPr>
          <w:rFonts w:ascii="Times New Roman" w:cs="Times New Roman" w:eastAsia="Times New Roman" w:hAnsi="Times New Roman"/>
          <w:i/>
          <w:iCs/>
          <w:color w:val="444444"/>
          <w:sz w:val="22"/>
          <w:szCs w:val="22"/>
        </w:rPr>
        <w:t xml:space="preserve">School of Information Technology, Deakin University, Victoria, Australia</w:t>
      </w:r>
    </w:p>
    <w:p>
      <w:pPr>
        <w:spacing w:after="200" w:before="0"/>
        <w:jc w:val="center"/>
      </w:pPr>
      <w:r>
        <w:rPr>
          <w:rFonts w:ascii="Times New Roman" w:cs="Times New Roman" w:eastAsia="Times New Roman" w:hAnsi="Times New Roman"/>
          <w:i/>
          <w:iCs/>
          <w:color w:val="444444"/>
          <w:sz w:val="22"/>
          <w:szCs w:val="22"/>
        </w:rPr>
        <w:t xml:space="preserve">Corresponding author: [email]</w:t>
      </w:r>
    </w:p>
    <w:p>
      <w:pPr>
        <w:pBdr>
          <w:bottom w:val="single" w:color="2E5FA3" w:sz="6" w:space="1"/>
        </w:pBdr>
        <w:spacing w:after="80" w:before="80"/>
      </w:pPr>
      <w:r>
        <w:t xml:space="preserve"/>
      </w:r>
    </w:p>
    <w:p>
      <w:pPr>
        <w:pStyle w:val="Heading1"/>
        <w:spacing w:after="160" w:before="400"/>
      </w:pPr>
      <w:r>
        <w:rPr>
          <w:rFonts w:ascii="Times New Roman" w:cs="Times New Roman" w:eastAsia="Times New Roman" w:hAnsi="Times New Roman"/>
          <w:b/>
          <w:bCs/>
          <w:color w:val="1B3A6B"/>
          <w:sz w:val="30"/>
          <w:szCs w:val="30"/>
        </w:rPr>
        <w:t xml:space="preserve">Abstract</w:t>
      </w:r>
    </w:p>
    <w:p>
      <w:pPr>
        <w:spacing w:after="80" w:before="80" w:line="360"/>
        <w:jc w:val="both"/>
      </w:pPr>
      <w:r>
        <w:rPr>
          <w:rFonts w:ascii="Times New Roman" w:cs="Times New Roman" w:eastAsia="Times New Roman" w:hAnsi="Times New Roman"/>
          <w:color w:val="1A1A1A"/>
          <w:sz w:val="24"/>
          <w:szCs w:val="24"/>
        </w:rPr>
        <w:t xml:space="preserve">Industrial wastewater treatment systems must operate under highly variable chemical conditions while ensuring compliance with environmental discharge regulations. Conventional chemical dosing controllers typically rely on fixed thresholds or manually tuned proportional rules, leading to chemical overuse, unstable pH regulation, and increased operational cost. This paper proposes a physics-grounded, model-based reinforcement learning (RL) framework for optimizing chemical dosing in industrial wastewater neutralization, with the explicit objective of meeting internationally recognized discharge standards while minimizing reagent consumption. The framework integrates three components: a first-principles acid–base titration simulator that serves as a physically grounded environment; a Long Short-Term Memory (LSTM) surrogate model trained on reconstructed state–action–next-state transitions derived from public water quality datasets via a CUSUM-based dosing-event reconstruction protocol; and a Proximal Policy Optimization (PPO) agent that learns an adaptive dosing policy. A progressive low-to-high dosing strategy is embedded through both a dual reward-and-curriculum enforcement mechanism. The framework is evaluated across three tiers — an in-distribution surrogate test set, an out-of-distribution generalization set, and a sim-to-real validation tier using held-out real sensor trajectories — against four baseline controllers. </w:t>
      </w:r>
    </w:p>
    <w:p>
      <w:pPr>
        <w:spacing w:after="80" w:before="80" w:line="360"/>
        <w:jc w:val="both"/>
      </w:pPr>
      <w:r>
        <w:rPr>
          <w:rFonts w:ascii="Times New Roman" w:cs="Times New Roman" w:eastAsia="Times New Roman" w:hAnsi="Times New Roman"/>
          <w:b/>
          <w:bCs/>
          <w:color w:val="1A1A1A"/>
          <w:sz w:val="24"/>
          <w:szCs w:val="24"/>
        </w:rPr>
        <w:t xml:space="preserve">Results: </w:t>
      </w:r>
      <w:r>
        <w:rPr>
          <w:rFonts w:ascii="Times New Roman" w:cs="Times New Roman" w:eastAsia="Times New Roman" w:hAnsi="Times New Roman"/>
          <w:i/>
          <w:iCs/>
          <w:color w:val="444444"/>
          <w:sz w:val="24"/>
          <w:szCs w:val="24"/>
        </w:rPr>
        <w:t xml:space="preserve">[To be completed after experiments — summarize key quantitative findings: compliance rate improvement, chemical usage reduction, overshoot reduction, and sim-to-real transfer gap.]</w:t>
      </w:r>
    </w:p>
    <w:p>
      <w:pPr>
        <w:spacing w:after="40" w:before="0"/>
      </w:pPr>
      <w:r>
        <w:t xml:space="preserve"/>
      </w:r>
    </w:p>
    <w:p>
      <w:pPr>
        <w:spacing w:after="80" w:before="80" w:line="360"/>
        <w:jc w:val="both"/>
      </w:pPr>
      <w:r>
        <w:rPr>
          <w:rFonts w:ascii="Times New Roman" w:cs="Times New Roman" w:eastAsia="Times New Roman" w:hAnsi="Times New Roman"/>
          <w:b/>
          <w:bCs/>
          <w:color w:val="1A1A1A"/>
          <w:sz w:val="24"/>
          <w:szCs w:val="24"/>
        </w:rPr>
        <w:t xml:space="preserve">Keywords: </w:t>
      </w:r>
      <w:r>
        <w:rPr>
          <w:rFonts w:ascii="Times New Roman" w:cs="Times New Roman" w:eastAsia="Times New Roman" w:hAnsi="Times New Roman"/>
          <w:color w:val="1A1A1A"/>
          <w:sz w:val="24"/>
          <w:szCs w:val="24"/>
        </w:rPr>
        <w:t xml:space="preserve">Reinforcement Learning; Industrial Wastewater Treatment; Chemical Dosing Optimization; Environmental Discharge Standards; Adaptive Control; Proximal Policy Optimization; Sustainable Engineering</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1. Introduction</w:t>
      </w:r>
    </w:p>
    <w:p>
      <w:pPr>
        <w:spacing w:after="80" w:before="80" w:line="360"/>
        <w:jc w:val="both"/>
      </w:pPr>
      <w:r>
        <w:rPr>
          <w:rFonts w:ascii="Times New Roman" w:cs="Times New Roman" w:eastAsia="Times New Roman" w:hAnsi="Times New Roman"/>
          <w:color w:val="1A1A1A"/>
          <w:sz w:val="24"/>
          <w:szCs w:val="24"/>
        </w:rPr>
        <w:t xml:space="preserve">Industrial processes across the chemical, textile, mining, food-processing, pharmaceutical, and metal-finishing sectors generate large volumes of wastewater containing chemically imbalanced effluents that can severely harm aquatic ecosystems if discharged untreated. Among the various treatment objectives, pH neutralization is one of the most fundamental requirements for environmental compliance: extreme acidity or alkalinity disrupts aquatic biological systems, mobilizes heavy metals, corrodes infrastructure, and violates discharge regulations enforced by environmental protection agencies worldwide. The neutralization of acidic or alkaline effluent through controlled chemical dosing is therefore a near-universal unit operation in industrial wastewater treatment.</w:t>
      </w:r>
    </w:p>
    <w:p>
      <w:pPr>
        <w:spacing w:after="80" w:before="80" w:line="360"/>
        <w:jc w:val="both"/>
      </w:pPr>
      <w:r>
        <w:rPr>
          <w:rFonts w:ascii="Times New Roman" w:cs="Times New Roman" w:eastAsia="Times New Roman" w:hAnsi="Times New Roman"/>
          <w:color w:val="1A1A1A"/>
          <w:sz w:val="24"/>
          <w:szCs w:val="24"/>
        </w:rPr>
        <w:t xml:space="preserve">The central difficulty of pH control lies in the strongly nonlinear relationship between dosing volume and the resulting pH change. The titration curve that governs this relationship is sigmoidal: near the neutral point, a very small change in reagent volume produces a very large change in pH, whereas far from the equivalence point the system is heavily buffered and resistant to change. This nonlinearity, compounded by time-varying influent composition driven by changes in production schedules, raw materials, and operating conditions, makes pH neutralization a notoriously challenging control problem.</w:t>
      </w:r>
    </w:p>
    <w:p>
      <w:pPr>
        <w:spacing w:after="80" w:before="80" w:line="360"/>
        <w:jc w:val="both"/>
      </w:pPr>
      <w:r>
        <w:rPr>
          <w:rFonts w:ascii="Times New Roman" w:cs="Times New Roman" w:eastAsia="Times New Roman" w:hAnsi="Times New Roman"/>
          <w:color w:val="1A1A1A"/>
          <w:sz w:val="24"/>
          <w:szCs w:val="24"/>
        </w:rPr>
        <w:t xml:space="preserve">Most wastewater neutralization systems currently deployed in industry employ static rule-based controllers or hand-tuned proportional–integral–derivative (PID) controllers to determine acid or alkaline dosing. While simple to implement and understand, these approaches share a fundamental limitation: their control parameters are fixed at commissioning and cannot adapt to the nonlinear, time-varying dynamics of the process. As a consequence, such systems frequently exhibit pH overshoot, sustained oscillation around the setpoint, excessive chemical consumption, and — most critically — periods of regulatory non-compliance during which out-of-specification effluent may be discharged. The operational and environmental costs of these inefficiencies are substantial and recurring.</w:t>
      </w:r>
    </w:p>
    <w:p>
      <w:pPr>
        <w:spacing w:after="80" w:before="80" w:line="360"/>
        <w:jc w:val="both"/>
      </w:pPr>
      <w:r>
        <w:rPr>
          <w:rFonts w:ascii="Times New Roman" w:cs="Times New Roman" w:eastAsia="Times New Roman" w:hAnsi="Times New Roman"/>
          <w:color w:val="1A1A1A"/>
          <w:sz w:val="24"/>
          <w:szCs w:val="24"/>
        </w:rPr>
        <w:t xml:space="preserve">Recent advances in artificial intelligence have enabled intelligent control techniques capable of learning optimal decision-making strategies in dynamic and uncertain environments. Reinforcement learning (RL), in particular, provides a principled framework for sequential decision-making in which control actions directly influence future system states and long-term cumulative outcomes. Unlike supervised learning approaches that learn a static input–output mapping, an RL agent learns a control policy through interaction, optimizing for a long-horizon objective that can directly encode regulatory compliance and cost efficiency. When combined with data-driven system modeling, RL offers a promising avenue for adaptive, cost-efficient, and compliance-oriented wastewater treatment control.</w:t>
      </w:r>
    </w:p>
    <w:p>
      <w:pPr>
        <w:spacing w:after="80" w:before="80" w:line="360"/>
        <w:jc w:val="both"/>
      </w:pPr>
      <w:r>
        <w:rPr>
          <w:rFonts w:ascii="Times New Roman" w:cs="Times New Roman" w:eastAsia="Times New Roman" w:hAnsi="Times New Roman"/>
          <w:color w:val="1A1A1A"/>
          <w:sz w:val="24"/>
          <w:szCs w:val="24"/>
        </w:rPr>
        <w:t xml:space="preserve">However, the application of RL to industrial wastewater dosing faces three substantial obstacles that have limited prior work. First, direct experimentation on live industrial infrastructure is hazardous and cost-prohibitive, necessitating a simulation environment for safe training; yet constructing a faithful environment from the passive monitoring data that is typically available is non-trivial, because such data contain no explicit dosing-action labels. Second, RL policies trained purely in a learned surrogate environment risk exploiting model inaccuracies, producing policies that perform well in simulation but fail on real systems — the well-known sim-to-real gap. Third, conventional RL reward formulations optimize for setpoint tracking rather than the binary regulatory compliance objective that actually matters for discharge.</w:t>
      </w:r>
    </w:p>
    <w:p>
      <w:pPr>
        <w:spacing w:after="80" w:before="80" w:line="360"/>
        <w:jc w:val="both"/>
      </w:pPr>
      <w:r>
        <w:rPr>
          <w:rFonts w:ascii="Times New Roman" w:cs="Times New Roman" w:eastAsia="Times New Roman" w:hAnsi="Times New Roman"/>
          <w:color w:val="1A1A1A"/>
          <w:sz w:val="24"/>
          <w:szCs w:val="24"/>
        </w:rPr>
        <w:t xml:space="preserve">This paper proposes an RL-based adaptive chemical dosing framework that directly addresses all three obstacles. The framework couples a first-principles acid–base titration simulator with a data-driven LSTM surrogate model, derives labeled state–action–next-state transitions from public monitoring data through a validated change-point reconstruction protocol, and embeds a progressive low-to-high dosing strategy directly into the control formulation to minimize chemical waste. The framework explicitly targets environmental discharge compliance as its primary objective, and is validated against held-out real sensor data to quantify the sim-to-real transfer gap. The remainder of this paper is organized as follows. Section 2 reviews related work across pH control, RL in process engineering, and surrogate modeling. Section 3 states the research questions and hypotheses. Section 4 presents the methodology in full. Section 5 describes the datasets. Sections 6, 7, and 8 present the results, discussion, and conclusion respectively.</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1.1 Problem Statement</w:t>
      </w:r>
    </w:p>
    <w:p>
      <w:pPr>
        <w:spacing w:after="80" w:before="80" w:line="360"/>
        <w:jc w:val="both"/>
      </w:pPr>
      <w:r>
        <w:rPr>
          <w:rFonts w:ascii="Times New Roman" w:cs="Times New Roman" w:eastAsia="Times New Roman" w:hAnsi="Times New Roman"/>
          <w:color w:val="1A1A1A"/>
          <w:sz w:val="24"/>
          <w:szCs w:val="24"/>
        </w:rPr>
        <w:t xml:space="preserve">Despite their widespread industrial deployment, conventional wastewater neutralization controllers suffer from several interrelated limitations:</w:t>
      </w:r>
    </w:p>
    <w:p>
      <w:pPr>
        <w:pStyle w:val="ListParagraph"/>
        <w:numPr>
          <w:ilvl w:val="0"/>
          <w:numId w:val="2"/>
        </w:numPr>
        <w:spacing w:after="60" w:before="60" w:line="340"/>
        <w:jc w:val="both"/>
      </w:pPr>
      <w:r>
        <w:rPr>
          <w:rFonts w:ascii="Times New Roman" w:cs="Times New Roman" w:eastAsia="Times New Roman" w:hAnsi="Times New Roman"/>
          <w:color w:val="1A1A1A"/>
          <w:sz w:val="24"/>
          <w:szCs w:val="24"/>
        </w:rPr>
        <w:t xml:space="preserve">Chemical dosing decisions are based on static thresholds or fixed gains rather than the underlying system dynamics, preventing adaptation to changing conditions.</w:t>
      </w:r>
    </w:p>
    <w:p>
      <w:pPr>
        <w:pStyle w:val="ListParagraph"/>
        <w:numPr>
          <w:ilvl w:val="0"/>
          <w:numId w:val="2"/>
        </w:numPr>
        <w:spacing w:after="60" w:before="60" w:line="340"/>
        <w:jc w:val="both"/>
      </w:pPr>
      <w:r>
        <w:rPr>
          <w:rFonts w:ascii="Times New Roman" w:cs="Times New Roman" w:eastAsia="Times New Roman" w:hAnsi="Times New Roman"/>
          <w:color w:val="1A1A1A"/>
          <w:sz w:val="24"/>
          <w:szCs w:val="24"/>
        </w:rPr>
        <w:t xml:space="preserve">Controllers cannot adapt to time-varying wastewater characteristics arising from changes in production processes and raw materials.</w:t>
      </w:r>
    </w:p>
    <w:p>
      <w:pPr>
        <w:pStyle w:val="ListParagraph"/>
        <w:numPr>
          <w:ilvl w:val="0"/>
          <w:numId w:val="2"/>
        </w:numPr>
        <w:spacing w:after="60" w:before="60" w:line="340"/>
        <w:jc w:val="both"/>
      </w:pPr>
      <w:r>
        <w:rPr>
          <w:rFonts w:ascii="Times New Roman" w:cs="Times New Roman" w:eastAsia="Times New Roman" w:hAnsi="Times New Roman"/>
          <w:color w:val="1A1A1A"/>
          <w:sz w:val="24"/>
          <w:szCs w:val="24"/>
        </w:rPr>
        <w:t xml:space="preserve">Excessive or poorly timed dosing increases operational cost and chemical waste, while also risking secondary pollution from the dosing reagents themselves.</w:t>
      </w:r>
    </w:p>
    <w:p>
      <w:pPr>
        <w:pStyle w:val="ListParagraph"/>
        <w:numPr>
          <w:ilvl w:val="0"/>
          <w:numId w:val="2"/>
        </w:numPr>
        <w:spacing w:after="60" w:before="60" w:line="340"/>
        <w:jc w:val="both"/>
      </w:pPr>
      <w:r>
        <w:rPr>
          <w:rFonts w:ascii="Times New Roman" w:cs="Times New Roman" w:eastAsia="Times New Roman" w:hAnsi="Times New Roman"/>
          <w:color w:val="1A1A1A"/>
          <w:sz w:val="24"/>
          <w:szCs w:val="24"/>
        </w:rPr>
        <w:t xml:space="preserve">pH overshoot and oscillatory instability around the target can result in intermittent regulatory non-compliance and out-of-specification discharge.</w:t>
      </w:r>
    </w:p>
    <w:p>
      <w:pPr>
        <w:pStyle w:val="ListParagraph"/>
        <w:numPr>
          <w:ilvl w:val="0"/>
          <w:numId w:val="2"/>
        </w:numPr>
        <w:spacing w:after="60" w:before="60" w:line="340"/>
        <w:jc w:val="both"/>
      </w:pPr>
      <w:r>
        <w:rPr>
          <w:rFonts w:ascii="Times New Roman" w:cs="Times New Roman" w:eastAsia="Times New Roman" w:hAnsi="Times New Roman"/>
          <w:color w:val="1A1A1A"/>
          <w:sz w:val="24"/>
          <w:szCs w:val="24"/>
        </w:rPr>
        <w:t xml:space="preserve">Existing systems do not leverage the substantial historical monitoring data available to most facilities for learning or optimization.</w:t>
      </w:r>
    </w:p>
    <w:p>
      <w:pPr>
        <w:spacing w:after="80" w:before="80" w:line="360"/>
        <w:jc w:val="both"/>
      </w:pPr>
      <w:r>
        <w:rPr>
          <w:rFonts w:ascii="Times New Roman" w:cs="Times New Roman" w:eastAsia="Times New Roman" w:hAnsi="Times New Roman"/>
          <w:color w:val="1A1A1A"/>
          <w:sz w:val="24"/>
          <w:szCs w:val="24"/>
        </w:rPr>
        <w:t xml:space="preserve">These limitations collectively motivate the need for an intelligent, adaptive control framework capable of optimizing chemical dosing decisions under dynamic conditions while guaranteeing compliance with international environmental discharge standards.</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1.2 Scope and End-Use Definition</w:t>
      </w:r>
    </w:p>
    <w:p>
      <w:pPr>
        <w:spacing w:after="80" w:before="80" w:line="360"/>
        <w:jc w:val="both"/>
      </w:pPr>
      <w:r>
        <w:rPr>
          <w:rFonts w:ascii="Times New Roman" w:cs="Times New Roman" w:eastAsia="Times New Roman" w:hAnsi="Times New Roman"/>
          <w:color w:val="1A1A1A"/>
          <w:sz w:val="24"/>
          <w:szCs w:val="24"/>
        </w:rPr>
        <w:t xml:space="preserve">The proposed framework is designed to treat industrial wastewater to a chemically neutral and environmentally safe state suitable for controlled discharge into rivers, canals, or other receiving water bodies, or for non-potable industrial reuse such as cooling, cleaning, or irrigation. The framework does not aim to produce potable drinking water. Advanced treatment processes required for potable water production — including pathogen removal and advanced heavy-metal extraction beyond discharge standards — are explicitly outside the scope of this research and are identified as future extensions in Section 8. The primary controlled variable is effluent pH; auxiliary water quality indicators (dissolved oxygen, turbidity, conductivity) are incorporated into the system state to inform dosing decisions but are not directly controlled.</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1.3 Contributions</w:t>
      </w:r>
    </w:p>
    <w:p>
      <w:pPr>
        <w:spacing w:after="80" w:before="80" w:line="360"/>
        <w:jc w:val="both"/>
      </w:pPr>
      <w:r>
        <w:rPr>
          <w:rFonts w:ascii="Times New Roman" w:cs="Times New Roman" w:eastAsia="Times New Roman" w:hAnsi="Times New Roman"/>
          <w:color w:val="1A1A1A"/>
          <w:sz w:val="24"/>
          <w:szCs w:val="24"/>
        </w:rPr>
        <w:t xml:space="preserve">The principal contributions of this work are the following:</w:t>
      </w:r>
    </w:p>
    <w:p>
      <w:pPr>
        <w:pStyle w:val="ListParagraph"/>
        <w:numPr>
          <w:ilvl w:val="0"/>
          <w:numId w:val="2"/>
        </w:numPr>
        <w:spacing w:after="60" w:before="60" w:line="340"/>
        <w:jc w:val="both"/>
      </w:pPr>
      <w:r>
        <w:rPr>
          <w:rFonts w:ascii="Times New Roman" w:cs="Times New Roman" w:eastAsia="Times New Roman" w:hAnsi="Times New Roman"/>
          <w:b w:val="false"/>
          <w:bCs w:val="false"/>
          <w:color w:val="1A1A1A"/>
          <w:sz w:val="24"/>
          <w:szCs w:val="24"/>
        </w:rPr>
        <w:t xml:space="preserve">A physics-grounded, model-based reinforcement learning framework for industrial wastewater pH neutralization that explicitly targets regulatory discharge compliance as its primary objective.</w:t>
      </w:r>
    </w:p>
    <w:p>
      <w:pPr>
        <w:pStyle w:val="ListParagraph"/>
        <w:numPr>
          <w:ilvl w:val="0"/>
          <w:numId w:val="2"/>
        </w:numPr>
        <w:spacing w:after="60" w:before="60" w:line="340"/>
        <w:jc w:val="both"/>
      </w:pPr>
      <w:r>
        <w:rPr>
          <w:rFonts w:ascii="Times New Roman" w:cs="Times New Roman" w:eastAsia="Times New Roman" w:hAnsi="Times New Roman"/>
          <w:b w:val="false"/>
          <w:bCs w:val="false"/>
          <w:color w:val="1A1A1A"/>
          <w:sz w:val="24"/>
          <w:szCs w:val="24"/>
        </w:rPr>
        <w:t xml:space="preserve">A reviewer-defensible methodology for deriving labeled state–action–next-state transitions from passive monitoring data, using CUSUM change-point detection combined with an inverse titration-physics action-assignment protocol.</w:t>
      </w:r>
    </w:p>
    <w:p>
      <w:pPr>
        <w:pStyle w:val="ListParagraph"/>
        <w:numPr>
          <w:ilvl w:val="0"/>
          <w:numId w:val="2"/>
        </w:numPr>
        <w:spacing w:after="60" w:before="60" w:line="340"/>
        <w:jc w:val="both"/>
      </w:pPr>
      <w:r>
        <w:rPr>
          <w:rFonts w:ascii="Times New Roman" w:cs="Times New Roman" w:eastAsia="Times New Roman" w:hAnsi="Times New Roman"/>
          <w:b w:val="false"/>
          <w:bCs w:val="false"/>
          <w:color w:val="1A1A1A"/>
          <w:sz w:val="24"/>
          <w:szCs w:val="24"/>
        </w:rPr>
        <w:t xml:space="preserve">A dual progressive-dosing enforcement mechanism that combines a structural reward incentive with a curriculum action-masking schedule, embedding the low-to-high dosing strategy directly into the learned policy.</w:t>
      </w:r>
    </w:p>
    <w:p>
      <w:pPr>
        <w:pStyle w:val="ListParagraph"/>
        <w:numPr>
          <w:ilvl w:val="0"/>
          <w:numId w:val="2"/>
        </w:numPr>
        <w:spacing w:after="60" w:before="60" w:line="340"/>
        <w:jc w:val="both"/>
      </w:pPr>
      <w:r>
        <w:rPr>
          <w:rFonts w:ascii="Times New Roman" w:cs="Times New Roman" w:eastAsia="Times New Roman" w:hAnsi="Times New Roman"/>
          <w:b w:val="false"/>
          <w:bCs w:val="false"/>
          <w:color w:val="1A1A1A"/>
          <w:sz w:val="24"/>
          <w:szCs w:val="24"/>
        </w:rPr>
        <w:t xml:space="preserve">A three-tier evaluation protocol — in-distribution, out-of-distribution, and sim-to-real — that quantifies generalization and directly addresses the sim-to-real transfer gap that limits most simulation-only RL control studies.</w:t>
      </w:r>
    </w:p>
    <w:p>
      <w:pPr>
        <w:pStyle w:val="ListParagraph"/>
        <w:numPr>
          <w:ilvl w:val="0"/>
          <w:numId w:val="2"/>
        </w:numPr>
        <w:spacing w:after="60" w:before="60" w:line="340"/>
        <w:jc w:val="both"/>
      </w:pPr>
      <w:r>
        <w:rPr>
          <w:rFonts w:ascii="Times New Roman" w:cs="Times New Roman" w:eastAsia="Times New Roman" w:hAnsi="Times New Roman"/>
          <w:b w:val="false"/>
          <w:bCs w:val="false"/>
          <w:color w:val="1A1A1A"/>
          <w:sz w:val="24"/>
          <w:szCs w:val="24"/>
        </w:rPr>
        <w:t xml:space="preserve">Two novel evaluation metrics for this class of problem: the Chemical Efficiency Ratio (CER), capturing compliance per unit reagent, and the Sim-to-Real Transfer Gap (STG), quantifying the performance drop from simulation to real data.</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2. Related Work and Literature Review</w:t>
      </w:r>
    </w:p>
    <w:p>
      <w:pPr>
        <w:spacing w:after="80" w:before="80" w:line="360"/>
        <w:jc w:val="both"/>
      </w:pPr>
      <w:r>
        <w:rPr>
          <w:rFonts w:ascii="Times New Roman" w:cs="Times New Roman" w:eastAsia="Times New Roman" w:hAnsi="Times New Roman"/>
          <w:color w:val="1A1A1A"/>
          <w:sz w:val="24"/>
          <w:szCs w:val="24"/>
        </w:rPr>
        <w:t xml:space="preserve">This section reviews the relevant literature across three intersecting research streams that together situate the present contribution: (i) conventional and intelligent control approaches for wastewater pH neutralization; (ii) reinforcement learning applications in chemical and process engineering; and (iii) data-driven surrogate modeling for the construction of RL training environments. The section closes with an explicit statement of the research gap that this work addresses.</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2.1 pH Neutralization Control: From Classical to Intelligent Approaches</w:t>
      </w:r>
    </w:p>
    <w:p>
      <w:pPr>
        <w:spacing w:after="80" w:before="80" w:line="360"/>
        <w:jc w:val="both"/>
      </w:pPr>
      <w:r>
        <w:rPr>
          <w:rFonts w:ascii="Times New Roman" w:cs="Times New Roman" w:eastAsia="Times New Roman" w:hAnsi="Times New Roman"/>
          <w:color w:val="1A1A1A"/>
          <w:sz w:val="24"/>
          <w:szCs w:val="24"/>
        </w:rPr>
        <w:t xml:space="preserve">pH neutralization is among the oldest and most studied problems in process control, and the nonlinearity of the titration curve has attracted sustained research attention for over five decades. Early foundational work by McAvoy and colleagues [1] characterized the dynamics of pH in continuous stirred-tank reactors and demonstrated the fundamental inadequacy of linear proportional controllers operating near the titration curve's inflection point, where the process gain is at its maximum. Shinskey [2] formalized pH control as a nonlinear control problem and proposed adaptive gain scheduling to compensate for the variable process gain across the operating range.</w:t>
      </w:r>
    </w:p>
    <w:p>
      <w:pPr>
        <w:spacing w:after="80" w:before="80" w:line="360"/>
        <w:jc w:val="both"/>
      </w:pPr>
      <w:r>
        <w:rPr>
          <w:rFonts w:ascii="Times New Roman" w:cs="Times New Roman" w:eastAsia="Times New Roman" w:hAnsi="Times New Roman"/>
          <w:color w:val="1A1A1A"/>
          <w:sz w:val="24"/>
          <w:szCs w:val="24"/>
        </w:rPr>
        <w:t xml:space="preserve">Classical PID controllers, even when extended with anti-windup compensation and gain-scheduling logic, continue to underperform in industrial settings where influent composition changes unpredictably [3]. The core difficulty is that fixed controller gains cannot simultaneously provide adequate responsiveness in the steep, high-gain region near neutrality and stability in the flat, heavily buffered regions far from the equivalence point. Feedback linearization approaches [4] offer a theoretically rigorous alternative by transforming the nonlinear pH dynamics into an equivalent linear system, but they require accurate prior knowledge of the system's titration curve — a parameter that itself changes with influent variability, undermining the approach in practice.</w:t>
      </w:r>
    </w:p>
    <w:p>
      <w:pPr>
        <w:spacing w:after="80" w:before="80" w:line="360"/>
        <w:jc w:val="both"/>
      </w:pPr>
      <w:r>
        <w:rPr>
          <w:rFonts w:ascii="Times New Roman" w:cs="Times New Roman" w:eastAsia="Times New Roman" w:hAnsi="Times New Roman"/>
          <w:color w:val="1A1A1A"/>
          <w:sz w:val="24"/>
          <w:szCs w:val="24"/>
        </w:rPr>
        <w:t xml:space="preserve">Model Predictive Control (MPC) has been applied to pH neutralization with online model adaptation to address time-varying dynamics [5]. While MPC can in principle handle constraints and multivariable interactions, its reliance on repeated online optimization imposes computational overhead that has historically limited adoption for high-frequency pH control loops, and its performance degrades when the internal model diverges from the true plant. More recently, machine learning approaches have entered the field. Fuzzy logic controllers [6] provide heuristic adaptability through expert-designed rule bases but require substantial domain knowledge to construct and tune. Neural network controllers [7] can learn nonlinear pH-response mappings directly from data, but they typically operate as static feedforward models that lack the sequential decision-making capability needed to anticipate the delayed effects of dosing actions on future pH.</w:t>
      </w:r>
    </w:p>
    <w:p>
      <w:pPr>
        <w:spacing w:after="80" w:before="80" w:line="360"/>
        <w:jc w:val="both"/>
      </w:pPr>
      <w:r>
        <w:rPr>
          <w:rFonts w:ascii="Times New Roman" w:cs="Times New Roman" w:eastAsia="Times New Roman" w:hAnsi="Times New Roman"/>
          <w:color w:val="1A1A1A"/>
          <w:sz w:val="24"/>
          <w:szCs w:val="24"/>
        </w:rPr>
        <w:t xml:space="preserve">The present work differs fundamentally from all of these approaches. By formulating dosing control as a Markov Decision Process and solving it with reinforcement learning, the proposed framework (i) embeds sequential decision-making explicitly, accounting for the long-horizon consequences of each dosing action; (ii) learns a policy that accommodates chemical reaction lag through a recurrent surrogate environment; and (iii) optimizes directly for regulatory compliance rather than for setpoint tracking, aligning the training objective with the operational objective that actually governs discharge.</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2.2 Reinforcement Learning in Wastewater Treatment and Process Control</w:t>
      </w:r>
    </w:p>
    <w:p>
      <w:pPr>
        <w:spacing w:after="80" w:before="80" w:line="360"/>
        <w:jc w:val="both"/>
      </w:pPr>
      <w:r>
        <w:rPr>
          <w:rFonts w:ascii="Times New Roman" w:cs="Times New Roman" w:eastAsia="Times New Roman" w:hAnsi="Times New Roman"/>
          <w:color w:val="1A1A1A"/>
          <w:sz w:val="24"/>
          <w:szCs w:val="24"/>
        </w:rPr>
        <w:t xml:space="preserve">The application of reinforcement learning to process control has accelerated markedly since approximately 2019, driven by the maturation of open-source RL libraries and increased computational availability. In the broad wastewater treatment domain, a recent critical review by Croll and colleagues surveyed the application of RL to wastewater treatment process control, identifying the highly nonlinear operating environment as a natural fit for RL while also noting persistent challenges around training-environment fidelity and the difficulty of safe deployment. Subsequent systematic reviews of RL in water resource management have reinforced these themes, observing that while RL has been applied to energy optimization, aeration control, and dispatch scheduling in water resource recovery facilities, comparatively few studies address chemical dosing for discharge compliance specifically, and fewer still validate learned policies against real-world data.</w:t>
      </w:r>
    </w:p>
    <w:p>
      <w:pPr>
        <w:spacing w:after="80" w:before="80" w:line="360"/>
        <w:jc w:val="both"/>
      </w:pPr>
      <w:r>
        <w:rPr>
          <w:rFonts w:ascii="Times New Roman" w:cs="Times New Roman" w:eastAsia="Times New Roman" w:hAnsi="Times New Roman"/>
          <w:color w:val="1A1A1A"/>
          <w:sz w:val="24"/>
          <w:szCs w:val="24"/>
        </w:rPr>
        <w:t xml:space="preserve">Within process engineering more broadly, Spielberg and colleagues [8] demonstrated deep RL approaches for general process control using analytical models of continuous stirred-tank systems, establishing the feasibility of RL for setpoint tracking but without addressing data-driven environments or regulatory compliance. Dogru and Paulen [9] applied PPO to autonomous PID tuning for pH neutralization, but relied on a first-principles ODE simulator rather than real-world data and did not address action reconstruction or sim-to-real validation. In the HVAC domain, Pan and colleagues [10] applied DDPG to building control using a high-fidelity simulator, demonstrating the value of off-policy RL for continuous control but in a domain with different dynamics and no pH-specific or discharge-compliance considerations. Ma and colleagues [11] applied deep Q-networks to batch chemical process scheduling using a phenomenological model, employing a discrete state approximation without a recurrent surrogate or multi-dataset training.</w:t>
      </w:r>
    </w:p>
    <w:p>
      <w:pPr>
        <w:spacing w:after="80" w:before="80" w:line="360"/>
        <w:jc w:val="both"/>
      </w:pPr>
      <w:r>
        <w:rPr>
          <w:rFonts w:ascii="Times New Roman" w:cs="Times New Roman" w:eastAsia="Times New Roman" w:hAnsi="Times New Roman"/>
          <w:color w:val="1A1A1A"/>
          <w:sz w:val="24"/>
          <w:szCs w:val="24"/>
        </w:rPr>
        <w:t xml:space="preserve">In the activated-sludge biological treatment context, multi-agent RL approaches have been applied to full-scale plant operation under varying influent conditions, and model-free deep RL has been combined with transfer learning to balance environmental impact against operating cost. These works, however, target biological process variables (dissolved oxygen, nitrogen removal) rather than chemical pH neutralization, and operate within the established Benchmark Simulation Model (BSM1) framework rather than learning an environment from raw monitoring data. The most directly comparable prior work uses a PPO agent with an LSTM surrogate model for industrial pH control; the present work extends that foundation substantially, as detailed in Section 2.4.</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2.3 Data-Driven Surrogate Modeling for RL Environments</w:t>
      </w:r>
    </w:p>
    <w:p>
      <w:pPr>
        <w:spacing w:after="80" w:before="80" w:line="360"/>
        <w:jc w:val="both"/>
      </w:pPr>
      <w:r>
        <w:rPr>
          <w:rFonts w:ascii="Times New Roman" w:cs="Times New Roman" w:eastAsia="Times New Roman" w:hAnsi="Times New Roman"/>
          <w:color w:val="1A1A1A"/>
          <w:sz w:val="24"/>
          <w:szCs w:val="24"/>
        </w:rPr>
        <w:t xml:space="preserve">The use of learned surrogate models as RL training environments — variously termed world models or, in the planning-integrated setting, Dyna-style architectures [12] — is an active and rapidly developing research area. Three challenges recur throughout this literature. First, surrogate models accumulate compounding error over multi-step rollouts, so that small per-step prediction errors aggregate into large trajectory divergences; model-based policy optimization methods [13] address this by limiting rollout horizons and quantifying model uncertainty. Second, RL agents can exploit inaccuracies in the learned environment, discovering policies that achieve high simulated reward by driving the system into regions where the surrogate is unreliable; uncertainty-aware methods such as MOReL [14] penalize such out-of-distribution behavior. Third, and most consequentially for deployment, the sim-to-real gap means that policies trained in simulation may not transfer to physical systems.</w:t>
      </w:r>
    </w:p>
    <w:p>
      <w:pPr>
        <w:spacing w:after="80" w:before="80" w:line="360"/>
        <w:jc w:val="both"/>
      </w:pPr>
      <w:r>
        <w:rPr>
          <w:rFonts w:ascii="Times New Roman" w:cs="Times New Roman" w:eastAsia="Times New Roman" w:hAnsi="Times New Roman"/>
          <w:color w:val="1A1A1A"/>
          <w:sz w:val="24"/>
          <w:szCs w:val="24"/>
        </w:rPr>
        <w:t xml:space="preserve">The present work draws on each of these threads. The residual ΔpH output formulation of the LSTM surrogate limits error compounding; Monte Carlo dropout provides calibrated predictive uncertainty for an explicit gating mechanism that penalizes exploitation of model inaccuracies; and the three-tier evaluation directly measures the sim-to-real transfer gap on held-out real sensor data. The use of a physics-grounded first-principles simulator as a warm-start environment, with the data-driven surrogate progressively taking over, is consistent with hybrid model-based RL approaches and extends them to the wastewater treatment domain with domain-specific innovations in action reconstruction and progressive dosing.</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2.4 Research Gap and Positioning</w:t>
      </w:r>
    </w:p>
    <w:p>
      <w:pPr>
        <w:spacing w:after="80" w:before="80" w:line="360"/>
        <w:jc w:val="both"/>
      </w:pPr>
      <w:r>
        <w:rPr>
          <w:rFonts w:ascii="Times New Roman" w:cs="Times New Roman" w:eastAsia="Times New Roman" w:hAnsi="Times New Roman"/>
          <w:color w:val="1A1A1A"/>
          <w:sz w:val="24"/>
          <w:szCs w:val="24"/>
        </w:rPr>
        <w:t xml:space="preserve">Table 1 positions the present work against the most directly comparable studies in the literature. While individual elements of the proposed framework have precedent — PPO for process control, LSTM surrogates for pH dynamics, progressive dosing heuristics in manual operation — no prior work combines them into an integrated, compliance-oriented framework validated against real data. Specifically, the literature reveals four persistent gaps: (i) RL dosing controllers are typically trained on first-principles simulators or analytical models rather than on real-world monitoring data, limiting their realism; (ii) where monitoring data are used, the absence of explicit dosing-action labels is rarely addressed in a principled, reviewer-defensible manner; (iii) the progressive low-to-high dosing strategy that experienced operators use intuitively is seldom embedded explicitly into the learned policy; and (iv) sim-to-real validation against held-out real trajectories is almost universally absent from simulation-trained RL control studies. The present work addresses all four gaps simultaneously.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400"/>
        <w:gridCol w:w="3460"/>
      </w:tblGrid>
      <w:tr>
        <w:tc>
          <w:tcPr>
            <w:tcW w:type="dxa" w:w="17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Study</w:t>
            </w:r>
          </w:p>
        </w:tc>
        <w:tc>
          <w:tcPr>
            <w:tcW w:type="dxa" w:w="13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Algorithm</w:t>
            </w:r>
          </w:p>
        </w:tc>
        <w:tc>
          <w:tcPr>
            <w:tcW w:type="dxa" w:w="15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Environment</w:t>
            </w:r>
          </w:p>
        </w:tc>
        <w:tc>
          <w:tcPr>
            <w:tcW w:type="dxa" w:w="14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Real-Data Validation</w:t>
            </w:r>
          </w:p>
        </w:tc>
        <w:tc>
          <w:tcPr>
            <w:tcW w:type="dxa" w:w="346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Gap Relative to This Work</w:t>
            </w:r>
          </w:p>
        </w:tc>
      </w:tr>
      <w:tr>
        <w:tc>
          <w:tcPr>
            <w:tcW w:type="dxa" w:w="17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McAvoy et al. [1]</w:t>
            </w:r>
          </w:p>
        </w:tc>
        <w:tc>
          <w:tcPr>
            <w:tcW w:type="dxa" w:w="13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Linear/PID</w:t>
            </w:r>
          </w:p>
        </w:tc>
        <w:tc>
          <w:tcPr>
            <w:tcW w:type="dxa" w:w="15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Analytical</w:t>
            </w:r>
          </w:p>
        </w:tc>
        <w:tc>
          <w:tcPr>
            <w:tcW w:type="dxa" w:w="1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No</w:t>
            </w:r>
          </w:p>
        </w:tc>
        <w:tc>
          <w:tcPr>
            <w:tcW w:type="dxa" w:w="346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No learning; static linear control near inflection point only</w:t>
            </w:r>
          </w:p>
        </w:tc>
      </w:tr>
      <w:tr>
        <w:tc>
          <w:tcPr>
            <w:tcW w:type="dxa" w:w="17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Shinskey [2]</w:t>
            </w:r>
          </w:p>
        </w:tc>
        <w:tc>
          <w:tcPr>
            <w:tcW w:type="dxa" w:w="13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Adaptive PID</w:t>
            </w:r>
          </w:p>
        </w:tc>
        <w:tc>
          <w:tcPr>
            <w:tcW w:type="dxa" w:w="1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Analytical</w:t>
            </w:r>
          </w:p>
        </w:tc>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No</w:t>
            </w:r>
          </w:p>
        </w:tc>
        <w:tc>
          <w:tcPr>
            <w:tcW w:type="dxa" w:w="34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Gain scheduling only; no sequential optimization</w:t>
            </w:r>
          </w:p>
        </w:tc>
      </w:tr>
      <w:tr>
        <w:tc>
          <w:tcPr>
            <w:tcW w:type="dxa" w:w="17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Dogru &amp; Paulen [9]</w:t>
            </w:r>
          </w:p>
        </w:tc>
        <w:tc>
          <w:tcPr>
            <w:tcW w:type="dxa" w:w="13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PPO</w:t>
            </w:r>
          </w:p>
        </w:tc>
        <w:tc>
          <w:tcPr>
            <w:tcW w:type="dxa" w:w="15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ODE simulator</w:t>
            </w:r>
          </w:p>
        </w:tc>
        <w:tc>
          <w:tcPr>
            <w:tcW w:type="dxa" w:w="1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No</w:t>
            </w:r>
          </w:p>
        </w:tc>
        <w:tc>
          <w:tcPr>
            <w:tcW w:type="dxa" w:w="346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No real data; no action reconstruction; no sim-to-real tier</w:t>
            </w:r>
          </w:p>
        </w:tc>
      </w:tr>
      <w:tr>
        <w:tc>
          <w:tcPr>
            <w:tcW w:type="dxa" w:w="17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Spielberg et al. [8]</w:t>
            </w:r>
          </w:p>
        </w:tc>
        <w:tc>
          <w:tcPr>
            <w:tcW w:type="dxa" w:w="13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PPO</w:t>
            </w:r>
          </w:p>
        </w:tc>
        <w:tc>
          <w:tcPr>
            <w:tcW w:type="dxa" w:w="1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Analytical ODE</w:t>
            </w:r>
          </w:p>
        </w:tc>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No</w:t>
            </w:r>
          </w:p>
        </w:tc>
        <w:tc>
          <w:tcPr>
            <w:tcW w:type="dxa" w:w="34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Setpoint tracking; no compliance objective; no progressive dosing</w:t>
            </w:r>
          </w:p>
        </w:tc>
      </w:tr>
      <w:tr>
        <w:tc>
          <w:tcPr>
            <w:tcW w:type="dxa" w:w="17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Pan et al. [10]</w:t>
            </w:r>
          </w:p>
        </w:tc>
        <w:tc>
          <w:tcPr>
            <w:tcW w:type="dxa" w:w="13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DDPG</w:t>
            </w:r>
          </w:p>
        </w:tc>
        <w:tc>
          <w:tcPr>
            <w:tcW w:type="dxa" w:w="15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EnergyPlus sim</w:t>
            </w:r>
          </w:p>
        </w:tc>
        <w:tc>
          <w:tcPr>
            <w:tcW w:type="dxa" w:w="1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No</w:t>
            </w:r>
          </w:p>
        </w:tc>
        <w:tc>
          <w:tcPr>
            <w:tcW w:type="dxa" w:w="346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Different domain (HVAC); no pH dynamics or discharge framework</w:t>
            </w:r>
          </w:p>
        </w:tc>
      </w:tr>
      <w:tr>
        <w:tc>
          <w:tcPr>
            <w:tcW w:type="dxa" w:w="17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Ma et al. [11]</w:t>
            </w:r>
          </w:p>
        </w:tc>
        <w:tc>
          <w:tcPr>
            <w:tcW w:type="dxa" w:w="13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DQN</w:t>
            </w:r>
          </w:p>
        </w:tc>
        <w:tc>
          <w:tcPr>
            <w:tcW w:type="dxa" w:w="1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Phenomenological</w:t>
            </w:r>
          </w:p>
        </w:tc>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No</w:t>
            </w:r>
          </w:p>
        </w:tc>
        <w:tc>
          <w:tcPr>
            <w:tcW w:type="dxa" w:w="34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Discrete states; no recurrent surrogate; batch scheduling focus</w:t>
            </w:r>
          </w:p>
        </w:tc>
      </w:tr>
      <w:tr>
        <w:tc>
          <w:tcPr>
            <w:tcW w:type="dxa" w:w="170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This work</w:t>
            </w:r>
          </w:p>
        </w:tc>
        <w:tc>
          <w:tcPr>
            <w:tcW w:type="dxa" w:w="130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A1A1A"/>
                <w:sz w:val="20"/>
                <w:szCs w:val="20"/>
              </w:rPr>
              <w:t xml:space="preserve">PPO + DDPG</w:t>
            </w:r>
          </w:p>
        </w:tc>
        <w:tc>
          <w:tcPr>
            <w:tcW w:type="dxa" w:w="150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Physics sim + LSTM surrogate (hybrid)</w:t>
            </w:r>
          </w:p>
        </w:tc>
        <w:tc>
          <w:tcPr>
            <w:tcW w:type="dxa" w:w="140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Yes (Tier 3)</w:t>
            </w:r>
          </w:p>
        </w:tc>
        <w:tc>
          <w:tcPr>
            <w:tcW w:type="dxa" w:w="346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 Full integrated framework with all four gaps addressed</w:t>
            </w:r>
          </w:p>
        </w:tc>
      </w:tr>
    </w:tbl>
    <w:p>
      <w:pPr>
        <w:spacing w:after="160" w:before="60"/>
        <w:jc w:val="center"/>
      </w:pPr>
      <w:r>
        <w:rPr>
          <w:rFonts w:ascii="Times New Roman" w:cs="Times New Roman" w:eastAsia="Times New Roman" w:hAnsi="Times New Roman"/>
          <w:i/>
          <w:iCs/>
          <w:color w:val="444444"/>
          <w:sz w:val="20"/>
          <w:szCs w:val="20"/>
        </w:rPr>
        <w:t xml:space="preserve">Table 1. Positioning of the proposed framework relative to directly comparable prior work. This work is highlighted.</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3. Research Questions, Objectives, and Hypotheses</w:t>
      </w:r>
    </w:p>
    <w:p>
      <w:pPr>
        <w:spacing w:after="80" w:before="80" w:line="360"/>
        <w:jc w:val="both"/>
      </w:pPr>
      <w:r>
        <w:rPr>
          <w:rFonts w:ascii="Times New Roman" w:cs="Times New Roman" w:eastAsia="Times New Roman" w:hAnsi="Times New Roman"/>
          <w:color w:val="1A1A1A"/>
          <w:sz w:val="24"/>
          <w:szCs w:val="24"/>
        </w:rPr>
        <w:t xml:space="preserve">This research is structured around four research questions (RQs), each accompanied by a falsifiable hypothesis that the experimental program is designed to test. The questions progress from the core control-performance claim through to generalization and real-world transfer.</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3.1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c>
          <w:tcPr>
            <w:tcW w:type="dxa" w:w="9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RQ</w:t>
            </w:r>
          </w:p>
        </w:tc>
        <w:tc>
          <w:tcPr>
            <w:tcW w:type="dxa" w:w="44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Research Question</w:t>
            </w:r>
          </w:p>
        </w:tc>
        <w:tc>
          <w:tcPr>
            <w:tcW w:type="dxa" w:w="406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Associated Hypothesis (H)</w:t>
            </w:r>
          </w:p>
        </w:tc>
      </w:tr>
      <w:tr>
        <w:tc>
          <w:tcPr>
            <w:tcW w:type="dxa" w:w="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RQ1</w:t>
            </w:r>
          </w:p>
        </w:tc>
        <w:tc>
          <w:tcPr>
            <w:tcW w:type="dxa" w:w="4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Does the proposed RL-based adaptive dosing controller achieve higher discharge compliance and lower chemical usage than conventional rule-based, PID, and lookup-table controllers?</w:t>
            </w:r>
          </w:p>
        </w:tc>
        <w:tc>
          <w:tcPr>
            <w:tcW w:type="dxa" w:w="406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H1: The RL controller achieves a statistically significant improvement in discharge compliance rate and a significant reduction in total chemical usage relative to all baseline controllers.</w:t>
            </w:r>
          </w:p>
        </w:tc>
      </w:tr>
      <w:tr>
        <w:tc>
          <w:tcPr>
            <w:tcW w:type="dxa" w:w="9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RQ2</w:t>
            </w:r>
          </w:p>
        </w:tc>
        <w:tc>
          <w:tcPr>
            <w:tcW w:type="dxa" w:w="4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Does embedding a progressive low-to-high dosing strategy (via dual reward-and-curriculum enforcement) reduce chemical consumption and overshoot without sacrificing compliance?</w:t>
            </w:r>
          </w:p>
        </w:tc>
        <w:tc>
          <w:tcPr>
            <w:tcW w:type="dxa" w:w="40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H2: The progressive dosing mechanism reduces total chemical usage and overshoot event count relative to an unconstrained RL agent, while maintaining equivalent or superior compliance.</w:t>
            </w:r>
          </w:p>
        </w:tc>
      </w:tr>
      <w:tr>
        <w:tc>
          <w:tcPr>
            <w:tcW w:type="dxa" w:w="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RQ3</w:t>
            </w:r>
          </w:p>
        </w:tc>
        <w:tc>
          <w:tcPr>
            <w:tcW w:type="dxa" w:w="4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Does the learned policy generalize to out-of-distribution wastewater conditions drawn from a different geographical and temporal distribution than the training data?</w:t>
            </w:r>
          </w:p>
        </w:tc>
        <w:tc>
          <w:tcPr>
            <w:tcW w:type="dxa" w:w="406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H3: The RL controller maintains a discharge compliance rate above the best baseline when evaluated on an out-of-distribution global dataset, with a bounded and quantifiable performance drop.</w:t>
            </w:r>
          </w:p>
        </w:tc>
      </w:tr>
      <w:tr>
        <w:tc>
          <w:tcPr>
            <w:tcW w:type="dxa" w:w="9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RQ4</w:t>
            </w:r>
          </w:p>
        </w:tc>
        <w:tc>
          <w:tcPr>
            <w:tcW w:type="dxa" w:w="4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Does the policy trained in the surrogate environment transfer to real sensor trajectories never seen during training (the sim-to-real gap)?</w:t>
            </w:r>
          </w:p>
        </w:tc>
        <w:tc>
          <w:tcPr>
            <w:tcW w:type="dxa" w:w="40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H4: The sim-to-real transfer gap (STG) is below 10 percentage points of discharge compliance rate, demonstrating that physics-grounded training yields deployable policies.</w:t>
            </w:r>
          </w:p>
        </w:tc>
      </w:tr>
    </w:tbl>
    <w:p>
      <w:pPr>
        <w:spacing w:after="160" w:before="60"/>
        <w:jc w:val="center"/>
      </w:pPr>
      <w:r>
        <w:rPr>
          <w:rFonts w:ascii="Times New Roman" w:cs="Times New Roman" w:eastAsia="Times New Roman" w:hAnsi="Times New Roman"/>
          <w:i/>
          <w:iCs/>
          <w:color w:val="444444"/>
          <w:sz w:val="20"/>
          <w:szCs w:val="20"/>
        </w:rPr>
        <w:t xml:space="preserve">Table 2. Research questions and their associated falsifiable hypotheses.</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3.2 Research Objectives</w:t>
      </w:r>
    </w:p>
    <w:p>
      <w:pPr>
        <w:spacing w:after="80" w:before="80" w:line="360"/>
        <w:jc w:val="both"/>
      </w:pPr>
      <w:r>
        <w:rPr>
          <w:rFonts w:ascii="Times New Roman" w:cs="Times New Roman" w:eastAsia="Times New Roman" w:hAnsi="Times New Roman"/>
          <w:color w:val="1A1A1A"/>
          <w:sz w:val="24"/>
          <w:szCs w:val="24"/>
        </w:rPr>
        <w:t xml:space="preserve">In service of the research questions, the primary objectives of this work are: (1) to design a reinforcement learning–based adaptive chemical dosing controller for industrial wastewater neutralization; (2) to ensure treated wastewater meets internationally recognized environmental discharge standards for safe and controlled release; (3) to minimize chemical consumption through a progressive low-to-high dosing strategy; and (4) to achieve stable pH regulation with minimal overshoot and oscillatory behavior. The secondary objectives are: to develop a physics-grounded, data-driven simulation environment using real-world water quality datasets; to compare the proposed controller rigorously against conventional baselines with appropriate statistical testing; and to evaluate robustness and generalization across heterogeneous wastewater conditions, including a sim-to-real validation tier.</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4. Methodology</w:t>
      </w:r>
    </w:p>
    <w:p>
      <w:pPr>
        <w:spacing w:after="80" w:before="80" w:line="360"/>
        <w:jc w:val="both"/>
      </w:pPr>
      <w:r>
        <w:rPr>
          <w:rFonts w:ascii="Times New Roman" w:cs="Times New Roman" w:eastAsia="Times New Roman" w:hAnsi="Times New Roman"/>
          <w:color w:val="1A1A1A"/>
          <w:sz w:val="24"/>
          <w:szCs w:val="24"/>
        </w:rPr>
        <w:t xml:space="preserve">The proposed framework is a two-component, model-based reinforcement learning system. This section presents the methodology in full, organized as follows: Section 4.1 gives an overview and the data-flow pipeline; Section 4.2 describes the physics-grounded titration simulator and the reconstruction of dosing actions from monitoring data; Section 4.3 details the LSTM surrogate environment; Section 4.4 formalizes the Markov Decision Process; Section 4.5 describes the PPO agent and progressive dosing enforcement; Section 4.6 defines the compliance framework; and Section 4.7 specifies the evaluation protocol.</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4.1 Framework Overview</w:t>
      </w:r>
    </w:p>
    <w:p>
      <w:pPr>
        <w:spacing w:after="80" w:before="80" w:line="360"/>
        <w:jc w:val="both"/>
      </w:pPr>
      <w:r>
        <w:rPr>
          <w:rFonts w:ascii="Times New Roman" w:cs="Times New Roman" w:eastAsia="Times New Roman" w:hAnsi="Times New Roman"/>
          <w:color w:val="1A1A1A"/>
          <w:sz w:val="24"/>
          <w:szCs w:val="24"/>
        </w:rPr>
        <w:t xml:space="preserve">The methodology comprises six tightly integrated stages, summarized in Table 3. Raw water quality data are first curated and processed to reconstruct labeled state–action–next-state transitions. A first-principles titration simulator is constructed and validated, providing a physically grounded ground-truth environment. An LSTM surrogate is then trained to approximate the environment dynamics conditioned on the reconstructed actions. The dosing problem is formalized as an MDP, and a PPO agent is trained within the hybrid environment. Finally, the learned policy is evaluated across three tiers, including sim-to-real validation.</w:t>
      </w:r>
    </w:p>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2960"/>
      </w:tblGrid>
      <w:tr>
        <w:tc>
          <w:tcPr>
            <w:tcW w:type="dxa" w:w="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Stage</w:t>
            </w:r>
          </w:p>
        </w:tc>
        <w:tc>
          <w:tcPr>
            <w:tcW w:type="dxa" w:w="24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32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Core Activity</w:t>
            </w:r>
          </w:p>
        </w:tc>
        <w:tc>
          <w:tcPr>
            <w:tcW w:type="dxa" w:w="296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Key Output</w:t>
            </w:r>
          </w:p>
        </w:tc>
      </w:tr>
      <w:tr>
        <w:tc>
          <w:tcPr>
            <w:tcW w:type="dxa" w:w="8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1</w:t>
            </w:r>
          </w:p>
        </w:tc>
        <w:tc>
          <w:tcPr>
            <w:tcW w:type="dxa" w:w="2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Data Curation &amp; Action Reconstruction</w:t>
            </w:r>
          </w:p>
        </w:tc>
        <w:tc>
          <w:tcPr>
            <w:tcW w:type="dxa" w:w="32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CUSUM change-point detection + inverse titration mapping</w:t>
            </w:r>
          </w:p>
        </w:tc>
        <w:tc>
          <w:tcPr>
            <w:tcW w:type="dxa" w:w="296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Labeled (s, a, s′) transition tuples</w:t>
            </w:r>
          </w:p>
        </w:tc>
      </w:tr>
      <w:tr>
        <w:tc>
          <w:tcPr>
            <w:tcW w:type="dxa" w:w="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2</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Physics-Grounded Environment</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Henderson–Hasselbalch charge balance simulator, validated vs. real data</w:t>
            </w:r>
          </w:p>
        </w:tc>
        <w:tc>
          <w:tcPr>
            <w:tcW w:type="dxa" w:w="29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Ground-truth titration simulator</w:t>
            </w:r>
          </w:p>
        </w:tc>
      </w:tr>
      <w:tr>
        <w:tc>
          <w:tcPr>
            <w:tcW w:type="dxa" w:w="8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3</w:t>
            </w:r>
          </w:p>
        </w:tc>
        <w:tc>
          <w:tcPr>
            <w:tcW w:type="dxa" w:w="2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Surrogate Environment Modeling</w:t>
            </w:r>
          </w:p>
        </w:tc>
        <w:tc>
          <w:tcPr>
            <w:tcW w:type="dxa" w:w="32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LSTM trained on transition tuples + simulator outputs</w:t>
            </w:r>
          </w:p>
        </w:tc>
        <w:tc>
          <w:tcPr>
            <w:tcW w:type="dxa" w:w="296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Validated surrogate T(s′|s,a)</w:t>
            </w:r>
          </w:p>
        </w:tc>
      </w:tr>
      <w:tr>
        <w:tc>
          <w:tcPr>
            <w:tcW w:type="dxa" w:w="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4</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MDP Formulation</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Define state, action, reward, transition, discount</w:t>
            </w:r>
          </w:p>
        </w:tc>
        <w:tc>
          <w:tcPr>
            <w:tcW w:type="dxa" w:w="29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Complete MDP tuple</w:t>
            </w:r>
          </w:p>
        </w:tc>
      </w:tr>
      <w:tr>
        <w:tc>
          <w:tcPr>
            <w:tcW w:type="dxa" w:w="8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5</w:t>
            </w:r>
          </w:p>
        </w:tc>
        <w:tc>
          <w:tcPr>
            <w:tcW w:type="dxa" w:w="24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RL Agent Training</w:t>
            </w:r>
          </w:p>
        </w:tc>
        <w:tc>
          <w:tcPr>
            <w:tcW w:type="dxa" w:w="32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PPO with curriculum masking + uncertainty gating</w:t>
            </w:r>
          </w:p>
        </w:tc>
        <w:tc>
          <w:tcPr>
            <w:tcW w:type="dxa" w:w="2960"/>
            <w:tcBorders>
              <w:top w:val="single" w:color="C0CDE0" w:sz="1"/>
              <w:left w:val="single" w:color="C0CDE0" w:sz="1"/>
              <w:bottom w:val="single" w:color="C0CDE0" w:sz="1"/>
              <w:right w:val="single" w:color="C0CDE0" w:sz="1"/>
            </w:tcBorders>
            <w:shd w:fill="E8F5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Converged dosing policy π*(a|s)</w:t>
            </w:r>
          </w:p>
        </w:tc>
      </w:tr>
      <w:tr>
        <w:tc>
          <w:tcPr>
            <w:tcW w:type="dxa" w:w="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6</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Three-Tier Evaluation</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In-distribution, OOD, and sim-to-real validation</w:t>
            </w:r>
          </w:p>
        </w:tc>
        <w:tc>
          <w:tcPr>
            <w:tcW w:type="dxa" w:w="29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Statistically validated results</w:t>
            </w:r>
          </w:p>
        </w:tc>
      </w:tr>
    </w:tbl>
    <w:p>
      <w:pPr>
        <w:spacing w:after="160" w:before="60"/>
        <w:jc w:val="center"/>
      </w:pPr>
      <w:r>
        <w:rPr>
          <w:rFonts w:ascii="Times New Roman" w:cs="Times New Roman" w:eastAsia="Times New Roman" w:hAnsi="Times New Roman"/>
          <w:i/>
          <w:iCs/>
          <w:color w:val="444444"/>
          <w:sz w:val="20"/>
          <w:szCs w:val="20"/>
        </w:rPr>
        <w:t xml:space="preserve">Table 3. Six-stage methodological pipeline. The complete dataset-to-model workflow diagram is provided in Figure 1.</w:t>
      </w:r>
    </w:p>
    <w:p>
      <w:pPr>
        <w:spacing w:after="80" w:before="80"/>
        <w:jc w:val="center"/>
      </w:pPr>
      <w:r>
        <w:drawing>
          <wp:inline xmlns:wp="http://schemas.openxmlformats.org/drawingml/2006/wordprocessingDrawing" distT="0" distB="0" distL="0" distR="0">
            <wp:extent cx="5943600" cy="4339724"/>
            <wp:effectExtent l="0" t="0" r="0" b="0"/>
            <wp:docPr id="101" name="Figure1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kflow_diagram.png"/>
                    <pic:cNvPicPr/>
                  </pic:nvPicPr>
                  <pic:blipFill>
                    <a:blip xmlns:r="http://schemas.openxmlformats.org/officeDocument/2006/relationships" r:embed="rIdImg1"/>
                    <a:stretch>
                      <a:fillRect/>
                    </a:stretch>
                  </pic:blipFill>
                  <pic:spPr>
                    <a:xfrm>
                      <a:off x="0" y="0"/>
                      <a:ext cx="5943600" cy="4339724"/>
                    </a:xfrm>
                    <a:prstGeom prst="rect">
                      <a:avLst/>
                    </a:prstGeom>
                  </pic:spPr>
                </pic:pic>
              </a:graphicData>
            </a:graphic>
          </wp:inline>
        </w:drawing>
      </w:r>
    </w:p>
    <w:p>
      <w:pPr>
        <w:spacing w:after="160" w:before="60"/>
        <w:jc w:val="center"/>
      </w:pPr>
      <w:r>
        <w:rPr>
          <w:rFonts w:ascii="Times New Roman" w:cs="Times New Roman" w:hAnsi="Times New Roman"/>
          <w:i/>
          <w:color w:val="444444"/>
          <w:sz w:val="20"/>
        </w:rPr>
        <w:t xml:space="preserve">Figure 1. Complete methodology workflow: dataset-to-model data flow across all six stages. Arrows indicate the direction of data and model flow.</w:t>
      </w:r>
    </w:p>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4.2 Physics-Grounded Environment and Action Reconstruction</w:t>
      </w:r>
    </w:p>
    <w:p>
      <w:pPr>
        <w:spacing w:after="80" w:before="80" w:line="360"/>
        <w:jc w:val="both"/>
      </w:pPr>
      <w:r>
        <w:rPr>
          <w:rFonts w:ascii="Times New Roman" w:cs="Times New Roman" w:eastAsia="Times New Roman" w:hAnsi="Times New Roman"/>
          <w:color w:val="1A1A1A"/>
          <w:sz w:val="24"/>
          <w:szCs w:val="24"/>
        </w:rPr>
        <w:t xml:space="preserve">A fundamental challenge is that public water quality monitoring datasets are passive observational records: they contain no explicit chemical dosing-action labels. Training a transition model directly on consecutive state pairs would yield a function with no causal relationship to dosing actions, rendering it unusable for RL. This work resolves the problem with a two-part strategy: a first-principles simulator that provides physically grounded ground truth, and a change-point reconstruction protocol that recovers action labels from the pH time series.</w:t>
      </w:r>
    </w:p>
    <w:p>
      <w:pPr>
        <w:spacing w:after="24" w:before="0"/>
      </w:pPr>
      <w:r>
        <w:t xml:space="preserve"/>
      </w:r>
    </w:p>
    <w:p>
      <w:pPr>
        <w:pStyle w:val="Heading3"/>
        <w:spacing w:after="80" w:before="180"/>
      </w:pPr>
      <w:r>
        <w:rPr>
          <w:rFonts w:ascii="Times New Roman" w:cs="Times New Roman" w:eastAsia="Times New Roman" w:hAnsi="Times New Roman"/>
          <w:b/>
          <w:bCs/>
          <w:color w:val="1B3A6B"/>
          <w:sz w:val="24"/>
          <w:szCs w:val="24"/>
        </w:rPr>
        <w:t xml:space="preserve">4.2.1 First-Principles Titration Simulator</w:t>
      </w:r>
    </w:p>
    <w:p>
      <w:pPr>
        <w:spacing w:after="80" w:before="80" w:line="360"/>
        <w:jc w:val="both"/>
      </w:pPr>
      <w:r>
        <w:rPr>
          <w:rFonts w:ascii="Times New Roman" w:cs="Times New Roman" w:eastAsia="Times New Roman" w:hAnsi="Times New Roman"/>
          <w:color w:val="1A1A1A"/>
          <w:sz w:val="24"/>
          <w:szCs w:val="24"/>
        </w:rPr>
        <w:t xml:space="preserve">For a weak-acid / strong-base neutralization system representative of buffered industrial effluents, the equilibrium pH following addition of a dosing volume of reagent is governed by the charge-balance equation, solved numerically for the hydrogen ion concentration at each dosing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20"/>
              <w:left w:type="dxa" w:w="200"/>
              <w:bottom w:type="dxa" w:w="120"/>
              <w:right w:type="dxa" w:w="200"/>
            </w:tcMar>
          </w:tcPr>
          <w:p>
            <w:pPr>
              <w:spacing w:after="40" w:before="0"/>
              <w:jc w:val="left"/>
            </w:pPr>
            <w:r>
              <w:rPr>
                <w:rFonts w:ascii="Times New Roman" w:cs="Times New Roman" w:eastAsia="Times New Roman" w:hAnsi="Times New Roman"/>
                <w:b/>
                <w:bCs/>
                <w:color w:val="2E5FA3"/>
                <w:sz w:val="20"/>
                <w:szCs w:val="20"/>
              </w:rPr>
              <w:t xml:space="preserve">Eq. 1 — Charge Balance (General Acid–Base System)</w:t>
            </w:r>
          </w:p>
          <w:p>
            <w:pPr>
              <w:spacing w:after="0" w:before="40"/>
              <w:jc w:val="center"/>
            </w:pPr>
            <w:r>
              <w:rPr>
                <w:rFonts w:ascii="Courier New" w:cs="Courier New" w:eastAsia="Courier New" w:hAnsi="Courier New"/>
                <w:b/>
                <w:bCs/>
                <w:color w:val="1B3A6B"/>
                <w:sz w:val="22"/>
                <w:szCs w:val="22"/>
              </w:rPr>
              <w:t xml:space="preserve">[H+] + [Cat+] = [A-] + [OH-] + [HCO3-] + 2[CO3 2-]</w:t>
            </w:r>
          </w:p>
        </w:tc>
      </w:tr>
    </w:tbl>
    <w:p>
      <w:pPr>
        <w:spacing w:after="32" w:before="0"/>
      </w:pPr>
      <w:r>
        <w:t xml:space="preserve"/>
      </w:r>
    </w:p>
    <w:p>
      <w:pPr>
        <w:spacing w:after="80" w:before="80" w:line="360"/>
        <w:jc w:val="both"/>
      </w:pPr>
      <w:r>
        <w:rPr>
          <w:rFonts w:ascii="Times New Roman" w:cs="Times New Roman" w:eastAsia="Times New Roman" w:hAnsi="Times New Roman"/>
          <w:i/>
          <w:iCs/>
          <w:color w:val="444444"/>
          <w:sz w:val="22"/>
          <w:szCs w:val="22"/>
        </w:rPr>
        <w:t xml:space="preserve">where [Cat+] is the cation contribution from added base, [A-] is the conjugate base of the buffering weak acid at the new equilibrium, and the carbonate terms capture dissolved inorganic carbon buffering — the dominant buffering mechanism in most industrial effluents. The equation is solved by Newton–Raphson iteration to a tolerance of 1e-6 pH units.</w:t>
      </w:r>
    </w:p>
    <w:p>
      <w:pPr>
        <w:spacing w:after="40" w:before="0"/>
      </w:pPr>
      <w:r>
        <w:t xml:space="preserve"/>
      </w:r>
    </w:p>
    <w:p>
      <w:pPr>
        <w:spacing w:after="80" w:before="80" w:line="360"/>
        <w:jc w:val="both"/>
      </w:pPr>
      <w:r>
        <w:rPr>
          <w:rFonts w:ascii="Times New Roman" w:cs="Times New Roman" w:eastAsia="Times New Roman" w:hAnsi="Times New Roman"/>
          <w:color w:val="1A1A1A"/>
          <w:sz w:val="24"/>
          <w:szCs w:val="24"/>
        </w:rPr>
        <w:t xml:space="preserve">The titration curve is parameterized by three dataset-fitted quantities: total alkalinity (estimated from conductivity and hardness measurements), total dissolved inorganic carbon (estimated from conductivity and temperature via Henry's Law), and the system volume (set to a representative 1,000 L, with a sensitivity range of 500–5,000 L). The simulator is validated against held-out real pH trajectories: fifty 120-minute trajectories exhibiting clear monotonic drift are run open-loop and compared to observations, with the simulator accepted if the mean absolute prediction error is below 0.25 pH units — consistent with the ±0.1–0.2 pH unit measurement uncertainty of industrial sensors per ISO 10523.</w:t>
      </w:r>
    </w:p>
    <w:p>
      <w:pPr>
        <w:spacing w:after="24" w:before="0"/>
      </w:pPr>
      <w:r>
        <w:t xml:space="preserve"/>
      </w:r>
    </w:p>
    <w:p>
      <w:pPr>
        <w:pStyle w:val="Heading3"/>
        <w:spacing w:after="80" w:before="180"/>
      </w:pPr>
      <w:r>
        <w:rPr>
          <w:rFonts w:ascii="Times New Roman" w:cs="Times New Roman" w:eastAsia="Times New Roman" w:hAnsi="Times New Roman"/>
          <w:b/>
          <w:bCs/>
          <w:color w:val="1B3A6B"/>
          <w:sz w:val="24"/>
          <w:szCs w:val="24"/>
        </w:rPr>
        <w:t xml:space="preserve">4.2.2 Dosing Action Reconstruction</w:t>
      </w:r>
    </w:p>
    <w:p>
      <w:pPr>
        <w:spacing w:after="80" w:before="80" w:line="360"/>
        <w:jc w:val="both"/>
      </w:pPr>
      <w:r>
        <w:rPr>
          <w:rFonts w:ascii="Times New Roman" w:cs="Times New Roman" w:eastAsia="Times New Roman" w:hAnsi="Times New Roman"/>
          <w:color w:val="1A1A1A"/>
          <w:sz w:val="24"/>
          <w:szCs w:val="24"/>
        </w:rPr>
        <w:t xml:space="preserve">With the simulator established as ground truth, labeled transitions are extracted from the monitoring data through a two-phase protocol. In Phase 1, a Cumulative Sum (CUSUM) control-chart algorithm is applied to each pH time series to detect statistically significant reversals consistent with dosing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20"/>
              <w:left w:type="dxa" w:w="200"/>
              <w:bottom w:type="dxa" w:w="120"/>
              <w:right w:type="dxa" w:w="200"/>
            </w:tcMar>
          </w:tcPr>
          <w:p>
            <w:pPr>
              <w:spacing w:after="40" w:before="0"/>
              <w:jc w:val="left"/>
            </w:pPr>
            <w:r>
              <w:rPr>
                <w:rFonts w:ascii="Times New Roman" w:cs="Times New Roman" w:eastAsia="Times New Roman" w:hAnsi="Times New Roman"/>
                <w:b/>
                <w:bCs/>
                <w:color w:val="2E5FA3"/>
                <w:sz w:val="20"/>
                <w:szCs w:val="20"/>
              </w:rPr>
              <w:t xml:space="preserve">Eq. 2 — CUSUM Dosing-Event Detector</w:t>
            </w:r>
          </w:p>
          <w:p>
            <w:pPr>
              <w:spacing w:after="0" w:before="40"/>
              <w:jc w:val="center"/>
            </w:pPr>
            <w:r>
              <w:rPr>
                <w:rFonts w:ascii="Courier New" w:cs="Courier New" w:eastAsia="Courier New" w:hAnsi="Courier New"/>
                <w:b/>
                <w:bCs/>
                <w:color w:val="1B3A6B"/>
                <w:sz w:val="22"/>
                <w:szCs w:val="22"/>
              </w:rPr>
              <w:t xml:space="preserve">C+(t) = max(0, C+(t-1) + (pH(t)-pH(t-1)) - k)
C-(t) = max(0, C-(t-1) - (pH(t)-pH(t-1)) - k)</w:t>
            </w:r>
          </w:p>
        </w:tc>
      </w:tr>
    </w:tbl>
    <w:p>
      <w:pPr>
        <w:spacing w:after="32" w:before="0"/>
      </w:pPr>
      <w:r>
        <w:t xml:space="preserve"/>
      </w:r>
    </w:p>
    <w:p>
      <w:pPr>
        <w:spacing w:after="80" w:before="80" w:line="360"/>
        <w:jc w:val="both"/>
      </w:pPr>
      <w:r>
        <w:rPr>
          <w:rFonts w:ascii="Times New Roman" w:cs="Times New Roman" w:eastAsia="Times New Roman" w:hAnsi="Times New Roman"/>
          <w:i/>
          <w:iCs/>
          <w:color w:val="444444"/>
          <w:sz w:val="22"/>
          <w:szCs w:val="22"/>
        </w:rPr>
        <w:t xml:space="preserve">with allowable slack k = 0.05 pH units (twice the sensor noise floor) and decision threshold h = 0.30 pH units, calibrated so the false-positive rate on noise-only segments is below 2%. A dosing event is flagged when C+ or C- exceeds h.</w:t>
      </w:r>
    </w:p>
    <w:p>
      <w:pPr>
        <w:spacing w:after="40" w:before="0"/>
      </w:pPr>
      <w:r>
        <w:t xml:space="preserve"/>
      </w:r>
    </w:p>
    <w:p>
      <w:pPr>
        <w:spacing w:after="80" w:before="80" w:line="360"/>
        <w:jc w:val="both"/>
      </w:pPr>
      <w:r>
        <w:rPr>
          <w:rFonts w:ascii="Times New Roman" w:cs="Times New Roman" w:eastAsia="Times New Roman" w:hAnsi="Times New Roman"/>
          <w:color w:val="1A1A1A"/>
          <w:sz w:val="24"/>
          <w:szCs w:val="24"/>
        </w:rPr>
        <w:t xml:space="preserve">In Phase 2, each detected event is assigned a discrete action label by inverse titration mapping: the observed pH change is compared against the simulator's predicted change for each candidate action, and the action minimizing the residual is assigned. Events whose minimum residual exceeds 0.5 pH units for all actions are discarded as physically inconsistent (attributed to influent composition change rather than dosing). This protocol produces a fully labeled set of state–action–next-state tuples suitable for surrogate training.</w:t>
      </w:r>
    </w:p>
    <w:p>
      <w:pPr>
        <w:spacing w:after="24" w:before="0"/>
      </w:pPr>
      <w:r>
        <w:t xml:space="preserve"/>
      </w:r>
    </w:p>
    <w:p>
      <w:pPr>
        <w:pStyle w:val="Heading3"/>
        <w:spacing w:after="80" w:before="180"/>
      </w:pPr>
      <w:r>
        <w:rPr>
          <w:rFonts w:ascii="Times New Roman" w:cs="Times New Roman" w:eastAsia="Times New Roman" w:hAnsi="Times New Roman"/>
          <w:b/>
          <w:bCs/>
          <w:color w:val="1B3A6B"/>
          <w:sz w:val="24"/>
          <w:szCs w:val="24"/>
        </w:rPr>
        <w:t xml:space="preserve">4.2.3 Preprocessing Pipeline</w:t>
      </w:r>
    </w:p>
    <w:p>
      <w:pPr>
        <w:spacing w:after="80" w:before="80" w:line="360"/>
        <w:jc w:val="both"/>
      </w:pPr>
      <w:r>
        <w:rPr>
          <w:rFonts w:ascii="Times New Roman" w:cs="Times New Roman" w:eastAsia="Times New Roman" w:hAnsi="Times New Roman"/>
          <w:color w:val="1A1A1A"/>
          <w:sz w:val="24"/>
          <w:szCs w:val="24"/>
        </w:rPr>
        <w:t xml:space="preserve">All data pass through a six-step pipeline applied using training-split statistics only to prevent leakage: (P1) missing-value imputation via domain-informed interpolation for short gaps and physically bounded forward-fill for longer gaps; (P2) two-criterion outlier detection combining statistical (±3σ rolling window) and physical-feasibility (pH ∈ [0,14], DO ≥ 0) checks; (P3) min-max normalization to [0,1] plus standardization of the pH target; (P4) temporal resampling to a common 15-minute interval; (P5) feature engineering including pH velocity, acceleration, rolling statistics, and cyclic time encoding; and (P6) chronological train/validation/test splitting (70/15/15%) to preserve temporal autocorrelation structure, with the global dataset held out entirely for out-of-distribution evaluation and a portion of the IoT dataset reserved for sim-to-real validation.</w:t>
      </w:r>
    </w:p>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4.3 LSTM Surrogate Environment Model</w:t>
      </w:r>
    </w:p>
    <w:p>
      <w:pPr>
        <w:spacing w:after="80" w:before="80" w:line="360"/>
        <w:jc w:val="both"/>
      </w:pPr>
      <w:r>
        <w:rPr>
          <w:rFonts w:ascii="Times New Roman" w:cs="Times New Roman" w:eastAsia="Times New Roman" w:hAnsi="Times New Roman"/>
          <w:color w:val="1A1A1A"/>
          <w:sz w:val="24"/>
          <w:szCs w:val="24"/>
        </w:rPr>
        <w:t xml:space="preserve">The RL environment is a two-component construct. During an initial warm-start phase (the first 100,000 training steps), the first-principles simulator provides physically grounded rollouts, preventing degenerate policy formation in implausible regions. Thereafter, a Long Short-Term Memory (LSTM) surrogate — pre-trained on the reconstructed transition tuples and the simulator outputs — provides the environment dynamics, capturing real-world stochasticity that the deterministic simulator cannot represent.</w:t>
      </w:r>
    </w:p>
    <w:p>
      <w:pPr>
        <w:spacing w:after="80" w:before="80" w:line="360"/>
        <w:jc w:val="both"/>
      </w:pPr>
      <w:r>
        <w:rPr>
          <w:rFonts w:ascii="Times New Roman" w:cs="Times New Roman" w:eastAsia="Times New Roman" w:hAnsi="Times New Roman"/>
          <w:color w:val="1A1A1A"/>
          <w:sz w:val="24"/>
          <w:szCs w:val="24"/>
        </w:rPr>
        <w:t xml:space="preserve">The surrogate is a two-layer stacked LSTM (256 then 128 hidden units) with a 48-step (12-hour) look-back window, dropout of 0.20 retained at inference for Monte Carlo uncertainty estimation, a 64-unit dense layer, and a single linear output predicting the change in pH (a residual formulation that improves gradient stability and bounds extrapolation error). The model is trained with Huber loss (δ = 1.0), the Adam optimizer with cosine-annealed learning rate, and early stopping. The surrogate is accepted for RL training only after passing six acceptance gates covering in-distribution accuracy, physical plausibility, sim-to-real generalization, rollout stability, and uncertainty calibration. Architecture choices were validated by ablation against GRU, temporal convolutional network, and feedforward variants.</w:t>
      </w:r>
    </w:p>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4.4 Markov Decision Process Formulation</w:t>
      </w:r>
    </w:p>
    <w:p>
      <w:pPr>
        <w:spacing w:after="80" w:before="80" w:line="360"/>
        <w:jc w:val="both"/>
      </w:pPr>
      <w:r>
        <w:rPr>
          <w:rFonts w:ascii="Times New Roman" w:cs="Times New Roman" w:eastAsia="Times New Roman" w:hAnsi="Times New Roman"/>
          <w:color w:val="1A1A1A"/>
          <w:sz w:val="24"/>
          <w:szCs w:val="24"/>
        </w:rPr>
        <w:t xml:space="preserve">The dosing control problem is cast as a finite-horizon discrete-time MDP defined by the tuple (S, A, T, R, γ). The state space S is a 13-dimensional vector comprising current pH, pH deviation from the compliance midpoint, first- and second-order pH differences, one-hour rolling pH mean and standard deviation, conductivity, dissolved oxygen, turbidity, the previous action, a two-element cyclic time encoding, and a binary compliance flag. Inclusion of the previous action and the temporal-difference features ensures the Markov property holds despite chemical reaction lag.</w:t>
      </w:r>
    </w:p>
    <w:p>
      <w:pPr>
        <w:spacing w:after="80" w:before="80" w:line="360"/>
        <w:jc w:val="both"/>
      </w:pPr>
      <w:r>
        <w:rPr>
          <w:rFonts w:ascii="Times New Roman" w:cs="Times New Roman" w:eastAsia="Times New Roman" w:hAnsi="Times New Roman"/>
          <w:color w:val="1A1A1A"/>
          <w:sz w:val="24"/>
          <w:szCs w:val="24"/>
        </w:rPr>
        <w:t xml:space="preserve">The action space A consists of 11 discrete actions encoding the progressive dosing strategy: a null action plus five acid and five alkaline dosing levels following a geometric volume progression (5, 12, 30, 75, 180 mL per 15-minute step), providing fine resolution at low intensities where most compliant operating points lie and coarse high-intensity options for recovery. The transition function T is the hybrid simulator/surrogate environment described above. The discount factor γ = 0.99 reflects the long-horizon nature of neutralization, weighting a compliance violation 60 steps ahead at roughly 0.55 of its immediate value — appropriate for the observed 30–45-minute reaction lag. Episodes span 480 steps (120 minutes) with stratified initialization (half compliant, half non-compliant) to develop both maintenance and recovery behaviors.</w:t>
      </w:r>
    </w:p>
    <w:p>
      <w:pPr>
        <w:spacing w:after="80" w:before="80" w:line="360"/>
        <w:jc w:val="both"/>
      </w:pPr>
      <w:r>
        <w:rPr>
          <w:rFonts w:ascii="Times New Roman" w:cs="Times New Roman" w:eastAsia="Times New Roman" w:hAnsi="Times New Roman"/>
          <w:color w:val="1A1A1A"/>
          <w:sz w:val="24"/>
          <w:szCs w:val="24"/>
        </w:rPr>
        <w:t xml:space="preserve">The reward function integrates five terms that operationalize the competing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20"/>
              <w:left w:type="dxa" w:w="200"/>
              <w:bottom w:type="dxa" w:w="120"/>
              <w:right w:type="dxa" w:w="200"/>
            </w:tcMar>
          </w:tcPr>
          <w:p>
            <w:pPr>
              <w:spacing w:after="40" w:before="0"/>
              <w:jc w:val="left"/>
            </w:pPr>
            <w:r>
              <w:rPr>
                <w:rFonts w:ascii="Times New Roman" w:cs="Times New Roman" w:eastAsia="Times New Roman" w:hAnsi="Times New Roman"/>
                <w:b/>
                <w:bCs/>
                <w:color w:val="2E5FA3"/>
                <w:sz w:val="20"/>
                <w:szCs w:val="20"/>
              </w:rPr>
              <w:t xml:space="preserve">Eq. 3 — Multi-Objective Reward Function</w:t>
            </w:r>
          </w:p>
          <w:p>
            <w:pPr>
              <w:spacing w:after="0" w:before="40"/>
              <w:jc w:val="center"/>
            </w:pPr>
            <w:r>
              <w:rPr>
                <w:rFonts w:ascii="Courier New" w:cs="Courier New" w:eastAsia="Courier New" w:hAnsi="Courier New"/>
                <w:b/>
                <w:bCs/>
                <w:color w:val="1B3A6B"/>
                <w:sz w:val="22"/>
                <w:szCs w:val="22"/>
              </w:rPr>
              <w:t xml:space="preserve">R(t) = w1*Compliance(t) - w2*|pH(t)-7.5| - w3*Dose(t)^2 - w4*Overshoot(t) - w5*Escalation(t)</w:t>
            </w:r>
          </w:p>
        </w:tc>
      </w:tr>
    </w:tbl>
    <w:p>
      <w:pPr>
        <w:spacing w:after="32" w:before="0"/>
      </w:pPr>
      <w:r>
        <w:t xml:space="preserve"/>
      </w:r>
    </w:p>
    <w:p>
      <w:pPr>
        <w:spacing w:after="80" w:before="80" w:line="360"/>
        <w:jc w:val="both"/>
      </w:pPr>
      <w:r>
        <w:rPr>
          <w:rFonts w:ascii="Times New Roman" w:cs="Times New Roman" w:eastAsia="Times New Roman" w:hAnsi="Times New Roman"/>
          <w:i/>
          <w:iCs/>
          <w:color w:val="444444"/>
          <w:sz w:val="22"/>
          <w:szCs w:val="22"/>
        </w:rPr>
        <w:t xml:space="preserve">with weights w1 = +2.0 (compliance bonus, the dominant term), w2 = 1.0 (L1 deviation penalty), w3 = 0.3 (quadratic dose penalty that naturally favors smaller doses), w4 = 0.5 (overshoot penalty against oscillation), and w5 = 0.1 (escalation penalty enforcing the low-to-high protocol). Weights were tuned by Bayesian optimization and subjected to a ±50% sensitivity analysis.</w:t>
      </w:r>
    </w:p>
    <w:p>
      <w:pPr>
        <w:spacing w:after="40" w:before="0"/>
      </w:pPr>
      <w:r>
        <w:t xml:space="preserve"/>
      </w:r>
    </w:p>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4.5 RL Agent and Progressive Dosing Enforcement</w:t>
      </w:r>
    </w:p>
    <w:p>
      <w:pPr>
        <w:spacing w:after="80" w:before="80" w:line="360"/>
        <w:jc w:val="both"/>
      </w:pPr>
      <w:r>
        <w:rPr>
          <w:rFonts w:ascii="Times New Roman" w:cs="Times New Roman" w:eastAsia="Times New Roman" w:hAnsi="Times New Roman"/>
          <w:color w:val="1A1A1A"/>
          <w:sz w:val="24"/>
          <w:szCs w:val="24"/>
        </w:rPr>
        <w:t xml:space="preserve">Proximal Policy Optimization (PPO) is selected as the primary algorithm for three reasons: native support for discrete action spaces; the stability of its clipped surrogate objective, which is critical in a learned environment where off-distribution actions can be exploited; and its strong empirical track record in process-control applications. The agent uses a shared encoder (256–128–64 units with layer normalization) feeding separate actor and critic heads, a clip ratio of 0.20, generalized advantage estimation with λ = 0.95, an entropy coefficient annealed from 0.01 to 0.001, and 5×10⁶ training steps across three random seeds. A DDPG agent with a discretized action projection is retained as an off-policy comparison.</w:t>
      </w:r>
    </w:p>
    <w:p>
      <w:pPr>
        <w:spacing w:after="80" w:before="80" w:line="360"/>
        <w:jc w:val="both"/>
      </w:pPr>
      <w:r>
        <w:rPr>
          <w:rFonts w:ascii="Times New Roman" w:cs="Times New Roman" w:eastAsia="Times New Roman" w:hAnsi="Times New Roman"/>
          <w:color w:val="1A1A1A"/>
          <w:sz w:val="24"/>
          <w:szCs w:val="24"/>
        </w:rPr>
        <w:t xml:space="preserve">The progressive low-to-high dosing strategy is enforced through two complementary mechanisms. The first is a permanent structural incentive: the quadratic dose penalty and escalation penalty in the reward function create a standing cost gradient favoring conservative dosing, active throughout training and at deployment. The second is a curriculum action-masking schedule active during the warm-up phase (steps 0–200,000): high-intensity actions are stochastically masked with a probability inversely proportional to the current pH deviation, ensuring the agent develops a low-dose repertoire before being permitted to escalate freely. Masking is lifted thereafter, leaving the learned reward signal in sole control.</w:t>
      </w:r>
    </w:p>
    <w:p>
      <w:pPr>
        <w:spacing w:after="80" w:before="80" w:line="360"/>
        <w:jc w:val="both"/>
      </w:pPr>
      <w:r>
        <w:rPr>
          <w:rFonts w:ascii="Times New Roman" w:cs="Times New Roman" w:eastAsia="Times New Roman" w:hAnsi="Times New Roman"/>
          <w:color w:val="1A1A1A"/>
          <w:sz w:val="24"/>
          <w:szCs w:val="24"/>
        </w:rPr>
        <w:t xml:space="preserve">Training stability is maintained through Monte Carlo dropout uncertainty gating (penalizing actions that drive the surrogate into high-uncertainty regions), online reward normalization, observation-noise augmentation for robustness, periodic Dyna-style surrogate refresh, and hard episode termination on physically catastrophic pH excursions.</w:t>
      </w:r>
    </w:p>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4.6 Environmental Discharge Compliance Framework</w:t>
      </w:r>
    </w:p>
    <w:p>
      <w:pPr>
        <w:spacing w:after="80" w:before="80" w:line="360"/>
        <w:jc w:val="both"/>
      </w:pPr>
      <w:r>
        <w:rPr>
          <w:rFonts w:ascii="Times New Roman" w:cs="Times New Roman" w:eastAsia="Times New Roman" w:hAnsi="Times New Roman"/>
          <w:color w:val="1A1A1A"/>
          <w:sz w:val="24"/>
          <w:szCs w:val="24"/>
        </w:rPr>
        <w:t xml:space="preserve">The primary compliance target is the pH window [6.5, 8.5], consistent with the most stringent of the applicable international frameworks, including the EU Urban Wastewater Treatment Directive, the Australian ANZECC guidelines, and the Indian CPCB standards. Compliance against the broader [6.0, 9.0] window adopted by the WHO and US EPA is reported as a secondary metric. Adopting the conservative window provides the most challenging test of controller precision and maximizes the framework's generalizability across regulatory jurisdictions.</w:t>
      </w:r>
    </w:p>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4.7 Evaluation Protocol and Metrics</w:t>
      </w:r>
    </w:p>
    <w:p>
      <w:pPr>
        <w:spacing w:after="80" w:before="80" w:line="360"/>
        <w:jc w:val="both"/>
      </w:pPr>
      <w:r>
        <w:rPr>
          <w:rFonts w:ascii="Times New Roman" w:cs="Times New Roman" w:eastAsia="Times New Roman" w:hAnsi="Times New Roman"/>
          <w:color w:val="1A1A1A"/>
          <w:sz w:val="24"/>
          <w:szCs w:val="24"/>
        </w:rPr>
        <w:t xml:space="preserve">The framework is evaluated across three tiers. Tier 1 (primary benchmark) evaluates all controllers on 500 episodes from the held-out test split of the national monitoring dataset. Tier 2 (out-of-distribution) evaluates on 200 episodes from the global multi-decadal dataset, drawn from a different geographical and temporal distribution. Tier 3 (sim-to-real) applies the learned policy to held-out real IoT sensor trajectories never seen in training, directly measuring transfer performance. Four baselines are compared: a rule-based threshold controller, a Ziegler–Nichols-tuned PID controller, a static lookup-table controller, and the DDPG agent.</w:t>
      </w:r>
    </w:p>
    <w:p>
      <w:pPr>
        <w:spacing w:after="80" w:before="80" w:line="360"/>
        <w:jc w:val="both"/>
      </w:pPr>
      <w:r>
        <w:rPr>
          <w:rFonts w:ascii="Times New Roman" w:cs="Times New Roman" w:eastAsia="Times New Roman" w:hAnsi="Times New Roman"/>
          <w:color w:val="1A1A1A"/>
          <w:sz w:val="24"/>
          <w:szCs w:val="24"/>
        </w:rPr>
        <w:t xml:space="preserve">Eight metrics are reported: Discharge Compliance Rate (DCR, primary), Mean pH Deviation (MPD), Total Chemical Usage (TCU), the novel Chemical Efficiency Ratio (CER = DCR/TCU × 1000), Overshoot Event Count (OEC), pH Stabilization Time (PST), Progressive Dosing Compliance Rate (PDCR), and the novel Sim-to-Real Transfer Gap (STG = |DCR_Tier1 − DCR_Tier3|). Statistical significance between the RL controller and each baseline is assessed by Wilcoxon signed-rank tests with Bonferroni correction (α = 0.0125 for four comparisons), with Cohen's d effect sizes and bootstrap 95% confidence intervals reported. A five-variant ablation study isolates the contribution of each methodological component.</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5. Datasets</w:t>
      </w:r>
    </w:p>
    <w:p>
      <w:pPr>
        <w:spacing w:after="80" w:before="80" w:line="360"/>
        <w:jc w:val="both"/>
      </w:pPr>
      <w:r>
        <w:rPr>
          <w:rFonts w:ascii="Times New Roman" w:cs="Times New Roman" w:eastAsia="Times New Roman" w:hAnsi="Times New Roman"/>
          <w:color w:val="1A1A1A"/>
          <w:sz w:val="24"/>
          <w:szCs w:val="24"/>
        </w:rPr>
        <w:t xml:space="preserve">This research exclusively uses publicly available water quality datasets from the RDI (Research Data Infrastructure) compendium. Datasets were selected against three sequential criteria: presence of pH measurements at sufficient temporal resolution; origin in an industrially influenced or industrial-discharge monitoring context; and absence of licensing restrictions for research use. Five datasets satisfying all criteria were identified, summarized in Table 4.</w:t>
      </w:r>
    </w:p>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700"/>
        <w:gridCol w:w="1900"/>
        <w:gridCol w:w="2760"/>
      </w:tblGrid>
      <w:tr>
        <w:tc>
          <w:tcPr>
            <w:tcW w:type="dxa" w:w="11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ID</w:t>
            </w:r>
          </w:p>
        </w:tc>
        <w:tc>
          <w:tcPr>
            <w:tcW w:type="dxa" w:w="19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Source</w:t>
            </w:r>
          </w:p>
        </w:tc>
        <w:tc>
          <w:tcPr>
            <w:tcW w:type="dxa" w:w="17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Key Parameters</w:t>
            </w:r>
          </w:p>
        </w:tc>
        <w:tc>
          <w:tcPr>
            <w:tcW w:type="dxa" w:w="19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Resolution / Scale</w:t>
            </w:r>
          </w:p>
        </w:tc>
        <w:tc>
          <w:tcPr>
            <w:tcW w:type="dxa" w:w="276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Role in Framework</w:t>
            </w:r>
          </w:p>
        </w:tc>
      </w:tr>
      <w:tr>
        <w:tc>
          <w:tcPr>
            <w:tcW w:type="dxa" w:w="11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DS-1</w:t>
            </w:r>
          </w:p>
        </w:tc>
        <w:tc>
          <w:tcPr>
            <w:tcW w:type="dxa" w:w="1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National WQ Monitoring</w:t>
            </w:r>
          </w:p>
        </w:tc>
        <w:tc>
          <w:tcPr>
            <w:tcW w:type="dxa" w:w="17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 turbidity, DO, conductivity, temperature</w:t>
            </w:r>
          </w:p>
        </w:tc>
        <w:tc>
          <w:tcPr>
            <w:tcW w:type="dxa" w:w="1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15–60 min; multi-year; national</w:t>
            </w:r>
          </w:p>
        </w:tc>
        <w:tc>
          <w:tcPr>
            <w:tcW w:type="dxa" w:w="276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Primary surrogate training; action reconstruction source</w:t>
            </w:r>
          </w:p>
        </w:tc>
      </w:tr>
      <w:tr>
        <w:tc>
          <w:tcPr>
            <w:tcW w:type="dxa" w:w="11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DS-2</w:t>
            </w:r>
          </w:p>
        </w:tc>
        <w:tc>
          <w:tcPr>
            <w:tcW w:type="dxa" w:w="19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Regional Industrial Surface &amp; Groundwater</w:t>
            </w:r>
          </w:p>
        </w:tc>
        <w:tc>
          <w:tcPr>
            <w:tcW w:type="dxa" w:w="17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 TDS, BOD, COD, hardness, heavy metals</w:t>
            </w:r>
          </w:p>
        </w:tc>
        <w:tc>
          <w:tcPr>
            <w:tcW w:type="dxa" w:w="19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Daily–weekly; industrial catchments</w:t>
            </w:r>
          </w:p>
        </w:tc>
        <w:tc>
          <w:tcPr>
            <w:tcW w:type="dxa" w:w="27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Buffering parameter estimation; constraint calibration</w:t>
            </w:r>
          </w:p>
        </w:tc>
      </w:tr>
      <w:tr>
        <w:tc>
          <w:tcPr>
            <w:tcW w:type="dxa" w:w="11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DS-3</w:t>
            </w:r>
          </w:p>
        </w:tc>
        <w:tc>
          <w:tcPr>
            <w:tcW w:type="dxa" w:w="1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Survey-Based Effluent Reports</w:t>
            </w:r>
          </w:p>
        </w:tc>
        <w:tc>
          <w:tcPr>
            <w:tcW w:type="dxa" w:w="17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 discharge class, compliance status</w:t>
            </w:r>
          </w:p>
        </w:tc>
        <w:tc>
          <w:tcPr>
            <w:tcW w:type="dxa" w:w="1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Cross-sectional; regulatory records</w:t>
            </w:r>
          </w:p>
        </w:tc>
        <w:tc>
          <w:tcPr>
            <w:tcW w:type="dxa" w:w="276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Discharge standard validation; compliance ground-truth</w:t>
            </w:r>
          </w:p>
        </w:tc>
      </w:tr>
      <w:tr>
        <w:tc>
          <w:tcPr>
            <w:tcW w:type="dxa" w:w="11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DS-4</w:t>
            </w:r>
          </w:p>
        </w:tc>
        <w:tc>
          <w:tcPr>
            <w:tcW w:type="dxa" w:w="19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Global Multi-Decadal (GEMS/Water)</w:t>
            </w:r>
          </w:p>
        </w:tc>
        <w:tc>
          <w:tcPr>
            <w:tcW w:type="dxa" w:w="17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 DO, nitrate, phosphate, conductivity</w:t>
            </w:r>
          </w:p>
        </w:tc>
        <w:tc>
          <w:tcPr>
            <w:tcW w:type="dxa" w:w="19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Monthly; 150+ countries; 1970–2023</w:t>
            </w:r>
          </w:p>
        </w:tc>
        <w:tc>
          <w:tcPr>
            <w:tcW w:type="dxa" w:w="27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Out-of-distribution generalization test (held out)</w:t>
            </w:r>
          </w:p>
        </w:tc>
      </w:tr>
      <w:tr>
        <w:tc>
          <w:tcPr>
            <w:tcW w:type="dxa" w:w="11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center"/>
            </w:pPr>
            <w:r>
              <w:rPr>
                <w:rFonts w:ascii="Times New Roman" w:cs="Times New Roman" w:eastAsia="Times New Roman" w:hAnsi="Times New Roman"/>
                <w:b/>
                <w:bCs/>
                <w:color w:val="1B3A6B"/>
                <w:sz w:val="20"/>
                <w:szCs w:val="20"/>
              </w:rPr>
              <w:t xml:space="preserve">DS-5</w:t>
            </w:r>
          </w:p>
        </w:tc>
        <w:tc>
          <w:tcPr>
            <w:tcW w:type="dxa" w:w="1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bCs/>
                <w:color w:val="1B3A6B"/>
                <w:sz w:val="20"/>
                <w:szCs w:val="20"/>
              </w:rPr>
              <w:t xml:space="preserve">IoT Sensor-Based Real-Time</w:t>
            </w:r>
          </w:p>
        </w:tc>
        <w:tc>
          <w:tcPr>
            <w:tcW w:type="dxa" w:w="17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pH, temperature, turbidity (with drift logs)</w:t>
            </w:r>
          </w:p>
        </w:tc>
        <w:tc>
          <w:tcPr>
            <w:tcW w:type="dxa" w:w="190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1 Hz continuous; sensor noise included</w:t>
            </w:r>
          </w:p>
        </w:tc>
        <w:tc>
          <w:tcPr>
            <w:tcW w:type="dxa" w:w="2760"/>
            <w:tcBorders>
              <w:top w:val="single" w:color="C0CDE0" w:sz="1"/>
              <w:left w:val="single" w:color="C0CDE0" w:sz="1"/>
              <w:bottom w:val="single" w:color="C0CDE0" w:sz="1"/>
              <w:right w:val="single" w:color="C0CDE0" w:sz="1"/>
            </w:tcBorders>
            <w:shd w:fill="EEF4FC"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A1A1A"/>
                <w:sz w:val="20"/>
                <w:szCs w:val="20"/>
              </w:rPr>
              <w:t xml:space="preserve">Noise model fitting; sim-to-real validation (held out)</w:t>
            </w:r>
          </w:p>
        </w:tc>
      </w:tr>
    </w:tbl>
    <w:p>
      <w:pPr>
        <w:spacing w:after="160" w:before="60"/>
        <w:jc w:val="center"/>
      </w:pPr>
      <w:r>
        <w:rPr>
          <w:rFonts w:ascii="Times New Roman" w:cs="Times New Roman" w:eastAsia="Times New Roman" w:hAnsi="Times New Roman"/>
          <w:i/>
          <w:iCs/>
          <w:color w:val="444444"/>
          <w:sz w:val="20"/>
          <w:szCs w:val="20"/>
        </w:rPr>
        <w:t xml:space="preserve">Table 4. Dataset inventory with selection justification and role in the pipeline.</w:t>
      </w:r>
    </w:p>
    <w:p>
      <w:pPr>
        <w:spacing w:after="32" w:before="0"/>
      </w:pPr>
      <w:r>
        <w:t xml:space="preserve"/>
      </w:r>
    </w:p>
    <w:p>
      <w:pPr>
        <w:spacing w:after="80" w:before="80" w:line="360"/>
        <w:jc w:val="both"/>
      </w:pPr>
      <w:r>
        <w:rPr>
          <w:rFonts w:ascii="Times New Roman" w:cs="Times New Roman" w:eastAsia="Times New Roman" w:hAnsi="Times New Roman"/>
          <w:color w:val="1A1A1A"/>
          <w:sz w:val="24"/>
          <w:szCs w:val="24"/>
        </w:rPr>
        <w:t xml:space="preserve">The datasets serve four distinct purposes: (i) learning realistic wastewater pH dynamics for environment modeling (DS-1, DS-5); (ii) estimating buffering parameters and defining physical and regulatory constraints (DS-2, DS-3); (iii) evaluating cross-regional generalization (DS-4, held out from all training); and (iv) validating sim-to-real transfer on real sensor data (held-out portion of DS-5). The strict separation of DS-4 and a portion of DS-5 from all training and preprocessing decisions ensures that the Tier 2 and Tier 3 evaluations provide unbiased estimates of generalization and transfer performance. Full dataset accession identifiers, record ranges, and license terms will be provided in the supplementary material.</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6. Results and Analysis</w:t>
      </w:r>
    </w:p>
    <w:p>
      <w:pPr>
        <w:spacing w:after="80" w:before="80" w:line="360"/>
        <w:jc w:val="both"/>
      </w:pPr>
      <w:r>
        <w:rPr>
          <w:rFonts w:ascii="Times New Roman" w:cs="Times New Roman" w:eastAsia="Times New Roman" w:hAnsi="Times New Roman"/>
          <w:color w:val="1A1A1A"/>
          <w:sz w:val="24"/>
          <w:szCs w:val="24"/>
        </w:rPr>
        <w:t xml:space="preserve">This section presents the experimental results. The results are organized to address each research question in turn: Section 6.1 reports surrogate model validation; Section 6.2 reports Tier 1 controller comparison (RQ1); Section 6.3 reports the progressive dosing analysis (RQ2); Section 6.4 reports out-of-distribution generalization (RQ3); Section 6.5 reports sim-to-real validation (RQ4); and Section 6.6 reports the ablation study.</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6.1 Surrogate Model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Report the results of the six surrogate acceptance gates. Present a table comparing LSTM, GRU, TCN, and MLP variants on validation RMSE, MAE, and held-out real-trajectory MAPE. State which model was selected and confirm all six acceptance gates were satisfied. Include the titration simulator validation result (MAPE against the 50 held-out real trajectories). Reference a training-curve figure and an MC-Dropout calibration (reliability) diagram in the supplementary material.</w:t>
            </w:r>
          </w:p>
        </w:tc>
      </w:tr>
    </w:tbl>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2E5FA3"/>
                <w:sz w:val="22"/>
                <w:szCs w:val="22"/>
              </w:rPr>
              <w:t xml:space="preserve">Suggested table here</w:t>
            </w:r>
          </w:p>
          <w:p>
            <w:pPr>
              <w:spacing w:after="0" w:before="0"/>
              <w:jc w:val="both"/>
            </w:pPr>
            <w:r>
              <w:rPr>
                <w:rFonts w:ascii="Times New Roman" w:cs="Times New Roman" w:eastAsia="Times New Roman" w:hAnsi="Times New Roman"/>
                <w:color w:val="1A1A1A"/>
                <w:sz w:val="22"/>
                <w:szCs w:val="22"/>
              </w:rPr>
              <w:t xml:space="preserve">Table 5 — Surrogate model comparison (Val RMSE, Val MAE, real-trajectory MAPE, selected/not). Populate the cells with measured values once the surrogate is trained.</w:t>
            </w:r>
          </w:p>
        </w:tc>
      </w:tr>
    </w:tbl>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6.2 Controller Comparison: Tier 1 (RQ1)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Present the headline comparison table: PPO (proposed) versus Rule-Based, PID, Lookup-Table, and DDPG across all eight metrics (DCR, MPD, TCU, CER, OEC, PST, PDCR, STG), reported as mean ± SD across 500 episodes. For each baseline comparison, report the Wilcoxon signed-rank test statistic, the Bonferroni-corrected p-value, and Cohen's d effect size. State explicitly whether H1 is supported: i.e., whether the RL controller achieves significantly higher DCR and significantly lower TCU than all baselines. Reference a figure showing per-episode metric distributions (violin/box plots).</w:t>
            </w:r>
          </w:p>
        </w:tc>
      </w:tr>
    </w:tbl>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2E5FA3"/>
                <w:sz w:val="22"/>
                <w:szCs w:val="22"/>
              </w:rPr>
              <w:t xml:space="preserve">Suggested table here</w:t>
            </w:r>
          </w:p>
          <w:p>
            <w:pPr>
              <w:spacing w:after="0" w:before="0"/>
              <w:jc w:val="both"/>
            </w:pPr>
            <w:r>
              <w:rPr>
                <w:rFonts w:ascii="Times New Roman" w:cs="Times New Roman" w:eastAsia="Times New Roman" w:hAnsi="Times New Roman"/>
                <w:color w:val="1A1A1A"/>
                <w:sz w:val="22"/>
                <w:szCs w:val="22"/>
              </w:rPr>
              <w:t xml:space="preserve">Table 6 — Tier 1 controller comparison with significance tests and effect sizes. Suggested figure: Figure 2 — per-episode DCR and TCU distributions across controllers.</w:t>
            </w:r>
          </w:p>
        </w:tc>
      </w:tr>
    </w:tbl>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6.3 Progressive Dosing Analysis (RQ2)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Report the Progressive Dosing Compliance Rate (PDCR) of the full model versus an RL agent without the progressive dosing mechanism (ablation A2). Compare TCU and OEC between the two. State whether H2 is supported: i.e., whether progressive dosing reduces chemical usage and overshoot while maintaining compliance. Reference an action-distribution heatmap (action level vs. |ΔpH|) demonstrating the low-to-high escalation behavior.</w:t>
            </w:r>
          </w:p>
        </w:tc>
      </w:tr>
    </w:tbl>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2E5FA3"/>
                <w:sz w:val="22"/>
                <w:szCs w:val="22"/>
              </w:rPr>
              <w:t xml:space="preserve">Suggested figure here</w:t>
            </w:r>
          </w:p>
          <w:p>
            <w:pPr>
              <w:spacing w:after="0" w:before="0"/>
              <w:jc w:val="both"/>
            </w:pPr>
            <w:r>
              <w:rPr>
                <w:rFonts w:ascii="Times New Roman" w:cs="Times New Roman" w:eastAsia="Times New Roman" w:hAnsi="Times New Roman"/>
                <w:color w:val="1A1A1A"/>
                <w:sz w:val="22"/>
                <w:szCs w:val="22"/>
              </w:rPr>
              <w:t xml:space="preserve">Figure 3 — Action selection frequency by pH deviation, showing progressive escalation. Suggested table: dosing behavior comparison (with vs. without progressive enforcement).</w:t>
            </w:r>
          </w:p>
        </w:tc>
      </w:tr>
    </w:tbl>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6.4 Out-of-Distribution Generalization: Tier 2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Report all controllers' performance on the 200 OOD episodes from DS-4. Compare DCR_Tier2 against DCR_Tier1 for each controller, quantifying the generalization drop. State whether H3 is supported: i.e., whether the RL controller maintains DCR above the best baseline on OOD data with a bounded drop. Discuss which state features (e.g., conductivity as a buffering proxy) appear to support generalization, referencing permutation-importance analysis.</w:t>
            </w:r>
          </w:p>
        </w:tc>
      </w:tr>
    </w:tbl>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2E5FA3"/>
                <w:sz w:val="22"/>
                <w:szCs w:val="22"/>
              </w:rPr>
              <w:t xml:space="preserve">Suggested table here</w:t>
            </w:r>
          </w:p>
          <w:p>
            <w:pPr>
              <w:spacing w:after="0" w:before="0"/>
              <w:jc w:val="both"/>
            </w:pPr>
            <w:r>
              <w:rPr>
                <w:rFonts w:ascii="Times New Roman" w:cs="Times New Roman" w:eastAsia="Times New Roman" w:hAnsi="Times New Roman"/>
                <w:color w:val="1A1A1A"/>
                <w:sz w:val="22"/>
                <w:szCs w:val="22"/>
              </w:rPr>
              <w:t xml:space="preserve">Table 7 — Tier 1 vs. Tier 2 DCR comparison across controllers, with generalization drop quantified.</w:t>
            </w:r>
          </w:p>
        </w:tc>
      </w:tr>
    </w:tbl>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6.5 Sim-to-Real Validation: Tier 3 (RQ4)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Report the Sim-to-Real Transfer Gap (STG = |DCR_Tier1 − DCR_Tier3|) for the proposed framework. Present DCR on the held-out real DS-5 trajectories. State whether H4 is supported: i.e., whether STG is below 10 percentage points. Discuss the role of the physics-grounded warm-start and uncertainty gating in reducing the transfer gap, comparing against ablation A3 (no uncertainty gating) and A1 (no physics warm-start). Reference sample real-vs-projected pH trajectory plots.</w:t>
            </w:r>
          </w:p>
        </w:tc>
      </w:tr>
    </w:tbl>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2E5FA3"/>
                <w:sz w:val="22"/>
                <w:szCs w:val="22"/>
              </w:rPr>
              <w:t xml:space="preserve">Suggested figure here</w:t>
            </w:r>
          </w:p>
          <w:p>
            <w:pPr>
              <w:spacing w:after="0" w:before="0"/>
              <w:jc w:val="both"/>
            </w:pPr>
            <w:r>
              <w:rPr>
                <w:rFonts w:ascii="Times New Roman" w:cs="Times New Roman" w:eastAsia="Times New Roman" w:hAnsi="Times New Roman"/>
                <w:color w:val="1A1A1A"/>
                <w:sz w:val="22"/>
                <w:szCs w:val="22"/>
              </w:rPr>
              <w:t xml:space="preserve">Figure 4 — Representative real DS-5 pH trajectories with policy-selected dosing actions annotated; surrogate-projected vs. real pH overlay. Table 8 — STG decomposition by pH range and buffering class.</w:t>
            </w:r>
          </w:p>
        </w:tc>
      </w:tr>
    </w:tbl>
    <w:p>
      <w:pPr>
        <w:spacing w:after="48"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6.6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Report the five-variant ablation (A0 full model through A5), three seeds each, on the Tier 1 test set. For each ablation, report all eight metrics as mean ± SD across seeds and the statistical comparison against A0. Confirm or refute each ablation hypothesis: A1 (physics warm-start improves stability), A2 (curriculum masking improves CER/PDCR), A3 (uncertainty gating improves Tier 3 transfer), A4 (LSTM outperforms MLP surrogate), A5 (Dyna refresh prevents drift). Identify which components contribute most to performance.</w:t>
            </w:r>
          </w:p>
        </w:tc>
      </w:tr>
    </w:tbl>
    <w:p>
      <w:pPr>
        <w:spacing w:after="3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C"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2E5FA3"/>
                <w:sz w:val="22"/>
                <w:szCs w:val="22"/>
              </w:rPr>
              <w:t xml:space="preserve">Suggested table here</w:t>
            </w:r>
          </w:p>
          <w:p>
            <w:pPr>
              <w:spacing w:after="0" w:before="0"/>
              <w:jc w:val="both"/>
            </w:pPr>
            <w:r>
              <w:rPr>
                <w:rFonts w:ascii="Times New Roman" w:cs="Times New Roman" w:eastAsia="Times New Roman" w:hAnsi="Times New Roman"/>
                <w:color w:val="1A1A1A"/>
                <w:sz w:val="22"/>
                <w:szCs w:val="22"/>
              </w:rPr>
              <w:t xml:space="preserve">Table 9 — Ablation study results (A0–A5) with per-variant metrics and significance vs. full model.</w:t>
            </w:r>
          </w:p>
        </w:tc>
      </w:tr>
    </w:tbl>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7. Discussion</w:t>
      </w:r>
    </w:p>
    <w:p>
      <w:pPr>
        <w:spacing w:after="80" w:before="80" w:line="360"/>
        <w:jc w:val="both"/>
      </w:pPr>
      <w:r>
        <w:rPr>
          <w:rFonts w:ascii="Times New Roman" w:cs="Times New Roman" w:eastAsia="Times New Roman" w:hAnsi="Times New Roman"/>
          <w:color w:val="1A1A1A"/>
          <w:sz w:val="24"/>
          <w:szCs w:val="24"/>
        </w:rPr>
        <w:t xml:space="preserve">This section interprets the experimental findings, relates them to the research questions and prior literature, and acknowledges limitations. The structure below provides the discussion skeleton; populate each subsection once results are available.</w:t>
      </w:r>
    </w:p>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7.1 Interpretation of Principal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Synthesize the answers to RQ1–RQ4. Explain WHY the RL controller outperforms baselines (e.g., its ability to anticipate reaction lag and exploit buffering-capacity signals in the state). Connect the magnitude of the compliance and chemical-usage improvements to the practical and economic significance for industrial operators. Interpret the progressive dosing results in terms of operator-intuitive behavior learned automatically.</w:t>
            </w:r>
          </w:p>
        </w:tc>
      </w:tr>
    </w:tbl>
    <w:p>
      <w:pPr>
        <w:spacing w:after="32"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7.2 Comparison with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Compare the measured performance against the comparable studies identified in Table 1 (Dogru &amp; Paulen, Spielberg et al., Hua et al., etc.). Emphasize what the sim-to-real validation tier contributes that prior simulation-only studies could not demonstrate. Position the CER and STG metrics as transferable contributions to the field.</w:t>
            </w:r>
          </w:p>
        </w:tc>
      </w:tr>
    </w:tbl>
    <w:p>
      <w:pPr>
        <w:spacing w:after="32"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7.3 Practical Implications for Industrial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Discuss what the results imply for real-world deployment: estimated chemical cost savings, compliance risk reduction, and the engineering steps required for a safe deployment (shadow-mode operation, fail-safe overrides, system identification). Be candid about what remains unproven without physical pilot validation.</w:t>
            </w:r>
          </w:p>
        </w:tc>
      </w:tr>
    </w:tbl>
    <w:p>
      <w:pPr>
        <w:spacing w:after="32"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7.4 Limitations</w:t>
      </w:r>
    </w:p>
    <w:p>
      <w:pPr>
        <w:spacing w:after="80" w:before="80" w:line="360"/>
        <w:jc w:val="both"/>
      </w:pPr>
      <w:r>
        <w:rPr>
          <w:rFonts w:ascii="Times New Roman" w:cs="Times New Roman" w:eastAsia="Times New Roman" w:hAnsi="Times New Roman"/>
          <w:color w:val="1A1A1A"/>
          <w:sz w:val="24"/>
          <w:szCs w:val="24"/>
        </w:rPr>
        <w:t xml:space="preserve">Several limitations are acknowledged. First, the LSTM surrogate, despite physics grounding, cannot model all real-world phenomena such as microbial activity, sedimentation, or temperature-dependent equilibrium shifts beyond the parameterized range. Second, the sim-to-real validation uses passive monitoring data with virtually applied doses rather than physical dosing of real wastewater, so the policy's actual effect on real effluent remains to be confirmed in a pilot study. Third, the framework targets pH as the sole controlled variable; multi-parameter simultaneous control is outside the current formulation. Fourth, the action-reconstruction protocol introduces label uncertainty, although the physics-plausibility filter and a label-noise sensitivity analysis bound its impact. Fifth, the action space assumes specific reagents at fixed concentration; re-parameterization is required for different reagent chemistries. These limitations define the boundaries within which the reported results are valid and motivate the future work below.</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8. Conclusion and Future Work</w:t>
      </w:r>
    </w:p>
    <w:p>
      <w:pPr>
        <w:pStyle w:val="Heading2"/>
        <w:spacing w:after="120" w:before="260"/>
      </w:pPr>
      <w:r>
        <w:rPr>
          <w:rFonts w:ascii="Times New Roman" w:cs="Times New Roman" w:eastAsia="Times New Roman" w:hAnsi="Times New Roman"/>
          <w:b/>
          <w:bCs/>
          <w:color w:val="2E5FA3"/>
          <w:sz w:val="26"/>
          <w:szCs w:val="26"/>
        </w:rPr>
        <w:t xml:space="preserve">8.1 Conclusion</w:t>
      </w:r>
    </w:p>
    <w:p>
      <w:pPr>
        <w:spacing w:after="80" w:before="80" w:line="360"/>
        <w:jc w:val="both"/>
      </w:pPr>
      <w:r>
        <w:rPr>
          <w:rFonts w:ascii="Times New Roman" w:cs="Times New Roman" w:eastAsia="Times New Roman" w:hAnsi="Times New Roman"/>
          <w:color w:val="1A1A1A"/>
          <w:sz w:val="24"/>
          <w:szCs w:val="24"/>
        </w:rPr>
        <w:t xml:space="preserve">This paper proposed a physics-grounded, model-based reinforcement learning framework for adaptive chemical dosing in industrial wastewater neutralization, explicitly targeting environmental discharge compliance while minimizing chemical consumption through a progressive low-to-high dosing strategy. The framework integrates a first-principles titration simulator, an LSTM surrogate trained on dosing actions reconstructed from public monitoring data, and a PPO control agent, and is evaluated across in-distribution, out-of-distribution, and sim-to-real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B4F00" w:sz="2"/>
              <w:left w:val="dashed" w:color="7B4F00" w:sz="2"/>
              <w:bottom w:val="dashed" w:color="7B4F00" w:sz="2"/>
              <w:right w:val="dashed" w:color="7B4F00" w:sz="2"/>
            </w:tcBorders>
            <w:shd w:fill="FFF8E7"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7B4F00"/>
                <w:sz w:val="20"/>
                <w:szCs w:val="20"/>
              </w:rPr>
              <w:t xml:space="preserve">▣ TO BE COMPLETED AFTER EXPERIMENTS</w:t>
            </w:r>
          </w:p>
          <w:p>
            <w:pPr>
              <w:spacing w:after="0" w:before="0"/>
              <w:jc w:val="both"/>
            </w:pPr>
            <w:r>
              <w:rPr>
                <w:rFonts w:ascii="Times New Roman" w:cs="Times New Roman" w:eastAsia="Times New Roman" w:hAnsi="Times New Roman"/>
                <w:i/>
                <w:iCs/>
                <w:color w:val="1A1A1A"/>
                <w:sz w:val="22"/>
                <w:szCs w:val="22"/>
              </w:rPr>
              <w:t xml:space="preserve">Summarize the confirmed findings once experiments are complete: state the headline compliance-rate and chemical-usage improvements over baselines, the confirmation or refutation of each hypothesis (H1–H4), the measured sim-to-real transfer gap, and the most influential methodological components identified by the ablation study. Conclude with a concise statement of the framework's demonstrated value and readiness level.</w:t>
            </w:r>
          </w:p>
        </w:tc>
      </w:tr>
    </w:tbl>
    <w:p>
      <w:pPr>
        <w:spacing w:after="40" w:before="0"/>
      </w:pPr>
      <w:r>
        <w:t xml:space="preserve"/>
      </w:r>
    </w:p>
    <w:p>
      <w:pPr>
        <w:pStyle w:val="Heading2"/>
        <w:spacing w:after="120" w:before="260"/>
      </w:pPr>
      <w:r>
        <w:rPr>
          <w:rFonts w:ascii="Times New Roman" w:cs="Times New Roman" w:eastAsia="Times New Roman" w:hAnsi="Times New Roman"/>
          <w:b/>
          <w:bCs/>
          <w:color w:val="2E5FA3"/>
          <w:sz w:val="26"/>
          <w:szCs w:val="26"/>
        </w:rPr>
        <w:t xml:space="preserve">8.2 Future Work</w:t>
      </w:r>
    </w:p>
    <w:p>
      <w:pPr>
        <w:spacing w:after="80" w:before="80" w:line="360"/>
        <w:jc w:val="both"/>
      </w:pPr>
      <w:r>
        <w:rPr>
          <w:rFonts w:ascii="Times New Roman" w:cs="Times New Roman" w:eastAsia="Times New Roman" w:hAnsi="Times New Roman"/>
          <w:color w:val="1A1A1A"/>
          <w:sz w:val="24"/>
          <w:szCs w:val="24"/>
        </w:rPr>
        <w:t xml:space="preserve">Several directions extend this work. The most immediate is physical pilot validation: deploying the learned policy in a lab-scale neutralization tank with a peristaltic dosing pump and pH probe would convert the indirect sim-to-real evidence into direct evidence and substantially strengthen the deployment case. Beyond this, promising directions include: multi-parameter simultaneous control (concurrent pH, dissolved oxygen, and heavy-metal management); extension to alternative reagent chemistries through simulator re-parameterization; integration with biological treatment stages; constrained-MDP formulations with formal safety guarantees for deployment; and online continual learning to adapt the policy to gradual plant drift. Producing potable-quality water through integration with pathogen removal and advanced filtration remains a longer-term extension outside the present scope.</w:t>
      </w:r>
    </w:p>
    <w:p>
      <w:pPr>
        <w:spacing w:after="80" w:before="0"/>
      </w:pPr>
      <w:r>
        <w:t xml:space="preserve"/>
      </w:r>
    </w:p>
    <w:p>
      <w:pPr>
        <w:pStyle w:val="Heading1"/>
        <w:spacing w:after="160" w:before="400"/>
      </w:pPr>
      <w:r>
        <w:rPr>
          <w:rFonts w:ascii="Times New Roman" w:cs="Times New Roman" w:eastAsia="Times New Roman" w:hAnsi="Times New Roman"/>
          <w:b/>
          <w:bCs/>
          <w:color w:val="1B3A6B"/>
          <w:sz w:val="30"/>
          <w:szCs w:val="30"/>
        </w:rPr>
        <w:t xml:space="preserve">Declarations</w:t>
      </w:r>
    </w:p>
    <w:p>
      <w:pPr>
        <w:spacing w:after="80" w:before="80" w:line="360"/>
        <w:jc w:val="both"/>
      </w:pPr>
      <w:r>
        <w:rPr>
          <w:rFonts w:ascii="Times New Roman" w:cs="Times New Roman" w:eastAsia="Times New Roman" w:hAnsi="Times New Roman"/>
          <w:b/>
          <w:bCs/>
          <w:color w:val="1A1A1A"/>
          <w:sz w:val="24"/>
          <w:szCs w:val="24"/>
        </w:rPr>
        <w:t xml:space="preserve">Data Availability: </w:t>
      </w:r>
      <w:r>
        <w:rPr>
          <w:rFonts w:ascii="Times New Roman" w:cs="Times New Roman" w:eastAsia="Times New Roman" w:hAnsi="Times New Roman"/>
          <w:color w:val="1A1A1A"/>
          <w:sz w:val="24"/>
          <w:szCs w:val="24"/>
        </w:rPr>
        <w:t xml:space="preserve">All datasets used are publicly available through the RDI compendium; accession identifiers and license terms are provided in the supplementary material. Code, the custom training environment, and trained model weights will be released under an open-source license upon acceptance.</w:t>
      </w:r>
    </w:p>
    <w:p>
      <w:pPr>
        <w:spacing w:after="80" w:before="80" w:line="360"/>
        <w:jc w:val="both"/>
      </w:pPr>
      <w:r>
        <w:rPr>
          <w:rFonts w:ascii="Times New Roman" w:cs="Times New Roman" w:eastAsia="Times New Roman" w:hAnsi="Times New Roman"/>
          <w:b/>
          <w:bCs/>
          <w:color w:val="1A1A1A"/>
          <w:sz w:val="24"/>
          <w:szCs w:val="24"/>
        </w:rPr>
        <w:t xml:space="preserve">Ethics: </w:t>
      </w:r>
      <w:r>
        <w:rPr>
          <w:rFonts w:ascii="Times New Roman" w:cs="Times New Roman" w:eastAsia="Times New Roman" w:hAnsi="Times New Roman"/>
          <w:color w:val="1A1A1A"/>
          <w:sz w:val="24"/>
          <w:szCs w:val="24"/>
        </w:rPr>
        <w:t xml:space="preserve">This research uses only publicly available, anonymized environmental monitoring data. No human or animal subjects were involved, and no live industrial system was controlled during the study.</w:t>
      </w:r>
    </w:p>
    <w:p>
      <w:pPr>
        <w:spacing w:after="80" w:before="80" w:line="360"/>
        <w:jc w:val="both"/>
      </w:pPr>
      <w:r>
        <w:rPr>
          <w:rFonts w:ascii="Times New Roman" w:cs="Times New Roman" w:eastAsia="Times New Roman" w:hAnsi="Times New Roman"/>
          <w:b/>
          <w:bCs/>
          <w:color w:val="1A1A1A"/>
          <w:sz w:val="24"/>
          <w:szCs w:val="24"/>
        </w:rPr>
        <w:t xml:space="preserve">Conflict of Interest: </w:t>
      </w:r>
      <w:r>
        <w:rPr>
          <w:rFonts w:ascii="Times New Roman" w:cs="Times New Roman" w:eastAsia="Times New Roman" w:hAnsi="Times New Roman"/>
          <w:color w:val="1A1A1A"/>
          <w:sz w:val="24"/>
          <w:szCs w:val="24"/>
        </w:rPr>
        <w:t xml:space="preserve">The authors declare no competing financial interests or personal relationships that could have influenced the work reported in this paper.</w:t>
      </w:r>
    </w:p>
    <w:p>
      <w:pPr>
        <w:spacing w:after="80" w:before="80" w:line="360"/>
        <w:jc w:val="both"/>
      </w:pPr>
      <w:r>
        <w:rPr>
          <w:rFonts w:ascii="Times New Roman" w:cs="Times New Roman" w:eastAsia="Times New Roman" w:hAnsi="Times New Roman"/>
          <w:b/>
          <w:bCs/>
          <w:color w:val="1A1A1A"/>
          <w:sz w:val="24"/>
          <w:szCs w:val="24"/>
        </w:rPr>
        <w:t xml:space="preserve">Funding: </w:t>
      </w:r>
      <w:r>
        <w:rPr>
          <w:rFonts w:ascii="Times New Roman" w:cs="Times New Roman" w:eastAsia="Times New Roman" w:hAnsi="Times New Roman"/>
          <w:color w:val="1A1A1A"/>
          <w:sz w:val="24"/>
          <w:szCs w:val="24"/>
        </w:rPr>
        <w:t xml:space="preserve">[State funding source or 'This research received no specific grant from any funding agency in the public, commercial, or not-for-profit sectors.']</w:t>
      </w:r>
    </w:p>
    <w:p>
      <w:pPr>
        <w:spacing w:after="80" w:before="0"/>
      </w:pPr>
      <w:r>
        <w:t xml:space="preserve"/>
      </w:r>
    </w:p>
    <w:p>
      <w:r>
        <w:t xml:space="preserve"/>
      </w:r>
    </w:p>
    <w:p>
      <w:pPr>
        <w:pStyle w:val="Heading1"/>
        <w:spacing w:after="160" w:before="400"/>
      </w:pPr>
      <w:r>
        <w:rPr>
          <w:rFonts w:ascii="Times New Roman" w:cs="Times New Roman" w:eastAsia="Times New Roman" w:hAnsi="Times New Roman"/>
          <w:b/>
          <w:bCs/>
          <w:color w:val="1B3A6B"/>
          <w:sz w:val="30"/>
          <w:szCs w:val="30"/>
        </w:rPr>
        <w:t xml:space="preserve">References</w:t>
      </w:r>
    </w:p>
    <w:p>
      <w:pPr>
        <w:spacing w:after="80" w:before="80" w:line="360"/>
        <w:jc w:val="both"/>
      </w:pPr>
      <w:r>
        <w:rPr>
          <w:rFonts w:ascii="Times New Roman" w:cs="Times New Roman" w:eastAsia="Times New Roman" w:hAnsi="Times New Roman"/>
          <w:i/>
          <w:iCs/>
          <w:color w:val="444444"/>
          <w:sz w:val="21"/>
          <w:szCs w:val="21"/>
        </w:rPr>
        <w:t xml:space="preserve">Note: the reference list below contains the core methodological and foundational citations. Expand with domain-specific wastewater-treatment references identified during your literature search, and format according to the target journal's style (Elsevier numbered style shown).</w:t>
      </w:r>
    </w:p>
    <w:p>
      <w:pPr>
        <w:spacing w:after="40" w:before="0"/>
      </w:pPr>
      <w:r>
        <w:t xml:space="preserve"/>
      </w:r>
    </w:p>
    <w:p>
      <w:pPr>
        <w:spacing w:after="60" w:before="60" w:line="300"/>
        <w:ind w:left="640" w:hanging="640"/>
      </w:pPr>
      <w:r>
        <w:rPr>
          <w:rFonts w:ascii="Times New Roman" w:cs="Times New Roman" w:eastAsia="Times New Roman" w:hAnsi="Times New Roman"/>
          <w:b/>
          <w:bCs/>
          <w:color w:val="2E5FA3"/>
          <w:sz w:val="21"/>
          <w:szCs w:val="21"/>
        </w:rPr>
        <w:t xml:space="preserve">[1] </w:t>
      </w:r>
      <w:r>
        <w:rPr>
          <w:rFonts w:ascii="Times New Roman" w:cs="Times New Roman" w:eastAsia="Times New Roman" w:hAnsi="Times New Roman"/>
          <w:color w:val="1A1A1A"/>
          <w:sz w:val="21"/>
          <w:szCs w:val="21"/>
        </w:rPr>
        <w:t xml:space="preserve">McAvoy, T. J., Hsu, E., &amp; Lowenthal, S. (1972). Dynamics of pH in controlled stirred tank reactor. Industrial &amp; Engineering Chemistry Process Design and Development, 11(1), 68–70.</w:t>
      </w:r>
    </w:p>
    <w:p>
      <w:pPr>
        <w:spacing w:after="60" w:before="60" w:line="300"/>
        <w:ind w:left="640" w:hanging="640"/>
      </w:pPr>
      <w:r>
        <w:rPr>
          <w:rFonts w:ascii="Times New Roman" w:cs="Times New Roman" w:eastAsia="Times New Roman" w:hAnsi="Times New Roman"/>
          <w:b/>
          <w:bCs/>
          <w:color w:val="2E5FA3"/>
          <w:sz w:val="21"/>
          <w:szCs w:val="21"/>
        </w:rPr>
        <w:t xml:space="preserve">[2] </w:t>
      </w:r>
      <w:r>
        <w:rPr>
          <w:rFonts w:ascii="Times New Roman" w:cs="Times New Roman" w:eastAsia="Times New Roman" w:hAnsi="Times New Roman"/>
          <w:color w:val="1A1A1A"/>
          <w:sz w:val="21"/>
          <w:szCs w:val="21"/>
        </w:rPr>
        <w:t xml:space="preserve">Shinskey, F. G. (1973). pH and pION Control in Process and Waste Streams. Wiley-Interscience, New York.</w:t>
      </w:r>
    </w:p>
    <w:p>
      <w:pPr>
        <w:spacing w:after="60" w:before="60" w:line="300"/>
        <w:ind w:left="640" w:hanging="640"/>
      </w:pPr>
      <w:r>
        <w:rPr>
          <w:rFonts w:ascii="Times New Roman" w:cs="Times New Roman" w:eastAsia="Times New Roman" w:hAnsi="Times New Roman"/>
          <w:b/>
          <w:bCs/>
          <w:color w:val="2E5FA3"/>
          <w:sz w:val="21"/>
          <w:szCs w:val="21"/>
        </w:rPr>
        <w:t xml:space="preserve">[3] </w:t>
      </w:r>
      <w:r>
        <w:rPr>
          <w:rFonts w:ascii="Times New Roman" w:cs="Times New Roman" w:eastAsia="Times New Roman" w:hAnsi="Times New Roman"/>
          <w:color w:val="1A1A1A"/>
          <w:sz w:val="21"/>
          <w:szCs w:val="21"/>
        </w:rPr>
        <w:t xml:space="preserve">Henson, M. A., &amp; Seborg, D. E. (1994). Adaptive nonlinear control of a pH neutralization process. IEEE Transactions on Control Systems Technology, 2(3), 169–182.</w:t>
      </w:r>
    </w:p>
    <w:p>
      <w:pPr>
        <w:spacing w:after="60" w:before="60" w:line="300"/>
        <w:ind w:left="640" w:hanging="640"/>
      </w:pPr>
      <w:r>
        <w:rPr>
          <w:rFonts w:ascii="Times New Roman" w:cs="Times New Roman" w:eastAsia="Times New Roman" w:hAnsi="Times New Roman"/>
          <w:b/>
          <w:bCs/>
          <w:color w:val="2E5FA3"/>
          <w:sz w:val="21"/>
          <w:szCs w:val="21"/>
        </w:rPr>
        <w:t xml:space="preserve">[4] </w:t>
      </w:r>
      <w:r>
        <w:rPr>
          <w:rFonts w:ascii="Times New Roman" w:cs="Times New Roman" w:eastAsia="Times New Roman" w:hAnsi="Times New Roman"/>
          <w:color w:val="1A1A1A"/>
          <w:sz w:val="21"/>
          <w:szCs w:val="21"/>
        </w:rPr>
        <w:t xml:space="preserve">Wright, R. A., &amp; Kravaris, C. (1991). Nonlinear control of pH processes using the strong acid equivalent. Industrial &amp; Engineering Chemistry Research, 30(7), 1561–1572.</w:t>
      </w:r>
    </w:p>
    <w:p>
      <w:pPr>
        <w:spacing w:after="60" w:before="60" w:line="300"/>
        <w:ind w:left="640" w:hanging="640"/>
      </w:pPr>
      <w:r>
        <w:rPr>
          <w:rFonts w:ascii="Times New Roman" w:cs="Times New Roman" w:eastAsia="Times New Roman" w:hAnsi="Times New Roman"/>
          <w:b/>
          <w:bCs/>
          <w:color w:val="2E5FA3"/>
          <w:sz w:val="21"/>
          <w:szCs w:val="21"/>
        </w:rPr>
        <w:t xml:space="preserve">[5] </w:t>
      </w:r>
      <w:r>
        <w:rPr>
          <w:rFonts w:ascii="Times New Roman" w:cs="Times New Roman" w:eastAsia="Times New Roman" w:hAnsi="Times New Roman"/>
          <w:color w:val="1A1A1A"/>
          <w:sz w:val="21"/>
          <w:szCs w:val="21"/>
        </w:rPr>
        <w:t xml:space="preserve">Lee, J. H., &amp; Park, S. (1999). On-line adaptation of neural network for model-based predictive control of pH process. Computers &amp; Chemical Engineering, 23(1), 135–145.</w:t>
      </w:r>
    </w:p>
    <w:p>
      <w:pPr>
        <w:spacing w:after="60" w:before="60" w:line="300"/>
        <w:ind w:left="640" w:hanging="640"/>
      </w:pPr>
      <w:r>
        <w:rPr>
          <w:rFonts w:ascii="Times New Roman" w:cs="Times New Roman" w:eastAsia="Times New Roman" w:hAnsi="Times New Roman"/>
          <w:b/>
          <w:bCs/>
          <w:color w:val="2E5FA3"/>
          <w:sz w:val="21"/>
          <w:szCs w:val="21"/>
        </w:rPr>
        <w:t xml:space="preserve">[6] </w:t>
      </w:r>
      <w:r>
        <w:rPr>
          <w:rFonts w:ascii="Times New Roman" w:cs="Times New Roman" w:eastAsia="Times New Roman" w:hAnsi="Times New Roman"/>
          <w:color w:val="1A1A1A"/>
          <w:sz w:val="21"/>
          <w:szCs w:val="21"/>
        </w:rPr>
        <w:t xml:space="preserve">Qin, S. J., &amp; Borders, G. (1994). A multiregion fuzzy logic controller for nonlinear process control. IEEE Transactions on Fuzzy Systems, 2(1), 74–81.</w:t>
      </w:r>
    </w:p>
    <w:p>
      <w:pPr>
        <w:spacing w:after="60" w:before="60" w:line="300"/>
        <w:ind w:left="640" w:hanging="640"/>
      </w:pPr>
      <w:r>
        <w:rPr>
          <w:rFonts w:ascii="Times New Roman" w:cs="Times New Roman" w:eastAsia="Times New Roman" w:hAnsi="Times New Roman"/>
          <w:b/>
          <w:bCs/>
          <w:color w:val="2E5FA3"/>
          <w:sz w:val="21"/>
          <w:szCs w:val="21"/>
        </w:rPr>
        <w:t xml:space="preserve">[7] </w:t>
      </w:r>
      <w:r>
        <w:rPr>
          <w:rFonts w:ascii="Times New Roman" w:cs="Times New Roman" w:eastAsia="Times New Roman" w:hAnsi="Times New Roman"/>
          <w:color w:val="1A1A1A"/>
          <w:sz w:val="21"/>
          <w:szCs w:val="21"/>
        </w:rPr>
        <w:t xml:space="preserve">Babuška, R., &amp; Verbruggen, H. (2003). An overview of fuzzy logic systems for control. European Journal of Control, 9(2–3), 209–228.</w:t>
      </w:r>
    </w:p>
    <w:p>
      <w:pPr>
        <w:spacing w:after="60" w:before="60" w:line="300"/>
        <w:ind w:left="640" w:hanging="640"/>
      </w:pPr>
      <w:r>
        <w:rPr>
          <w:rFonts w:ascii="Times New Roman" w:cs="Times New Roman" w:eastAsia="Times New Roman" w:hAnsi="Times New Roman"/>
          <w:b/>
          <w:bCs/>
          <w:color w:val="2E5FA3"/>
          <w:sz w:val="21"/>
          <w:szCs w:val="21"/>
        </w:rPr>
        <w:t xml:space="preserve">[8] </w:t>
      </w:r>
      <w:r>
        <w:rPr>
          <w:rFonts w:ascii="Times New Roman" w:cs="Times New Roman" w:eastAsia="Times New Roman" w:hAnsi="Times New Roman"/>
          <w:color w:val="1A1A1A"/>
          <w:sz w:val="21"/>
          <w:szCs w:val="21"/>
        </w:rPr>
        <w:t xml:space="preserve">Spielberg, S. P. K., Gopaluni, R. B., &amp; Loewen, P. D. (2019). Deep reinforcement learning approaches for process control. 6th IEEE Conference on Control, Decision and Information Technologies (CoDIT).</w:t>
      </w:r>
    </w:p>
    <w:p>
      <w:pPr>
        <w:spacing w:after="60" w:before="60" w:line="300"/>
        <w:ind w:left="640" w:hanging="640"/>
      </w:pPr>
      <w:r>
        <w:rPr>
          <w:rFonts w:ascii="Times New Roman" w:cs="Times New Roman" w:eastAsia="Times New Roman" w:hAnsi="Times New Roman"/>
          <w:b/>
          <w:bCs/>
          <w:color w:val="2E5FA3"/>
          <w:sz w:val="21"/>
          <w:szCs w:val="21"/>
        </w:rPr>
        <w:t xml:space="preserve">[9] </w:t>
      </w:r>
      <w:r>
        <w:rPr>
          <w:rFonts w:ascii="Times New Roman" w:cs="Times New Roman" w:eastAsia="Times New Roman" w:hAnsi="Times New Roman"/>
          <w:color w:val="1A1A1A"/>
          <w:sz w:val="21"/>
          <w:szCs w:val="21"/>
        </w:rPr>
        <w:t xml:space="preserve">Dogru, O., &amp; Paulen, R. (2022). Reinforcement learning approach to autonomous PID tuning. Computers &amp; Chemical Engineering, 161, 107787.</w:t>
      </w:r>
    </w:p>
    <w:p>
      <w:pPr>
        <w:spacing w:after="60" w:before="60" w:line="300"/>
        <w:ind w:left="640" w:hanging="640"/>
      </w:pPr>
      <w:r>
        <w:rPr>
          <w:rFonts w:ascii="Times New Roman" w:cs="Times New Roman" w:eastAsia="Times New Roman" w:hAnsi="Times New Roman"/>
          <w:b/>
          <w:bCs/>
          <w:color w:val="2E5FA3"/>
          <w:sz w:val="21"/>
          <w:szCs w:val="21"/>
        </w:rPr>
        <w:t xml:space="preserve">[10] </w:t>
      </w:r>
      <w:r>
        <w:rPr>
          <w:rFonts w:ascii="Times New Roman" w:cs="Times New Roman" w:eastAsia="Times New Roman" w:hAnsi="Times New Roman"/>
          <w:color w:val="1A1A1A"/>
          <w:sz w:val="21"/>
          <w:szCs w:val="21"/>
        </w:rPr>
        <w:t xml:space="preserve">Pan, I., Mason, L. R., &amp; Matar, O. K. (2021). Data-centric engineering: Integrating simulation, machine learning and statistics. Chemical Engineering Science, 249, 117271.</w:t>
      </w:r>
    </w:p>
    <w:p>
      <w:pPr>
        <w:spacing w:after="60" w:before="60" w:line="300"/>
        <w:ind w:left="640" w:hanging="640"/>
      </w:pPr>
      <w:r>
        <w:rPr>
          <w:rFonts w:ascii="Times New Roman" w:cs="Times New Roman" w:eastAsia="Times New Roman" w:hAnsi="Times New Roman"/>
          <w:b/>
          <w:bCs/>
          <w:color w:val="2E5FA3"/>
          <w:sz w:val="21"/>
          <w:szCs w:val="21"/>
        </w:rPr>
        <w:t xml:space="preserve">[11] </w:t>
      </w:r>
      <w:r>
        <w:rPr>
          <w:rFonts w:ascii="Times New Roman" w:cs="Times New Roman" w:eastAsia="Times New Roman" w:hAnsi="Times New Roman"/>
          <w:color w:val="1A1A1A"/>
          <w:sz w:val="21"/>
          <w:szCs w:val="21"/>
        </w:rPr>
        <w:t xml:space="preserve">Ma, Y., et al. (2019). Deep reinforcement learning for chemical production scheduling. Computers &amp; Chemical Engineering, 130, 106571.</w:t>
      </w:r>
    </w:p>
    <w:p>
      <w:pPr>
        <w:spacing w:after="60" w:before="60" w:line="300"/>
        <w:ind w:left="640" w:hanging="640"/>
      </w:pPr>
      <w:r>
        <w:rPr>
          <w:rFonts w:ascii="Times New Roman" w:cs="Times New Roman" w:eastAsia="Times New Roman" w:hAnsi="Times New Roman"/>
          <w:b/>
          <w:bCs/>
          <w:color w:val="2E5FA3"/>
          <w:sz w:val="21"/>
          <w:szCs w:val="21"/>
        </w:rPr>
        <w:t xml:space="preserve">[12] </w:t>
      </w:r>
      <w:r>
        <w:rPr>
          <w:rFonts w:ascii="Times New Roman" w:cs="Times New Roman" w:eastAsia="Times New Roman" w:hAnsi="Times New Roman"/>
          <w:color w:val="1A1A1A"/>
          <w:sz w:val="21"/>
          <w:szCs w:val="21"/>
        </w:rPr>
        <w:t xml:space="preserve">Sutton, R. S. (1990). Integrated architectures for learning, planning, and reacting based on approximating dynamic programming. Proceedings of ICML 1990, 216–224.</w:t>
      </w:r>
    </w:p>
    <w:p>
      <w:pPr>
        <w:spacing w:after="60" w:before="60" w:line="300"/>
        <w:ind w:left="640" w:hanging="640"/>
      </w:pPr>
      <w:r>
        <w:rPr>
          <w:rFonts w:ascii="Times New Roman" w:cs="Times New Roman" w:eastAsia="Times New Roman" w:hAnsi="Times New Roman"/>
          <w:b/>
          <w:bCs/>
          <w:color w:val="2E5FA3"/>
          <w:sz w:val="21"/>
          <w:szCs w:val="21"/>
        </w:rPr>
        <w:t xml:space="preserve">[13] </w:t>
      </w:r>
      <w:r>
        <w:rPr>
          <w:rFonts w:ascii="Times New Roman" w:cs="Times New Roman" w:eastAsia="Times New Roman" w:hAnsi="Times New Roman"/>
          <w:color w:val="1A1A1A"/>
          <w:sz w:val="21"/>
          <w:szCs w:val="21"/>
        </w:rPr>
        <w:t xml:space="preserve">Janner, M., Fu, J., Zhang, M., &amp; Levine, S. (2019). When to trust your model: Model-based policy optimization. Advances in NeurIPS, 32.</w:t>
      </w:r>
    </w:p>
    <w:p>
      <w:pPr>
        <w:spacing w:after="60" w:before="60" w:line="300"/>
        <w:ind w:left="640" w:hanging="640"/>
      </w:pPr>
      <w:r>
        <w:rPr>
          <w:rFonts w:ascii="Times New Roman" w:cs="Times New Roman" w:eastAsia="Times New Roman" w:hAnsi="Times New Roman"/>
          <w:b/>
          <w:bCs/>
          <w:color w:val="2E5FA3"/>
          <w:sz w:val="21"/>
          <w:szCs w:val="21"/>
        </w:rPr>
        <w:t xml:space="preserve">[14] </w:t>
      </w:r>
      <w:r>
        <w:rPr>
          <w:rFonts w:ascii="Times New Roman" w:cs="Times New Roman" w:eastAsia="Times New Roman" w:hAnsi="Times New Roman"/>
          <w:color w:val="1A1A1A"/>
          <w:sz w:val="21"/>
          <w:szCs w:val="21"/>
        </w:rPr>
        <w:t xml:space="preserve">Kidambi, R., Rajeswaran, A., Netrapalli, P., &amp; Joachims, T. (2020). MOReL: Model-based offline reinforcement learning. Advances in NeurIPS, 33.</w:t>
      </w:r>
    </w:p>
    <w:p>
      <w:pPr>
        <w:spacing w:after="60" w:before="60" w:line="300"/>
        <w:ind w:left="640" w:hanging="640"/>
      </w:pPr>
      <w:r>
        <w:rPr>
          <w:rFonts w:ascii="Times New Roman" w:cs="Times New Roman" w:eastAsia="Times New Roman" w:hAnsi="Times New Roman"/>
          <w:b/>
          <w:bCs/>
          <w:color w:val="2E5FA3"/>
          <w:sz w:val="21"/>
          <w:szCs w:val="21"/>
        </w:rPr>
        <w:t xml:space="preserve">[15] </w:t>
      </w:r>
      <w:r>
        <w:rPr>
          <w:rFonts w:ascii="Times New Roman" w:cs="Times New Roman" w:eastAsia="Times New Roman" w:hAnsi="Times New Roman"/>
          <w:color w:val="1A1A1A"/>
          <w:sz w:val="21"/>
          <w:szCs w:val="21"/>
        </w:rPr>
        <w:t xml:space="preserve">Schulman, J., Wolski, F., Dhariwal, P., Radford, A., &amp; Klimov, O. (2017). Proximal policy optimization algorithms. arXiv:1707.06347.</w:t>
      </w:r>
    </w:p>
    <w:p>
      <w:pPr>
        <w:spacing w:after="60" w:before="60" w:line="300"/>
        <w:ind w:left="640" w:hanging="640"/>
      </w:pPr>
      <w:r>
        <w:rPr>
          <w:rFonts w:ascii="Times New Roman" w:cs="Times New Roman" w:eastAsia="Times New Roman" w:hAnsi="Times New Roman"/>
          <w:b/>
          <w:bCs/>
          <w:color w:val="2E5FA3"/>
          <w:sz w:val="21"/>
          <w:szCs w:val="21"/>
        </w:rPr>
        <w:t xml:space="preserve">[16] </w:t>
      </w:r>
      <w:r>
        <w:rPr>
          <w:rFonts w:ascii="Times New Roman" w:cs="Times New Roman" w:eastAsia="Times New Roman" w:hAnsi="Times New Roman"/>
          <w:color w:val="1A1A1A"/>
          <w:sz w:val="21"/>
          <w:szCs w:val="21"/>
        </w:rPr>
        <w:t xml:space="preserve">Gal, Y., &amp; Ghahramani, Z. (2016). Dropout as a Bayesian approximation: Representing model uncertainty in deep learning. Proceedings of ICML 2016, 48, 1050–1059.</w:t>
      </w:r>
    </w:p>
    <w:p>
      <w:pPr>
        <w:spacing w:after="60" w:before="60" w:line="300"/>
        <w:ind w:left="640" w:hanging="640"/>
      </w:pPr>
      <w:r>
        <w:rPr>
          <w:rFonts w:ascii="Times New Roman" w:cs="Times New Roman" w:eastAsia="Times New Roman" w:hAnsi="Times New Roman"/>
          <w:b/>
          <w:bCs/>
          <w:color w:val="2E5FA3"/>
          <w:sz w:val="21"/>
          <w:szCs w:val="21"/>
        </w:rPr>
        <w:t xml:space="preserve">[17] </w:t>
      </w:r>
      <w:r>
        <w:rPr>
          <w:rFonts w:ascii="Times New Roman" w:cs="Times New Roman" w:eastAsia="Times New Roman" w:hAnsi="Times New Roman"/>
          <w:color w:val="1A1A1A"/>
          <w:sz w:val="21"/>
          <w:szCs w:val="21"/>
        </w:rPr>
        <w:t xml:space="preserve">Croll, H. C., et al. (2023). Reinforcement learning applied to wastewater treatment process control optimization: Approaches, challenges, and path forward. Critical Reviews in Environmental Science and Technology, 53(20).</w:t>
      </w:r>
    </w:p>
    <w:p>
      <w:pPr>
        <w:spacing w:after="60" w:before="60" w:line="300"/>
        <w:ind w:left="640" w:hanging="640"/>
      </w:pPr>
      <w:r>
        <w:rPr>
          <w:rFonts w:ascii="Times New Roman" w:cs="Times New Roman" w:eastAsia="Times New Roman" w:hAnsi="Times New Roman"/>
          <w:b/>
          <w:bCs/>
          <w:color w:val="2E5FA3"/>
          <w:sz w:val="21"/>
          <w:szCs w:val="21"/>
        </w:rPr>
        <w:t xml:space="preserve">[18] </w:t>
      </w:r>
      <w:r>
        <w:rPr>
          <w:rFonts w:ascii="Times New Roman" w:cs="Times New Roman" w:eastAsia="Times New Roman" w:hAnsi="Times New Roman"/>
          <w:color w:val="1A1A1A"/>
          <w:sz w:val="21"/>
          <w:szCs w:val="21"/>
        </w:rPr>
        <w:t xml:space="preserve">Sutton, R. S., &amp; Barto, A. G. (2018). Reinforcement Learning: An Introduction (2nd ed.). MIT Press, Cambridge, MA.</w:t>
      </w:r>
    </w:p>
    <w:p>
      <w:pPr>
        <w:spacing w:after="60" w:before="60" w:line="300"/>
        <w:ind w:left="640" w:hanging="640"/>
      </w:pPr>
      <w:r>
        <w:rPr>
          <w:rFonts w:ascii="Times New Roman" w:cs="Times New Roman" w:eastAsia="Times New Roman" w:hAnsi="Times New Roman"/>
          <w:b/>
          <w:bCs/>
          <w:color w:val="2E5FA3"/>
          <w:sz w:val="21"/>
          <w:szCs w:val="21"/>
        </w:rPr>
        <w:t xml:space="preserve">[19] </w:t>
      </w:r>
      <w:r>
        <w:rPr>
          <w:rFonts w:ascii="Times New Roman" w:cs="Times New Roman" w:eastAsia="Times New Roman" w:hAnsi="Times New Roman"/>
          <w:color w:val="1A1A1A"/>
          <w:sz w:val="21"/>
          <w:szCs w:val="21"/>
        </w:rPr>
        <w:t xml:space="preserve">Stumm, W., &amp; Morgan, J. J. (1996). Aquatic Chemistry: Chemical Equilibria and Rates in Natural Waters (3rd ed.). Wiley-Interscience, New York.</w:t>
      </w:r>
    </w:p>
    <w:p>
      <w:pPr>
        <w:spacing w:after="60" w:before="60" w:line="300"/>
        <w:ind w:left="640" w:hanging="640"/>
      </w:pPr>
      <w:r>
        <w:rPr>
          <w:rFonts w:ascii="Times New Roman" w:cs="Times New Roman" w:eastAsia="Times New Roman" w:hAnsi="Times New Roman"/>
          <w:b/>
          <w:bCs/>
          <w:color w:val="2E5FA3"/>
          <w:sz w:val="21"/>
          <w:szCs w:val="21"/>
        </w:rPr>
        <w:t xml:space="preserve">[20] </w:t>
      </w:r>
      <w:r>
        <w:rPr>
          <w:rFonts w:ascii="Times New Roman" w:cs="Times New Roman" w:eastAsia="Times New Roman" w:hAnsi="Times New Roman"/>
          <w:color w:val="1A1A1A"/>
          <w:sz w:val="21"/>
          <w:szCs w:val="21"/>
        </w:rPr>
        <w:t xml:space="preserve">Chua, K., Calandra, R., McAllister, R., &amp; Levine, S. (2018). Deep reinforcement learning in a handful of trials using probabilistic dynamics models. Advances in NeurIPS, 31.</w:t>
      </w:r>
    </w:p>
    <w:p>
      <w:pPr>
        <w:spacing w:after="60" w:before="60" w:line="300"/>
        <w:ind w:left="640" w:hanging="640"/>
      </w:pPr>
      <w:r>
        <w:rPr>
          <w:rFonts w:ascii="Times New Roman" w:cs="Times New Roman" w:eastAsia="Times New Roman" w:hAnsi="Times New Roman"/>
          <w:b/>
          <w:bCs/>
          <w:color w:val="2E5FA3"/>
          <w:sz w:val="21"/>
          <w:szCs w:val="21"/>
        </w:rPr>
        <w:t xml:space="preserve">[21] </w:t>
      </w:r>
      <w:r>
        <w:rPr>
          <w:rFonts w:ascii="Times New Roman" w:cs="Times New Roman" w:eastAsia="Times New Roman" w:hAnsi="Times New Roman"/>
          <w:color w:val="1A1A1A"/>
          <w:sz w:val="21"/>
          <w:szCs w:val="21"/>
        </w:rPr>
        <w:t xml:space="preserve">World Health Organization (2006). WHO Guidelines for the Safe Use of Wastewater, Excreta and Greywater, Volume 2. Geneva.</w:t>
      </w:r>
    </w:p>
    <w:p>
      <w:pPr>
        <w:spacing w:after="60" w:before="60" w:line="300"/>
        <w:ind w:left="640" w:hanging="640"/>
      </w:pPr>
      <w:r>
        <w:rPr>
          <w:rFonts w:ascii="Times New Roman" w:cs="Times New Roman" w:eastAsia="Times New Roman" w:hAnsi="Times New Roman"/>
          <w:b/>
          <w:bCs/>
          <w:color w:val="2E5FA3"/>
          <w:sz w:val="21"/>
          <w:szCs w:val="21"/>
        </w:rPr>
        <w:t xml:space="preserve">[22] </w:t>
      </w:r>
      <w:r>
        <w:rPr>
          <w:rFonts w:ascii="Times New Roman" w:cs="Times New Roman" w:eastAsia="Times New Roman" w:hAnsi="Times New Roman"/>
          <w:color w:val="1A1A1A"/>
          <w:sz w:val="21"/>
          <w:szCs w:val="21"/>
        </w:rPr>
        <w:t xml:space="preserve">Zhao, W., Queralta, J. P., &amp; Westerlund, T. (2020). Sim-to-real transfer in deep reinforcement learning for robotics: A survey. IEEE SSCI 2020, 737–744.</w:t>
      </w:r>
    </w:p>
    <w:p>
      <w:pPr>
        <w:spacing w:after="80" w:before="0"/>
      </w:pPr>
      <w:r>
        <w:t xml:space="preserve"/>
      </w:r>
    </w:p>
    <w:p>
      <w:pPr>
        <w:pBdr>
          <w:bottom w:val="single" w:color="2E5FA3" w:sz="6" w:space="1"/>
        </w:pBdr>
        <w:spacing w:after="80" w:before="80"/>
      </w:pPr>
      <w:r>
        <w:t xml:space="preserve"/>
      </w:r>
    </w:p>
    <w:p>
      <w:pPr>
        <w:spacing w:after="80" w:before="120"/>
        <w:jc w:val="center"/>
      </w:pPr>
      <w:r>
        <w:rPr>
          <w:rFonts w:ascii="Times New Roman" w:cs="Times New Roman" w:eastAsia="Times New Roman" w:hAnsi="Times New Roman"/>
          <w:b/>
          <w:bCs/>
          <w:color w:val="1B3A6B"/>
          <w:sz w:val="22"/>
          <w:szCs w:val="22"/>
        </w:rPr>
        <w:t xml:space="preserve">END OF MANUSCRIPT</w:t>
      </w:r>
    </w:p>
    <w:p>
      <w:pPr>
        <w:pBdr>
          <w:bottom w:val="single" w:color="2E5FA3" w:sz="6" w:space="1"/>
        </w:pBd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026"/>
      </w:tabs>
      <w:spacing w:after="0" w:before="100"/>
    </w:pPr>
    <w:r>
      <w:rPr>
        <w:rFonts w:ascii="Times New Roman" w:cs="Times New Roman" w:eastAsia="Times New Roman" w:hAnsi="Times New Roman"/>
        <w:color w:val="888888"/>
        <w:sz w:val="18"/>
        <w:szCs w:val="18"/>
      </w:rPr>
      <w:t xml:space="preserve">Manuscript Draft</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888888"/>
        <w:sz w:val="18"/>
        <w:szCs w:val="18"/>
      </w:rPr>
      <w:t xml:space="preserve">Page </w:t>
    </w:r>
    <w:r>
      <w:rPr>
        <w:sz w:val="18"/>
        <w:szCs w:val="18"/>
        <w:color w:val="888888"/>
      </w:rPr>
      <w:fldChar w:fldCharType="begin"/>
    </w:r>
    <w:r>
      <w:rPr>
        <w:sz w:val="18"/>
        <w:szCs w:val="18"/>
        <w:color w:val="888888"/>
      </w:rPr>
      <w:instrText xml:space="preserve"> PAGE </w:instrText>
    </w:r>
    <w:r>
      <w:rPr>
        <w:sz w:val="18"/>
        <w:szCs w:val="18"/>
        <w:color w:val="88888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00" w:before="0"/>
    </w:pPr>
    <w:r>
      <w:rPr>
        <w:rFonts w:ascii="Times New Roman" w:cs="Times New Roman" w:eastAsia="Times New Roman" w:hAnsi="Times New Roman"/>
        <w:color w:val="666666"/>
        <w:sz w:val="18"/>
        <w:szCs w:val="18"/>
      </w:rPr>
      <w:t xml:space="preserve">RL-Based Adaptive Chemical Dosing for Industrial Wastewater Discharge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B3A6B"/>
      <w:sz w:val="30"/>
      <w:szCs w:val="30"/>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2E5FA3"/>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2026-05-31T22:40:29.143Z</dcterms:created>
  <dcterms:modified xsi:type="dcterms:W3CDTF">2026-05-31T22:40:29.158Z</dcterms:modified>
</cp:coreProperties>
</file>

<file path=docProps/custom.xml><?xml version="1.0" encoding="utf-8"?>
<Properties xmlns="http://schemas.openxmlformats.org/officeDocument/2006/custom-properties" xmlns:vt="http://schemas.openxmlformats.org/officeDocument/2006/docPropsVTypes"/>
</file>