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Mine</w:t>
      </w:r>
      <w:r>
        <w:t xml:space="preserve"> </w:t>
      </w:r>
      <w:r>
        <w:t xml:space="preserve">Çetinkaya-Rundel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analysis, we build a model predicting sale prices of houses based on data on houses that were sold in the Duke Forest neighborhood of Durham, NC around November 2020.</w:t>
      </w:r>
      <w:r>
        <w:t xml:space="preserve"> </w:t>
      </w:r>
      <w:r>
        <w:t xml:space="preserve">Let’s start by loading the packages we’ll use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</w:p>
    <w:p>
      <w:pPr>
        <w:pStyle w:val="SourceCode"/>
      </w:pPr>
      <w:r>
        <w:rPr>
          <w:rStyle w:val="VerbatimChar"/>
        </w:rPr>
        <w:t xml:space="preserve">Warning: package 'openintro'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'airports'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'cherryblossom'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'usdata'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4.3.2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 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The data contains 98 houses.</w:t>
      </w:r>
      <w:r>
        <w:t xml:space="preserve"> </w:t>
      </w:r>
      <w:r>
        <w:t xml:space="preserve">As part of the exploratory analysis let’s visualize and summarize the relationship between areas and prices of these houses.</w:t>
      </w:r>
    </w:p>
    <w:bookmarkStart w:id="34" w:name="data-visualization"/>
    <w:p>
      <w:pPr>
        <w:pStyle w:val="Heading3"/>
      </w:pPr>
      <w:r>
        <w:t xml:space="preserve">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</w:p>
    <w:bookmarkStart w:id="29" w:name="fig-histogram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4" w:name="fig-histogram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uthoring_files/figure-docx/fig-histogram-1.png" id="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Histogram of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price</w:t>
                  </w:r>
                  <w:r>
                    <w:t xml:space="preserve">s</w:t>
                  </w:r>
                </w:p>
                <w:bookmarkEnd w:id="24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8" w:name="fig-histogram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uthoring_files/figure-docx/fig-histogram-2.png" id="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Histogram of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area</w:t>
                  </w:r>
                  <w:r>
                    <w:t xml:space="preserve">s</w:t>
                  </w:r>
                </w:p>
                <w:bookmarkEnd w:id="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Histograms of individual variables</w:t>
      </w:r>
    </w:p>
    <w:bookmarkEnd w:id="29"/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 in a scatterplot.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catterplo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istics"/>
    <w:p>
      <w:pPr>
        <w:pStyle w:val="Heading3"/>
      </w:pPr>
      <w:r>
        <w:t xml:space="preserve">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tbl-sta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statistics for price and area of houses in Duke Forest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 price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IQR price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 area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IQR area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Correlation, 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540000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193125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2623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1121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0.67</w:t>
                  </w:r>
                </w:p>
              </w:tc>
            </w:tr>
          </w:tbl>
          <w:bookmarkEnd w:id="35"/>
          <w:p/>
        </w:tc>
      </w:tr>
    </w:tbl>
    <w:bookmarkEnd w:id="36"/>
    <w:bookmarkEnd w:id="37"/>
    <w:bookmarkStart w:id="39" w:name="sec-model"/>
    <w:p>
      <w:pPr>
        <w:pStyle w:val="Heading2"/>
      </w:pPr>
      <w:r>
        <w:t xml:space="preserve">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r>
        <w:rPr>
          <w:bCs/>
          <w:b/>
        </w:rPr>
        <w:t xml:space="preserve">?@eq-slr</w:t>
      </w:r>
      <w:r>
        <w:t xml:space="preserve">.</w:t>
      </w:r>
    </w:p>
    <w:p>
      <w:pPr>
        <w:pStyle w:val="BodyText"/>
      </w:pPr>
      <w:r>
        <w:t xml:space="preserve">[ADD EQUATION HERE]</w:t>
      </w:r>
    </w:p>
    <w:p>
      <w:pPr>
        <w:pStyle w:val="BodyText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tbl-lm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Linear regression model for predicting price from area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estimate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std.error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statistic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p.value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(Intercept)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116652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53302.46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area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18.17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8.78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</w:tbl>
          <w:bookmarkEnd w:id="38"/>
          <w:p/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Mine Çetinkaya-Rundel</dc:creator>
  <cp:keywords/>
  <dcterms:created xsi:type="dcterms:W3CDTF">2024-01-26T09:46:43Z</dcterms:created>
  <dcterms:modified xsi:type="dcterms:W3CDTF">2024-01-26T09:46:43Z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