
<file path=[Content_Types].xml><?xml version="1.0" encoding="utf-8"?>
<Types xmlns="http://schemas.openxmlformats.org/package/2006/content-types">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6"/>
        <w:pBdr/>
        <w:spacing/>
        <w:ind/>
        <w:rPr/>
      </w:pPr>
      <w:r>
        <w:tab/>
      </w:r>
      <w:r/>
    </w:p>
    <w:p>
      <w:pPr>
        <w:pStyle w:val="1003"/>
        <w:pBdr/>
        <w:spacing/>
        <w:ind/>
        <w:rPr/>
      </w:pPr>
      <w:r/>
      <w:r/>
    </w:p>
    <w:p>
      <w:pPr>
        <w:pStyle w:val="1003"/>
        <w:pBdr/>
        <w:spacing/>
        <w:ind/>
        <w:rPr/>
      </w:pPr>
      <w:r/>
      <w:r/>
    </w:p>
    <w:p>
      <w:pPr>
        <w:pStyle w:val="1003"/>
        <w:pBdr/>
        <w:spacing/>
        <w:ind/>
        <w:rPr/>
      </w:pPr>
      <w:r/>
      <w:r/>
    </w:p>
    <w:p>
      <w:pPr>
        <w:pStyle w:val="1003"/>
        <w:pBdr/>
        <w:tabs>
          <w:tab w:val="clear" w:leader="none" w:pos="720"/>
          <w:tab w:val="left" w:leader="none" w:pos="7062"/>
        </w:tabs>
        <w:spacing/>
        <w:ind/>
        <w:rPr/>
      </w:pPr>
      <w:r/>
      <w:r/>
    </w:p>
    <w:p>
      <w:pPr>
        <w:pStyle w:val="1003"/>
        <w:pBdr/>
        <w:tabs>
          <w:tab w:val="clear" w:leader="none" w:pos="720"/>
          <w:tab w:val="left" w:leader="none" w:pos="7062"/>
        </w:tabs>
        <w:spacing/>
        <w:ind/>
        <w:rPr/>
      </w:pPr>
      <w:r>
        <w:tab/>
      </w:r>
      <w:r/>
    </w:p>
    <w:p>
      <w:pPr>
        <w:pStyle w:val="1003"/>
        <w:pBdr/>
        <w:spacing/>
        <w:ind/>
        <w:rPr/>
      </w:pPr>
      <w:r/>
      <w:r/>
    </w:p>
    <w:p>
      <w:pPr>
        <w:pStyle w:val="1003"/>
        <w:pBdr/>
        <w:spacing/>
        <w:ind/>
        <w:rPr/>
      </w:pPr>
      <w:r/>
      <w:r/>
    </w:p>
    <w:p>
      <w:pPr>
        <w:pStyle w:val="1007"/>
        <w:pBdr/>
        <w:spacing/>
        <w:ind/>
        <w:rPr/>
      </w:pPr>
      <w:r>
        <w:t xml:space="preserve">Data Management Plan </w:t>
      </w:r>
      <w:r>
        <w:t xml:space="preserve">Template</w:t>
      </w:r>
      <w:r/>
      <w:r/>
    </w:p>
    <w:p>
      <w:pPr>
        <w:pStyle w:val="1008"/>
        <w:pBdr/>
        <w:spacing/>
        <w:ind/>
        <w:rPr/>
      </w:pPr>
      <w:r>
        <w:t xml:space="preserve">Research Training Group </w:t>
      </w:r>
      <w:r>
        <w:t xml:space="preserve">DIVERSILIENCE </w:t>
      </w:r>
      <w:r/>
      <w:r/>
      <w:r/>
    </w:p>
    <w:p w14:paraId="0D8B7FE9">
      <w:pPr>
        <w:pStyle w:val="986"/>
        <w:pBdr/>
        <w:spacing/>
        <w:ind/>
        <w:rPr/>
      </w:pPr>
      <w:r>
        <w:rPr>
          <w:highlight w:val="none"/>
        </w:rPr>
      </w:r>
      <w:r>
        <w:rPr>
          <w:highlight w:val="none"/>
        </w:rPr>
      </w:r>
      <w:r>
        <w:rPr>
          <w:highlight w:val="none"/>
        </w:rPr>
      </w:r>
    </w:p>
    <w:p>
      <w:pPr>
        <w:pStyle w:val="986"/>
        <w:pBdr/>
        <w:spacing/>
        <w:ind/>
        <w:rPr>
          <w:highlight w:val="none"/>
        </w:rPr>
      </w:pPr>
      <w:r>
        <w:t xml:space="preserve">June </w:t>
      </w:r>
      <w:r>
        <w:t xml:space="preserve">202</w:t>
      </w:r>
      <w:bookmarkStart w:id="0" w:name="_GoBack"/>
      <w:r/>
      <w:bookmarkEnd w:id="0"/>
      <w:r>
        <w:t xml:space="preserve">6</w:t>
      </w:r>
      <w:r/>
    </w:p>
    <w:p>
      <w:pPr>
        <w:pStyle w:val="986"/>
        <w:pBdr/>
        <w:spacing/>
        <w:ind/>
        <w:rPr/>
      </w:pPr>
      <w:r>
        <w:t xml:space="preserve">Kiel University</w:t>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pPr>
      <w:r/>
      <w:r/>
    </w:p>
    <w:p>
      <w:pPr>
        <w:pStyle w:val="986"/>
        <w:pBdr/>
        <w:spacing/>
        <w:ind/>
        <w:rPr>
          <w:sz w:val="20"/>
          <w:szCs w:val="20"/>
        </w:rPr>
      </w:pPr>
      <w:r>
        <w:rPr>
          <w:rFonts w:cs="Arial"/>
          <w:b/>
          <w:sz w:val="20"/>
          <w:szCs w:val="20"/>
        </w:rPr>
        <w:t xml:space="preserve">Version 1.</w:t>
      </w:r>
      <w:r>
        <w:rPr>
          <w:rFonts w:cs="Arial"/>
          <w:b/>
          <w:sz w:val="20"/>
          <w:szCs w:val="20"/>
        </w:rPr>
        <w:t xml:space="preserve">0.0</w:t>
        <w:br/>
      </w:r>
      <w:r>
        <w:rPr>
          <w:sz w:val="20"/>
          <w:szCs w:val="20"/>
        </w:rPr>
      </w:r>
      <w:r>
        <w:rPr>
          <w:sz w:val="20"/>
          <w:szCs w:val="20"/>
        </w:rPr>
      </w:r>
    </w:p>
    <w:p>
      <w:pPr>
        <w:pStyle w:val="986"/>
        <w:pBdr/>
        <w:spacing/>
        <w:ind/>
        <w:rPr>
          <w:rFonts w:cs="Arial"/>
        </w:rPr>
      </w:pPr>
      <w:r>
        <mc:AlternateContent>
          <mc:Choice Requires="wpg">
            <w:drawing>
              <wp:inline xmlns:wp="http://schemas.openxmlformats.org/drawingml/2006/wordprocessingDrawing" distT="0" distB="0" distL="0" distR="0">
                <wp:extent cx="1022350" cy="360045"/>
                <wp:effectExtent l="0" t="0" r="0" b="0"/>
                <wp:docPr id="3" name="Image 3" descr="C:\Users\dieude\AppData\Local\Microsoft\Windows\Temporary Internet Files\Content.Outlook\61P32HME\Logo_CC_by_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C:\Users\dieude\AppData\Local\Microsoft\Windows\Temporary Internet Files\Content.Outlook\61P32HME\Logo_CC_by_SA.png"/>
                        <pic:cNvPicPr>
                          <a:picLocks noChangeAspect="1"/>
                        </pic:cNvPicPr>
                        <pic:nvPr/>
                      </pic:nvPicPr>
                      <pic:blipFill rotWithShape="1">
                        <a:blip r:embed="rId11"/>
                        <a:stretch/>
                      </pic:blipFill>
                      <pic:spPr bwMode="auto">
                        <a:xfrm>
                          <a:off x="0" y="0"/>
                          <a:ext cx="1022350" cy="360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0.50pt;height:28.35pt;mso-wrap-distance-left:0.00pt;mso-wrap-distance-top:0.00pt;mso-wrap-distance-right:0.00pt;mso-wrap-distance-bottom:0.00pt;z-index:1;" stroked="false">
                <v:imagedata r:id="rId11" o:title=""/>
                <o:lock v:ext="edit" rotation="t"/>
              </v:shape>
            </w:pict>
          </mc:Fallback>
        </mc:AlternateContent>
      </w:r>
      <w:r>
        <w:rPr>
          <w:rFonts w:cs="Arial"/>
        </w:rPr>
      </w:r>
      <w:r>
        <w:rPr>
          <w:rFonts w:cs="Arial"/>
        </w:rPr>
      </w:r>
    </w:p>
    <w:p>
      <w:pPr>
        <w:pStyle w:val="986"/>
        <w:pBdr/>
        <w:spacing/>
        <w:ind/>
        <w:rPr>
          <w:rFonts w:cs="Arial"/>
          <w:sz w:val="20"/>
          <w:szCs w:val="20"/>
        </w:rPr>
      </w:pPr>
      <w:r>
        <w:rPr>
          <w:rFonts w:cs="Arial"/>
          <w:sz w:val="20"/>
          <w:szCs w:val="20"/>
        </w:rPr>
      </w:r>
      <w:r>
        <w:rPr>
          <w:rFonts w:cs="Arial"/>
          <w:sz w:val="20"/>
          <w:szCs w:val="20"/>
        </w:rPr>
      </w:r>
      <w:r>
        <w:rPr>
          <w:rFonts w:cs="Arial"/>
          <w:sz w:val="20"/>
          <w:szCs w:val="20"/>
        </w:rPr>
      </w:r>
    </w:p>
    <w:p>
      <w:pPr>
        <w:pStyle w:val="986"/>
        <w:pBdr/>
        <w:spacing/>
        <w:ind/>
        <w:rPr/>
      </w:pPr>
      <w:r>
        <w:rPr>
          <w:rFonts w:cs="Arial"/>
          <w:sz w:val="20"/>
          <w:szCs w:val="20"/>
        </w:rPr>
        <w:t xml:space="preserve">This work is licensed under a </w:t>
      </w:r>
      <w:hyperlink r:id="rId12" w:tooltip="http://creativecommons.org/licenses/by-sa/4.0/" w:history="1">
        <w:r>
          <w:rPr>
            <w:rStyle w:val="999"/>
            <w:rFonts w:cs="Arial"/>
            <w:sz w:val="20"/>
            <w:szCs w:val="20"/>
          </w:rPr>
          <w:t xml:space="preserve">Creative Commons Attribution-ShareAlike 4.0 International License</w:t>
        </w:r>
      </w:hyperlink>
      <w:r/>
      <w:r/>
    </w:p>
    <w:p>
      <w:pPr>
        <w:pStyle w:val="986"/>
        <w:pBdr/>
        <w:spacing/>
        <w:ind/>
        <w:rPr>
          <w:sz w:val="20"/>
          <w:szCs w:val="20"/>
        </w:rPr>
      </w:pPr>
      <w:r>
        <w:rPr>
          <w:sz w:val="20"/>
          <w:szCs w:val="20"/>
        </w:rPr>
      </w:r>
      <w:r>
        <w:rPr>
          <w:sz w:val="20"/>
          <w:szCs w:val="20"/>
        </w:rPr>
      </w:r>
      <w:r>
        <w:rPr>
          <w:sz w:val="20"/>
          <w:szCs w:val="20"/>
        </w:rPr>
      </w:r>
    </w:p>
    <w:p>
      <w:pPr>
        <w:pStyle w:val="986"/>
        <w:pBdr/>
        <w:spacing/>
        <w:ind/>
        <w:rPr>
          <w:sz w:val="20"/>
          <w:szCs w:val="20"/>
        </w:rPr>
      </w:pPr>
      <w:r>
        <w:rPr>
          <w:sz w:val="20"/>
          <w:szCs w:val="20"/>
        </w:rPr>
        <w:t xml:space="preserve">Adapted for the Research Training Group DIVERSILIENCE based on the Kiel University Data Management Plan template. </w:t>
      </w:r>
      <w:r>
        <w:rPr>
          <w:sz w:val="20"/>
          <w:szCs w:val="20"/>
        </w:rPr>
        <w:t xml:space="preserve">The original </w:t>
      </w:r>
      <w:r>
        <w:rPr>
          <w:sz w:val="20"/>
          <w:szCs w:val="20"/>
        </w:rPr>
        <w:t xml:space="preserve">Kiel University</w:t>
      </w:r>
      <w:r>
        <w:rPr>
          <w:sz w:val="20"/>
          <w:szCs w:val="20"/>
        </w:rPr>
        <w:t xml:space="preserve"> template was based on the </w:t>
      </w:r>
      <w:r>
        <w:rPr>
          <w:i/>
          <w:iCs/>
          <w:sz w:val="20"/>
          <w:szCs w:val="20"/>
        </w:rPr>
        <w:t xml:space="preserve">SNSF Data Management Plan</w:t>
      </w:r>
      <w:r>
        <w:rPr>
          <w:sz w:val="20"/>
          <w:szCs w:val="20"/>
        </w:rPr>
        <w:t xml:space="preserve"> template developed by the EPFL Library and the ETH Zurich Library (2018).</w:t>
      </w:r>
      <w:r>
        <w:rPr>
          <w:sz w:val="20"/>
          <w:szCs w:val="20"/>
        </w:rPr>
        <w:br/>
      </w:r>
      <w:r>
        <w:rPr>
          <w:sz w:val="20"/>
          <w:szCs w:val="20"/>
        </w:rPr>
      </w:r>
      <w:r>
        <w:rPr>
          <w:sz w:val="20"/>
          <w:szCs w:val="20"/>
        </w:rPr>
      </w:r>
    </w:p>
    <w:p>
      <w:pPr>
        <w:pStyle w:val="986"/>
        <w:pBdr/>
        <w:spacing/>
        <w:ind/>
        <w:rPr>
          <w:rStyle w:val="1000"/>
          <w:sz w:val="20"/>
          <w:szCs w:val="20"/>
        </w:rPr>
      </w:pPr>
      <w:r>
        <w:rPr>
          <w:rStyle w:val="1000"/>
          <w:sz w:val="20"/>
          <w:szCs w:val="20"/>
        </w:rPr>
        <w:t xml:space="preserve">The recommendations provided in this document are intended for researchers </w:t>
      </w:r>
      <w:r>
        <w:rPr>
          <w:rStyle w:val="1000"/>
          <w:sz w:val="20"/>
          <w:szCs w:val="20"/>
        </w:rPr>
        <w:t xml:space="preserve">from the RTG DIVERSILIENCE </w:t>
      </w:r>
      <w:r>
        <w:rPr>
          <w:rStyle w:val="1000"/>
          <w:sz w:val="20"/>
          <w:szCs w:val="20"/>
        </w:rPr>
        <w:t xml:space="preserve">at Kiel University.</w:t>
      </w:r>
      <w:r>
        <w:rPr>
          <w:rStyle w:val="1000"/>
          <w:i/>
          <w:iCs/>
          <w:sz w:val="20"/>
          <w:szCs w:val="20"/>
        </w:rPr>
        <w:t xml:space="preserve"> </w:t>
      </w:r>
      <w:r>
        <w:rPr>
          <w:i/>
          <w:iCs/>
          <w:sz w:val="20"/>
          <w:szCs w:val="20"/>
        </w:rPr>
        <w:t xml:space="preserve">RTG-specific guidance is based on the RTG proposal, in particular Section 3.3.</w:t>
      </w:r>
      <w:r>
        <w:rPr>
          <w:rStyle w:val="1000"/>
          <w:sz w:val="20"/>
          <w:szCs w:val="20"/>
        </w:rPr>
      </w:r>
      <w:r>
        <w:rPr>
          <w:rStyle w:val="1000"/>
          <w:sz w:val="20"/>
          <w:szCs w:val="20"/>
        </w:rPr>
      </w:r>
    </w:p>
    <w:p>
      <w:pPr>
        <w:pStyle w:val="987"/>
        <w:pBdr/>
        <w:spacing/>
        <w:ind/>
        <w:rPr/>
      </w:pPr>
      <w:r>
        <w:rPr>
          <w:b w:val="0"/>
          <w:bCs w:val="0"/>
        </w:rPr>
      </w:r>
      <w:r>
        <w:t xml:space="preserve">Institution </w:t>
      </w:r>
      <w:r/>
    </w:p>
    <w:p>
      <w:pPr>
        <w:pStyle w:val="986"/>
        <w:pBdr/>
        <w:spacing w:after="0" w:before="120"/>
        <w:ind/>
        <w:rPr>
          <w:rFonts w:cs="Arial"/>
          <w:bCs/>
        </w:rPr>
      </w:pPr>
      <w:r>
        <w:rPr>
          <w:rFonts w:cs="Arial"/>
          <w:bCs/>
        </w:rPr>
        <w:t xml:space="preserve">Kiel University / Christian-Albrechts-Universität zu Kiel</w:t>
      </w:r>
      <w:r>
        <w:rPr>
          <w:rFonts w:cs="Arial"/>
          <w:bCs/>
        </w:rPr>
      </w:r>
      <w:r>
        <w:rPr>
          <w:rFonts w:cs="Arial"/>
          <w:bCs/>
        </w:rPr>
      </w:r>
    </w:p>
    <w:p>
      <w:pPr>
        <w:pStyle w:val="987"/>
        <w:pBdr/>
        <w:spacing/>
        <w:ind/>
        <w:rPr/>
      </w:pPr>
      <w:r>
        <w:t xml:space="preserve">Tandem </w:t>
      </w:r>
      <w:r>
        <w:t xml:space="preserve">Project Name</w:t>
      </w:r>
      <w:r/>
    </w:p>
    <w:p>
      <w:pPr>
        <w:pStyle w:val="986"/>
        <w:pBdr/>
        <w:spacing/>
        <w:ind/>
        <w:rPr>
          <w:rStyle w:val="1001"/>
          <w:highlight w:val="none"/>
        </w:rPr>
      </w:pPr>
      <w:r>
        <w:rPr>
          <w:rStyle w:val="1001"/>
        </w:rPr>
        <w:t xml:space="preserve">Specify the name of the </w:t>
      </w:r>
      <w:r>
        <w:rPr>
          <w:rStyle w:val="1001"/>
        </w:rPr>
        <w:t xml:space="preserve">tandem </w:t>
      </w:r>
      <w:r>
        <w:rPr>
          <w:rStyle w:val="1001"/>
        </w:rPr>
        <w:t xml:space="preserve">project</w:t>
      </w:r>
      <w:r>
        <w:rPr>
          <w:rStyle w:val="1001"/>
        </w:rPr>
      </w:r>
      <w:r>
        <w:rPr>
          <w:rStyle w:val="1001"/>
        </w:rPr>
      </w:r>
      <w:r>
        <w:rPr>
          <w:rStyle w:val="1001"/>
          <w:highlight w:val="none"/>
        </w:rPr>
      </w:r>
      <w:r>
        <w:rPr>
          <w:rStyle w:val="1001"/>
          <w:highlight w:val="none"/>
        </w:rPr>
      </w:r>
      <w:r>
        <w:rPr>
          <w:rStyle w:val="1001"/>
          <w:highlight w:val="none"/>
        </w:rPr>
      </w:r>
    </w:p>
    <w:p w14:paraId="592BBBAE">
      <w:pPr>
        <w:pStyle w:val="986"/>
        <w:pBdr/>
        <w:spacing/>
        <w:ind/>
        <w:rPr>
          <w:rStyle w:val="1001"/>
          <w:highlight w:val="none"/>
        </w:rPr>
      </w:pPr>
      <w:r>
        <w:rPr>
          <w:rStyle w:val="1001"/>
          <w:highlight w:val="none"/>
        </w:rPr>
      </w:r>
      <w:r>
        <w:rPr>
          <w:rStyle w:val="1001"/>
          <w:highlight w:val="none"/>
        </w:rPr>
      </w:r>
      <w:r>
        <w:rPr>
          <w:rStyle w:val="1001"/>
          <w:highlight w:val="none"/>
        </w:rPr>
      </w:r>
    </w:p>
    <w:p>
      <w:pPr>
        <w:pStyle w:val="986"/>
        <w:pBdr/>
        <w:spacing/>
        <w:ind/>
        <w:rPr/>
      </w:pPr>
      <w:r/>
      <w:r>
        <w:t xml:space="preserve">This project is part of the Research Training Group DIVERSILIENCE.</w:t>
      </w:r>
      <w:r>
        <w:rPr>
          <w:rStyle w:val="969"/>
        </w:rPr>
        <w:footnoteReference w:id="2"/>
      </w:r>
      <w:r/>
      <w:r/>
    </w:p>
    <w:p>
      <w:pPr>
        <w:pStyle w:val="987"/>
        <w:pBdr/>
        <w:spacing/>
        <w:ind/>
        <w:rPr/>
      </w:pPr>
      <w:r>
        <w:t xml:space="preserve">Tandem </w:t>
      </w:r>
      <w:r>
        <w:t xml:space="preserve">Project Abstract</w:t>
      </w:r>
      <w:r/>
    </w:p>
    <w:p>
      <w:pPr>
        <w:pStyle w:val="986"/>
        <w:pBdr/>
        <w:spacing/>
        <w:ind/>
        <w:rPr>
          <w:rStyle w:val="1001"/>
        </w:rPr>
      </w:pPr>
      <w:r>
        <w:rPr>
          <w:rStyle w:val="1001"/>
        </w:rPr>
        <w:t xml:space="preserve">Provide a brief summary of  </w:t>
      </w:r>
      <w:r>
        <w:rPr>
          <w:rStyle w:val="1001"/>
        </w:rPr>
        <w:t xml:space="preserve">tandem </w:t>
      </w:r>
      <w:r>
        <w:rPr>
          <w:rStyle w:val="1001"/>
        </w:rPr>
        <w:t xml:space="preserve">project</w:t>
      </w:r>
      <w:r>
        <w:rPr>
          <w:rStyle w:val="1001"/>
        </w:rPr>
      </w:r>
      <w:r>
        <w:rPr>
          <w:rStyle w:val="1001"/>
        </w:rPr>
      </w:r>
    </w:p>
    <w:p>
      <w:pPr>
        <w:pStyle w:val="986"/>
        <w:pBdr/>
        <w:spacing/>
        <w:ind/>
        <w:rPr/>
      </w:pPr>
      <w:r/>
      <w:r/>
    </w:p>
    <w:p>
      <w:pPr>
        <w:pStyle w:val="987"/>
        <w:pBdr/>
        <w:spacing/>
        <w:ind/>
        <w:rPr/>
      </w:pPr>
      <w:r>
        <w:t xml:space="preserve">Principal Investigator</w:t>
      </w:r>
      <w:r>
        <w:t xml:space="preserve">(s)</w:t>
      </w:r>
      <w:r/>
    </w:p>
    <w:p>
      <w:pPr>
        <w:pStyle w:val="986"/>
        <w:pBdr/>
        <w:spacing/>
        <w:ind/>
        <w:rPr>
          <w:rStyle w:val="1001"/>
        </w:rPr>
      </w:pPr>
      <w:r>
        <w:rPr>
          <w:rStyle w:val="1001"/>
        </w:rPr>
        <w:t xml:space="preserve">Specify name(s) and e-mail-adress(es)</w:t>
      </w:r>
      <w:r>
        <w:rPr>
          <w:rStyle w:val="1001"/>
        </w:rPr>
      </w:r>
      <w:r>
        <w:rPr>
          <w:rStyle w:val="1001"/>
        </w:rPr>
      </w:r>
    </w:p>
    <w:p>
      <w:pPr>
        <w:pStyle w:val="986"/>
        <w:pBdr/>
        <w:spacing/>
        <w:ind/>
        <w:rPr/>
      </w:pPr>
      <w:r/>
      <w:r/>
    </w:p>
    <w:p>
      <w:pPr>
        <w:pStyle w:val="987"/>
        <w:pBdr/>
        <w:spacing/>
        <w:ind/>
        <w:rPr/>
      </w:pPr>
      <w:r/>
      <w:commentRangeStart w:id="0"/>
      <w:r>
        <w:t xml:space="preserve">Data Management Plan Contact Person</w:t>
      </w:r>
      <w:r>
        <w:t xml:space="preserve">(s)</w:t>
      </w:r>
      <w:commentRangeEnd w:id="0"/>
      <w:r>
        <w:commentReference w:id="0"/>
      </w:r>
      <w:r/>
      <w:r/>
    </w:p>
    <w:p>
      <w:pPr>
        <w:pStyle w:val="986"/>
        <w:pBdr/>
        <w:spacing/>
        <w:ind/>
        <w:rPr>
          <w:rStyle w:val="1001"/>
        </w:rPr>
      </w:pPr>
      <w:r>
        <w:rPr>
          <w:rStyle w:val="1001"/>
        </w:rPr>
        <w:t xml:space="preserve">Specify name(s) and e-mail-adress(es)</w:t>
      </w:r>
      <w:r>
        <w:rPr>
          <w:rStyle w:val="1001"/>
        </w:rPr>
      </w:r>
      <w:r>
        <w:rPr>
          <w:rStyle w:val="1001"/>
        </w:rPr>
      </w:r>
    </w:p>
    <w:p>
      <w:pPr>
        <w:pStyle w:val="986"/>
        <w:pBdr/>
        <w:spacing/>
        <w:ind/>
        <w:rPr/>
      </w:pPr>
      <w:r/>
      <w:r/>
    </w:p>
    <w:p>
      <w:pPr>
        <w:pStyle w:val="987"/>
        <w:pBdr/>
        <w:spacing/>
        <w:ind/>
        <w:rPr/>
      </w:pPr>
      <w:r>
        <w:t xml:space="preserve">1. Data Collection and Documentation</w:t>
      </w:r>
      <w:r/>
    </w:p>
    <w:p>
      <w:pPr>
        <w:pStyle w:val="988"/>
        <w:pBdr/>
        <w:spacing/>
        <w:ind/>
        <w:rPr/>
      </w:pPr>
      <w:r>
        <w:t xml:space="preserve">1.1 Data Description</w:t>
      </w:r>
      <w:r/>
    </w:p>
    <w:p>
      <w:pPr>
        <w:pStyle w:val="986"/>
        <w:pBdr/>
        <w:spacing/>
        <w:ind/>
        <w:rPr>
          <w:rStyle w:val="1001"/>
        </w:rPr>
      </w:pPr>
      <w:r>
        <w:rPr>
          <w:rStyle w:val="1001"/>
        </w:rPr>
        <w:t xml:space="preserve">What data will you collect, observe, generate or re-use?</w:t>
        <w:tab/>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1"/>
        </w:numPr>
        <w:pBdr/>
        <w:spacing/>
        <w:ind/>
        <w:rPr>
          <w:rStyle w:val="1001"/>
        </w:rPr>
      </w:pPr>
      <w:r>
        <w:rPr>
          <w:rStyle w:val="1001"/>
        </w:rPr>
        <w:t xml:space="preserve">What type, format and volume of data will you collect, observe, generate or reuse?</w:t>
      </w:r>
      <w:r>
        <w:rPr>
          <w:rStyle w:val="1001"/>
        </w:rPr>
      </w:r>
      <w:r>
        <w:rPr>
          <w:rStyle w:val="1001"/>
        </w:rPr>
      </w:r>
    </w:p>
    <w:p>
      <w:pPr>
        <w:pStyle w:val="1012"/>
        <w:numPr>
          <w:ilvl w:val="0"/>
          <w:numId w:val="1"/>
        </w:numPr>
        <w:pBdr/>
        <w:spacing/>
        <w:ind/>
        <w:rPr>
          <w:rStyle w:val="1001"/>
        </w:rPr>
      </w:pPr>
      <w:r>
        <w:rPr>
          <w:rStyle w:val="1001"/>
        </w:rPr>
        <w:t xml:space="preserve">Which existing data (yours or third-party) will you reuse?</w:t>
      </w:r>
      <w:r>
        <w:rPr>
          <w:rStyle w:val="1001"/>
        </w:rPr>
      </w:r>
      <w:r>
        <w:rPr>
          <w:rStyle w:val="1001"/>
        </w:rPr>
      </w:r>
    </w:p>
    <w:p>
      <w:pPr>
        <w:pStyle w:val="986"/>
        <w:pBdr/>
        <w:spacing/>
        <w:ind/>
        <w:rPr>
          <w:rStyle w:val="1001"/>
        </w:rPr>
      </w:pPr>
      <w:r>
        <w:rPr>
          <w:rStyle w:val="1001"/>
        </w:rPr>
        <w:t xml:space="preserve">Name and briefly describe t</w:t>
      </w:r>
      <w:r>
        <w:rPr>
          <w:rStyle w:val="1001"/>
        </w:rPr>
        <w:t xml:space="preserve">he data you will collect, observe or generate. Also mention any existing data that will be (re)used. The descriptions should include the type, format and content of each data set. Furthermore, provide an estimation of the volume of the generated data sets.</w:t>
      </w:r>
      <w:r>
        <w:rPr>
          <w:rStyle w:val="1001"/>
        </w:rPr>
      </w:r>
      <w:r>
        <w:rPr>
          <w:rStyle w:val="1001"/>
        </w:rPr>
      </w:r>
    </w:p>
    <w:p>
      <w:pPr>
        <w:pStyle w:val="986"/>
        <w:pBdr/>
        <w:spacing/>
        <w:ind/>
        <w:rPr>
          <w:rStyle w:val="1001"/>
          <w:highlight w:val="none"/>
        </w:rPr>
      </w:pPr>
      <w:r>
        <w:rPr>
          <w:rStyle w:val="1001"/>
        </w:rPr>
        <w:t xml:space="preserve">(This relates to the </w:t>
      </w:r>
      <w:hyperlink r:id="rId13" w:tooltip="https://www.go-fair.org/fair-principles/" w:history="1">
        <w:r>
          <w:rPr>
            <w:rStyle w:val="999"/>
          </w:rPr>
          <w:t xml:space="preserve">FAIR Data Principles F2, I3, R1 &amp; R1.2</w:t>
        </w:r>
      </w:hyperlink>
      <w:r>
        <w:rPr>
          <w:rStyle w:val="1001"/>
        </w:rPr>
        <w:t xml:space="preserve">)</w:t>
      </w:r>
      <w:r>
        <w:rPr>
          <w:rStyle w:val="1001"/>
          <w:highlight w:val="none"/>
        </w:rPr>
      </w:r>
      <w:r>
        <w:rPr>
          <w:rStyle w:val="1001"/>
          <w:highlight w:val="none"/>
        </w:rPr>
      </w:r>
    </w:p>
    <w:p w14:paraId="1ACF1F2B">
      <w:pPr>
        <w:pStyle w:val="986"/>
        <w:pBdr/>
        <w:spacing/>
        <w:ind/>
        <w:rPr>
          <w14:ligatures w14:val="none"/>
        </w:rPr>
      </w:pPr>
      <w:r>
        <w:rPr>
          <w:rStyle w:val="1001"/>
          <w:highlight w:val="none"/>
        </w:rPr>
      </w:r>
      <w:r>
        <w:rPr>
          <w14:ligatures w14:val="none"/>
        </w:rPr>
      </w:r>
      <w:r>
        <w:rPr>
          <w14:ligatures w14:val="none"/>
        </w:rPr>
      </w:r>
    </w:p>
    <w:p>
      <w:pPr>
        <w:pStyle w:val="988"/>
        <w:pBdr/>
        <w:spacing/>
        <w:ind/>
        <w:rPr/>
      </w:pPr>
      <w:r>
        <w:t xml:space="preserve">1.2 Data Gathering</w:t>
      </w:r>
      <w:r/>
    </w:p>
    <w:p>
      <w:pPr>
        <w:pStyle w:val="986"/>
        <w:pBdr/>
        <w:spacing/>
        <w:ind/>
        <w:rPr>
          <w:rStyle w:val="1001"/>
        </w:rPr>
      </w:pPr>
      <w:r>
        <w:rPr>
          <w:rStyle w:val="1001"/>
        </w:rPr>
        <w:t xml:space="preserve">How will the data be collected, observed or generated?</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2"/>
        </w:numPr>
        <w:pBdr/>
        <w:spacing/>
        <w:ind/>
        <w:rPr>
          <w:rStyle w:val="1001"/>
        </w:rPr>
      </w:pPr>
      <w:r>
        <w:rPr>
          <w:rStyle w:val="1001"/>
        </w:rPr>
        <w:t xml:space="preserve">What standards, methodologies or quality assurance processes will you use?</w:t>
      </w:r>
      <w:r>
        <w:rPr>
          <w:rStyle w:val="1001"/>
        </w:rPr>
      </w:r>
      <w:r>
        <w:rPr>
          <w:rStyle w:val="1001"/>
        </w:rPr>
      </w:r>
    </w:p>
    <w:p>
      <w:pPr>
        <w:pStyle w:val="1012"/>
        <w:numPr>
          <w:ilvl w:val="0"/>
          <w:numId w:val="2"/>
        </w:numPr>
        <w:pBdr/>
        <w:spacing/>
        <w:ind/>
        <w:rPr>
          <w:rStyle w:val="1001"/>
        </w:rPr>
      </w:pPr>
      <w:r>
        <w:rPr>
          <w:rStyle w:val="1001"/>
        </w:rPr>
        <w:t xml:space="preserve">How will you organise your files and handle versioning?</w:t>
      </w:r>
      <w:r>
        <w:rPr>
          <w:rStyle w:val="1001"/>
        </w:rPr>
      </w:r>
      <w:r>
        <w:rPr>
          <w:rStyle w:val="1001"/>
        </w:rPr>
      </w:r>
    </w:p>
    <w:p>
      <w:pPr>
        <w:pStyle w:val="986"/>
        <w:pBdr/>
        <w:spacing/>
        <w:ind/>
        <w:rPr>
          <w:rStyle w:val="1001"/>
        </w:rPr>
      </w:pPr>
      <w:r>
        <w:rPr>
          <w:rStyle w:val="1001"/>
        </w:rPr>
        <w:t xml:space="preserve">Explain how the data will be collected, observed or gen</w:t>
      </w:r>
      <w:r>
        <w:rPr>
          <w:rStyle w:val="1001"/>
        </w:rPr>
        <w:t xml:space="preserve">erated. Describe how you plan to control and document the consistency and quality of the collected data: calibration processes, repeated measurements, data recording standards, usage of controlled vocabularies, data entry validation, data peer review, etc.</w:t>
      </w:r>
      <w:r>
        <w:rPr>
          <w:rStyle w:val="1001"/>
        </w:rPr>
      </w:r>
      <w:r>
        <w:rPr>
          <w:rStyle w:val="1001"/>
        </w:rPr>
      </w:r>
    </w:p>
    <w:p>
      <w:pPr>
        <w:pStyle w:val="986"/>
        <w:pBdr/>
        <w:spacing/>
        <w:ind/>
        <w:rPr>
          <w:rStyle w:val="1001"/>
        </w:rPr>
      </w:pPr>
      <w:r>
        <w:rPr>
          <w:rStyle w:val="1001"/>
        </w:rPr>
        <w:t xml:space="preserve">Discuss how the data management will be handled during the project, mentioning for example naming conventions, version control and folder structures. </w:t>
      </w:r>
      <w:r>
        <w:rPr>
          <w:rStyle w:val="1001"/>
        </w:rPr>
      </w:r>
      <w:r>
        <w:rPr>
          <w:rStyle w:val="1001"/>
        </w:rPr>
      </w:r>
    </w:p>
    <w:p>
      <w:pPr>
        <w:pStyle w:val="986"/>
        <w:pBdr/>
        <w:spacing/>
        <w:ind/>
        <w:rPr>
          <w:rStyle w:val="1001"/>
          <w:highlight w:val="none"/>
        </w:rPr>
      </w:pPr>
      <w:r>
        <w:rPr>
          <w:rStyle w:val="1001"/>
        </w:rPr>
        <w:t xml:space="preserve">(This relates to the </w:t>
      </w:r>
      <w:hyperlink r:id="rId14" w:tooltip="https://www.go-fair.org/fair-principles/" w:history="1">
        <w:r>
          <w:rPr>
            <w:rStyle w:val="999"/>
          </w:rPr>
          <w:t xml:space="preserve">FAIR Data Principle R1</w:t>
        </w:r>
      </w:hyperlink>
      <w:r>
        <w:rPr>
          <w:rStyle w:val="1001"/>
        </w:rPr>
        <w:t xml:space="preserve">)</w:t>
      </w:r>
      <w:r>
        <w:rPr>
          <w:rStyle w:val="1001"/>
          <w:highlight w:val="none"/>
        </w:rPr>
      </w:r>
      <w:r>
        <w:rPr>
          <w:rStyle w:val="1001"/>
          <w:highlight w:val="none"/>
        </w:rPr>
      </w:r>
    </w:p>
    <w:p w14:paraId="7E560E08">
      <w:pPr>
        <w:pStyle w:val="986"/>
        <w:pBdr/>
        <w:spacing/>
        <w:ind/>
        <w:rPr>
          <w:rStyle w:val="1001"/>
          <w:highlight w:val="none"/>
        </w:rPr>
      </w:pPr>
      <w:r>
        <w:rPr>
          <w:rStyle w:val="1001"/>
          <w:highlight w:val="none"/>
        </w:rPr>
      </w:r>
      <w:r>
        <w:rPr>
          <w:rStyle w:val="1001"/>
          <w:highlight w:val="none"/>
        </w:rPr>
      </w:r>
      <w:r>
        <w:rPr>
          <w:rStyle w:val="1001"/>
          <w:highlight w:val="none"/>
        </w:rPr>
      </w:r>
    </w:p>
    <w:p w14:paraId="6BC57FE4">
      <w:pPr>
        <w:pStyle w:val="986"/>
        <w:pBdr/>
        <w:spacing/>
        <w:ind/>
        <w:rPr>
          <w:rStyle w:val="1001"/>
          <w:b w:val="0"/>
          <w:bCs w:val="0"/>
          <w:highlight w:val="none"/>
        </w:rPr>
      </w:pPr>
      <w:r>
        <w:rPr>
          <w:rStyle w:val="1001"/>
          <w:b w:val="0"/>
          <w:bCs w:val="0"/>
          <w:highlight w:val="none"/>
        </w:rPr>
        <w:t xml:space="preserve">RTG-specific guidance:</w:t>
      </w:r>
      <w:r>
        <w:rPr>
          <w:rStyle w:val="1001"/>
          <w:b w:val="0"/>
          <w:bCs w:val="0"/>
          <w:highlight w:val="none"/>
        </w:rPr>
      </w:r>
      <w:r>
        <w:rPr>
          <w:rStyle w:val="1001"/>
          <w:b w:val="0"/>
          <w:bCs w:val="0"/>
          <w:highlight w:val="none"/>
        </w:rPr>
      </w:r>
    </w:p>
    <w:p w14:paraId="7EEB7FF0">
      <w:pPr>
        <w:pStyle w:val="986"/>
        <w:numPr>
          <w:ilvl w:val="0"/>
          <w:numId w:val="14"/>
        </w:numPr>
        <w:pBdr/>
        <w:spacing/>
        <w:ind/>
        <w:rPr>
          <w:rStyle w:val="1001"/>
          <w:highlight w:val="none"/>
        </w:rPr>
      </w:pPr>
      <w:r>
        <w:rPr>
          <w:rStyle w:val="1001"/>
          <w:b w:val="0"/>
          <w:bCs w:val="0"/>
          <w:highlight w:val="none"/>
        </w:rPr>
      </w:r>
      <w:r>
        <w:rPr>
          <w:rStyle w:val="1001"/>
          <w:b w:val="0"/>
          <w:bCs w:val="0"/>
          <w:highlight w:val="none"/>
        </w:rPr>
        <w:t xml:space="preserve">I</w:t>
      </w:r>
      <w:r>
        <w:rPr>
          <w:rStyle w:val="1001"/>
          <w:b w:val="0"/>
          <w:bCs w:val="0"/>
          <w:highlight w:val="none"/>
        </w:rPr>
        <w:t xml:space="preserve">f experimental records or field observations are collected in settings where direct digital recording is impractical, they may initially be documented using structured handwritten notes and subsequently digitized in a consistent format. For laboratory-base</w:t>
      </w:r>
      <w:r>
        <w:rPr>
          <w:rStyle w:val="1001"/>
          <w:b w:val="0"/>
          <w:bCs w:val="0"/>
          <w:highlight w:val="none"/>
        </w:rPr>
        <w:t xml:space="preserve">d experiments and digital documentation workflows, the electronic laboratory notebook system elabFTW (https://elabftw.uni-kiel.de) should be used where appropriate.</w:t>
      </w:r>
      <w:r>
        <w:rPr>
          <w:rStyle w:val="1001"/>
          <w:highlight w:val="none"/>
        </w:rPr>
      </w:r>
      <w:r>
        <w:rPr>
          <w:rStyle w:val="1001"/>
          <w:highlight w:val="none"/>
        </w:rPr>
      </w:r>
    </w:p>
    <w:p w14:paraId="09E087CF">
      <w:pPr>
        <w:pStyle w:val="986"/>
        <w:numPr>
          <w:ilvl w:val="0"/>
          <w:numId w:val="14"/>
        </w:numPr>
        <w:pBdr/>
        <w:spacing/>
        <w:ind/>
        <w:rPr>
          <w:rStyle w:val="1001"/>
          <w:highlight w:val="none"/>
        </w:rPr>
      </w:pPr>
      <w:r>
        <w:rPr>
          <w:rStyle w:val="1001"/>
          <w:highlight w:val="none"/>
        </w:rPr>
      </w:r>
      <w:r>
        <w:rPr>
          <w:rStyle w:val="1001"/>
          <w:highlight w:val="none"/>
        </w:rPr>
        <w:t xml:space="preserve">If questionnaires are used within the project, the web-based tool LimeSurvey (https://www.umfragen.uni-kiel.de/) should be used for data collection.</w:t>
      </w:r>
      <w:r>
        <w:rPr>
          <w:rStyle w:val="1001"/>
          <w:highlight w:val="none"/>
        </w:rPr>
      </w:r>
      <w:r>
        <w:rPr>
          <w:rStyle w:val="1001"/>
          <w:highlight w:val="none"/>
        </w:rPr>
      </w:r>
    </w:p>
    <w:p w14:paraId="5A8E29F2">
      <w:pPr>
        <w:pStyle w:val="986"/>
        <w:numPr>
          <w:ilvl w:val="0"/>
          <w:numId w:val="14"/>
        </w:numPr>
        <w:pBdr/>
        <w:spacing/>
        <w:ind/>
        <w:rPr>
          <w:rStyle w:val="1001"/>
          <w:highlight w:val="none"/>
        </w:rPr>
      </w:pPr>
      <w:r>
        <w:rPr>
          <w:rStyle w:val="1001"/>
          <w:highlight w:val="none"/>
        </w:rPr>
      </w:r>
      <w:r>
        <w:rPr>
          <w:rStyle w:val="1001"/>
          <w:highlight w:val="none"/>
        </w:rPr>
        <w:t xml:space="preserve">Analytical data quality should be ensured through a combination of device calibration, repeated experimental runs, and the use of internal standards where relevant to the research discipline.</w:t>
      </w:r>
      <w:r>
        <w:rPr>
          <w:rStyle w:val="1001"/>
          <w:highlight w:val="none"/>
        </w:rPr>
      </w:r>
      <w:r>
        <w:rPr>
          <w:rStyle w:val="1001"/>
          <w:highlight w:val="none"/>
        </w:rPr>
      </w:r>
    </w:p>
    <w:p w14:paraId="543894AF">
      <w:pPr>
        <w:pStyle w:val="986"/>
        <w:numPr>
          <w:ilvl w:val="0"/>
          <w:numId w:val="14"/>
        </w:numPr>
        <w:pBdr/>
        <w:spacing/>
        <w:ind/>
        <w:rPr>
          <w:rStyle w:val="1001"/>
          <w:highlight w:val="none"/>
        </w:rPr>
      </w:pPr>
      <w:r>
        <w:rPr>
          <w:rStyle w:val="1001"/>
          <w:highlight w:val="none"/>
        </w:rPr>
      </w:r>
      <w:r>
        <w:rPr>
          <w:rStyle w:val="1001"/>
          <w:highlight w:val="none"/>
        </w:rPr>
        <w:t xml:space="preserve">Data should be organized in a folder structure that reflects the structure of the TP within the RTG.</w:t>
      </w:r>
      <w:r>
        <w:rPr>
          <w:rStyle w:val="1001"/>
          <w:highlight w:val="none"/>
        </w:rPr>
        <w:t xml:space="preserve"> </w:t>
      </w:r>
      <w:r>
        <w:rPr>
          <w:rStyle w:val="1001"/>
          <w:highlight w:val="none"/>
        </w:rPr>
        <w:t xml:space="preserve">Consistent naming conventions and clear documentation of dataset versions should be used to ensure traceability across project phases.</w:t>
      </w:r>
      <w:r>
        <w:rPr>
          <w:rStyle w:val="1001"/>
          <w:highlight w:val="none"/>
        </w:rPr>
      </w:r>
      <w:r>
        <w:rPr>
          <w:rStyle w:val="1001"/>
          <w:highlight w:val="none"/>
        </w:rPr>
      </w:r>
    </w:p>
    <w:p w14:paraId="742FA62B">
      <w:pPr>
        <w:pBdr/>
        <w:spacing/>
        <w:ind/>
        <w:rPr>
          <w:highlight w:val="none"/>
        </w:rPr>
      </w:pPr>
      <w:r>
        <w:rPr>
          <w:highlight w:val="none"/>
        </w:rPr>
      </w:r>
      <w:r>
        <w:rPr>
          <w:highlight w:val="none"/>
        </w:rPr>
      </w:r>
      <w:r>
        <w:rPr>
          <w:highlight w:val="none"/>
        </w:rPr>
      </w:r>
    </w:p>
    <w:p w14:paraId="6C7662EB">
      <w:pPr>
        <w:pStyle w:val="988"/>
        <w:pBdr/>
        <w:spacing/>
        <w:ind/>
        <w:rPr>
          <w:highlight w:val="none"/>
        </w:rPr>
      </w:pPr>
      <w:r>
        <w:t xml:space="preserve">1.3 Documentation and Metadata</w:t>
      </w:r>
      <w:r>
        <w:rPr>
          <w:highlight w:val="none"/>
        </w:rPr>
      </w:r>
      <w:r>
        <w:rPr>
          <w:highlight w:val="none"/>
        </w:rPr>
      </w:r>
    </w:p>
    <w:p>
      <w:pPr>
        <w:pStyle w:val="986"/>
        <w:pBdr/>
        <w:spacing/>
        <w:ind/>
        <w:rPr>
          <w:rStyle w:val="1001"/>
        </w:rPr>
      </w:pPr>
      <w:r>
        <w:rPr>
          <w:rStyle w:val="1001"/>
        </w:rPr>
        <w:t xml:space="preserve">What documentation and metadata will you provide with the data?</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3"/>
        </w:numPr>
        <w:pBdr/>
        <w:spacing/>
        <w:ind/>
        <w:rPr>
          <w:rStyle w:val="1001"/>
        </w:rPr>
      </w:pPr>
      <w:r>
        <w:rPr>
          <w:rStyle w:val="1001"/>
        </w:rPr>
        <w:t xml:space="preserve">What information is required for users (computer or human) to read and interpret the data in the future?</w:t>
      </w:r>
      <w:r>
        <w:rPr>
          <w:rStyle w:val="1001"/>
        </w:rPr>
      </w:r>
      <w:r>
        <w:rPr>
          <w:rStyle w:val="1001"/>
        </w:rPr>
      </w:r>
    </w:p>
    <w:p>
      <w:pPr>
        <w:pStyle w:val="1012"/>
        <w:numPr>
          <w:ilvl w:val="0"/>
          <w:numId w:val="3"/>
        </w:numPr>
        <w:pBdr/>
        <w:spacing/>
        <w:ind/>
        <w:rPr>
          <w:rStyle w:val="1001"/>
        </w:rPr>
      </w:pPr>
      <w:r>
        <w:rPr>
          <w:rStyle w:val="1001"/>
        </w:rPr>
        <w:t xml:space="preserve">How will you generate this documentation?</w:t>
      </w:r>
      <w:r>
        <w:rPr>
          <w:rStyle w:val="1001"/>
        </w:rPr>
      </w:r>
      <w:r>
        <w:rPr>
          <w:rStyle w:val="1001"/>
        </w:rPr>
      </w:r>
    </w:p>
    <w:p>
      <w:pPr>
        <w:pStyle w:val="1012"/>
        <w:numPr>
          <w:ilvl w:val="0"/>
          <w:numId w:val="3"/>
        </w:numPr>
        <w:pBdr/>
        <w:spacing/>
        <w:ind/>
        <w:rPr>
          <w:rStyle w:val="1001"/>
        </w:rPr>
      </w:pPr>
      <w:r>
        <w:rPr>
          <w:rStyle w:val="1001"/>
        </w:rPr>
        <w:t xml:space="preserve">What community standards (if any) will be used to annotate the (meta)data?</w:t>
      </w:r>
      <w:r>
        <w:rPr>
          <w:rStyle w:val="1001"/>
        </w:rPr>
      </w:r>
      <w:r>
        <w:rPr>
          <w:rStyle w:val="1001"/>
        </w:rPr>
      </w:r>
    </w:p>
    <w:p>
      <w:pPr>
        <w:pStyle w:val="986"/>
        <w:pBdr/>
        <w:spacing/>
        <w:ind/>
        <w:rPr>
          <w:rStyle w:val="1001"/>
        </w:rPr>
      </w:pPr>
      <w:r>
        <w:rPr>
          <w:rStyle w:val="1001"/>
        </w:rPr>
        <w:t xml:space="preserve">Describe all types of documentation (README files, metadata, etc.) you will provide to help secondary users to understand and reuse your data. Metadata should at least include basic details allowing other users</w:t>
      </w:r>
      <w:r>
        <w:rPr>
          <w:rStyle w:val="1001"/>
        </w:rPr>
        <w:t xml:space="preserve"> (computer or human) to help find and identify the data. This includes at least a name and a persistent identifier for each file, the name of the person who collected or contributed to the data, the date of collection and the conditions to access the data.</w:t>
      </w:r>
      <w:r>
        <w:rPr>
          <w:rStyle w:val="1001"/>
        </w:rPr>
      </w:r>
      <w:r>
        <w:rPr>
          <w:rStyle w:val="1001"/>
        </w:rPr>
      </w:r>
    </w:p>
    <w:p>
      <w:pPr>
        <w:pStyle w:val="986"/>
        <w:pBdr/>
        <w:spacing/>
        <w:ind/>
        <w:rPr>
          <w:rStyle w:val="1001"/>
        </w:rPr>
      </w:pPr>
      <w:r>
        <w:rPr>
          <w:rStyle w:val="1001"/>
        </w:rPr>
        <w:t xml:space="preserve">Furthermore, the documentation may include details on the methodology used, information about the performed processing and analytical steps, variable definitions, references to vocabularies used, as well as units of measurement.</w:t>
      </w:r>
      <w:r>
        <w:rPr>
          <w:rStyle w:val="1001"/>
        </w:rPr>
      </w:r>
      <w:r>
        <w:rPr>
          <w:rStyle w:val="1001"/>
        </w:rPr>
      </w:r>
    </w:p>
    <w:p>
      <w:pPr>
        <w:pStyle w:val="986"/>
        <w:pBdr/>
        <w:spacing/>
        <w:ind/>
        <w:rPr>
          <w:rStyle w:val="1001"/>
        </w:rPr>
      </w:pPr>
      <w:r>
        <w:rPr>
          <w:rStyle w:val="1001"/>
        </w:rPr>
        <w:t xml:space="preserve">Wherever possible, the documentation should follow existing community standards and guidelines. Explain how you will prepare and share this information. </w:t>
      </w:r>
      <w:r>
        <w:rPr>
          <w:rStyle w:val="1001"/>
        </w:rPr>
      </w:r>
      <w:r>
        <w:rPr>
          <w:rStyle w:val="1001"/>
        </w:rPr>
      </w:r>
    </w:p>
    <w:p w14:paraId="07155C44">
      <w:pPr>
        <w:pStyle w:val="986"/>
        <w:pBdr/>
        <w:spacing/>
        <w:ind/>
        <w:rPr>
          <w:rStyle w:val="1001"/>
        </w:rPr>
      </w:pPr>
      <w:r>
        <w:rPr>
          <w:rStyle w:val="1001"/>
        </w:rPr>
        <w:t xml:space="preserve">(This relates to the </w:t>
      </w:r>
      <w:hyperlink r:id="rId15" w:tooltip="https://www.go-fair.org/fair-principles/" w:history="1">
        <w:r>
          <w:rPr>
            <w:rStyle w:val="999"/>
          </w:rPr>
          <w:t xml:space="preserve">FAIR Data Principles I1, I2, I3, R1, R1.2 &amp; R1.3</w:t>
        </w:r>
      </w:hyperlink>
      <w:r>
        <w:rPr>
          <w:rStyle w:val="1001"/>
        </w:rPr>
        <w:t xml:space="preserve">)</w:t>
      </w:r>
      <w:r>
        <w:rPr>
          <w:rStyle w:val="1001"/>
        </w:rPr>
      </w:r>
      <w:r>
        <w:rPr>
          <w:rStyle w:val="1001"/>
        </w:rPr>
      </w:r>
    </w:p>
    <w:p w14:paraId="22DC8931">
      <w:pPr>
        <w:pStyle w:val="986"/>
        <w:pBdr/>
        <w:spacing/>
        <w:ind/>
        <w:rPr>
          <w:rStyle w:val="1001"/>
        </w:rPr>
      </w:pPr>
      <w:r>
        <w:rPr>
          <w:rStyle w:val="1001"/>
          <w:highlight w:val="none"/>
        </w:rPr>
      </w:r>
      <w:r>
        <w:rPr>
          <w:rStyle w:val="1001"/>
        </w:rPr>
      </w:r>
      <w:r>
        <w:rPr>
          <w:rStyle w:val="1001"/>
        </w:rPr>
      </w:r>
    </w:p>
    <w:p w14:paraId="6E1AFB51">
      <w:pPr>
        <w:pStyle w:val="986"/>
        <w:pBdr/>
        <w:spacing/>
        <w:ind/>
        <w:rPr>
          <w:rStyle w:val="1001"/>
          <w:highlight w:val="none"/>
        </w:rPr>
      </w:pPr>
      <w:r>
        <w:rPr>
          <w:rStyle w:val="1001"/>
        </w:rPr>
        <w:t xml:space="preserve">RTG-specific guidance:</w:t>
      </w:r>
      <w:r>
        <w:rPr>
          <w:rStyle w:val="1001"/>
          <w:highlight w:val="none"/>
        </w:rPr>
      </w:r>
      <w:r>
        <w:rPr>
          <w:rStyle w:val="1001"/>
          <w:highlight w:val="none"/>
        </w:rPr>
      </w:r>
    </w:p>
    <w:p w14:paraId="5475B75B">
      <w:pPr>
        <w:pStyle w:val="986"/>
        <w:numPr>
          <w:ilvl w:val="0"/>
          <w:numId w:val="28"/>
        </w:numPr>
        <w:pBdr/>
        <w:spacing/>
        <w:ind/>
        <w:rPr>
          <w:rStyle w:val="1001"/>
          <w:highlight w:val="none"/>
        </w:rPr>
      </w:pPr>
      <w:r>
        <w:rPr>
          <w:rStyle w:val="1001"/>
          <w:highlight w:val="none"/>
        </w:rPr>
        <w:t xml:space="preserve">Descriptive metadata to support discoverability should be recorded in accordance with the DataCite Metadata Schema (see Section 4.1).</w:t>
      </w:r>
      <w:r>
        <w:rPr>
          <w:rStyle w:val="1001"/>
          <w:highlight w:val="none"/>
        </w:rPr>
      </w:r>
      <w:r>
        <w:rPr>
          <w:rStyle w:val="1001"/>
          <w:highlight w:val="none"/>
        </w:rPr>
      </w:r>
    </w:p>
    <w:p w14:paraId="7265C945">
      <w:pPr>
        <w:pStyle w:val="986"/>
        <w:numPr>
          <w:ilvl w:val="0"/>
          <w:numId w:val="28"/>
        </w:numPr>
        <w:pBdr/>
        <w:spacing/>
        <w:ind/>
        <w:rPr>
          <w:rStyle w:val="1001"/>
          <w:highlight w:val="none"/>
        </w:rPr>
      </w:pPr>
      <w:r>
        <w:rPr>
          <w:rStyle w:val="1001"/>
          <w:highlight w:val="none"/>
        </w:rPr>
      </w:r>
      <w:r>
        <w:rPr>
          <w:rStyle w:val="1001"/>
          <w:highlight w:val="none"/>
        </w:rPr>
        <w:t xml:space="preserve">Domain-specific metadata standards should be applied where available in the relevant research field to enhance interoperability and promote data reuse.</w:t>
      </w:r>
      <w:r>
        <w:rPr>
          <w:rStyle w:val="1001"/>
          <w:highlight w:val="none"/>
        </w:rPr>
      </w:r>
      <w:r>
        <w:rPr>
          <w:rStyle w:val="1001"/>
          <w:highlight w:val="none"/>
        </w:rPr>
      </w:r>
    </w:p>
    <w:p w14:paraId="28F6AC70">
      <w:pPr>
        <w:pStyle w:val="986"/>
        <w:numPr>
          <w:ilvl w:val="0"/>
          <w:numId w:val="28"/>
        </w:numPr>
        <w:pBdr/>
        <w:spacing/>
        <w:ind/>
        <w:rPr>
          <w:rStyle w:val="1001"/>
          <w:highlight w:val="none"/>
        </w:rPr>
      </w:pPr>
      <w:r>
        <w:rPr>
          <w:rStyle w:val="1001"/>
          <w:highlight w:val="none"/>
        </w:rPr>
      </w:r>
      <w:r>
        <w:rPr>
          <w:rStyle w:val="1001"/>
          <w:highlight w:val="none"/>
        </w:rPr>
        <w:t xml:space="preserve">Metadata should include sufficient information to enable secondary users to understand and reuse the data, including (where applicable) study design, sampling methodology, and all information necessary for accurate interpretation of the dataset.</w:t>
      </w:r>
      <w:r>
        <w:rPr>
          <w:rStyle w:val="1001"/>
          <w:highlight w:val="none"/>
        </w:rPr>
      </w:r>
      <w:r>
        <w:rPr>
          <w:rStyle w:val="1001"/>
          <w:highlight w:val="none"/>
        </w:rPr>
      </w:r>
    </w:p>
    <w:p w14:paraId="082F17BB">
      <w:pPr>
        <w:pStyle w:val="986"/>
        <w:pBdr/>
        <w:spacing/>
        <w:ind w:firstLine="0" w:left="0"/>
        <w:rPr>
          <w14:ligatures w14:val="none"/>
        </w:rPr>
      </w:pPr>
      <w:r>
        <w:rPr>
          <w:rStyle w:val="1001"/>
          <w:highlight w:val="none"/>
        </w:rPr>
      </w:r>
      <w:r>
        <w:rPr>
          <w14:ligatures w14:val="none"/>
        </w:rPr>
      </w:r>
      <w:r>
        <w:rPr>
          <w14:ligatures w14:val="none"/>
        </w:rPr>
      </w:r>
    </w:p>
    <w:p>
      <w:pPr>
        <w:pStyle w:val="987"/>
        <w:pBdr/>
        <w:spacing/>
        <w:ind/>
        <w:rPr/>
      </w:pPr>
      <w:r>
        <w:t xml:space="preserve">2. Ethics, Legal and Security Issues</w:t>
      </w:r>
      <w:r/>
    </w:p>
    <w:p>
      <w:pPr>
        <w:pStyle w:val="988"/>
        <w:pBdr/>
        <w:spacing/>
        <w:ind/>
        <w:rPr/>
      </w:pPr>
      <w:r>
        <w:t xml:space="preserve">2.1 Handling of Ethical Issues</w:t>
      </w:r>
      <w:r/>
    </w:p>
    <w:p>
      <w:pPr>
        <w:pStyle w:val="986"/>
        <w:pBdr/>
        <w:spacing/>
        <w:ind/>
        <w:rPr>
          <w:rStyle w:val="1001"/>
        </w:rPr>
      </w:pPr>
      <w:r>
        <w:rPr>
          <w:rStyle w:val="1001"/>
        </w:rPr>
        <w:t xml:space="preserve">How will ethical issues be addressed and handled?</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4"/>
        </w:numPr>
        <w:pBdr/>
        <w:spacing/>
        <w:ind/>
        <w:rPr>
          <w:rStyle w:val="1001"/>
        </w:rPr>
      </w:pPr>
      <w:r>
        <w:rPr>
          <w:rStyle w:val="1001"/>
        </w:rPr>
        <w:t xml:space="preserve">What is the relevant protection standard for your data? Are you bound by a confidentiality agreement?</w:t>
      </w:r>
      <w:r>
        <w:rPr>
          <w:rStyle w:val="1001"/>
        </w:rPr>
      </w:r>
      <w:r>
        <w:rPr>
          <w:rStyle w:val="1001"/>
        </w:rPr>
      </w:r>
    </w:p>
    <w:p>
      <w:pPr>
        <w:pStyle w:val="1012"/>
        <w:numPr>
          <w:ilvl w:val="0"/>
          <w:numId w:val="4"/>
        </w:numPr>
        <w:pBdr/>
        <w:spacing/>
        <w:ind/>
        <w:rPr>
          <w:rStyle w:val="1001"/>
        </w:rPr>
      </w:pPr>
      <w:r>
        <w:rPr>
          <w:rStyle w:val="1001"/>
        </w:rPr>
        <w:t xml:space="preserve">Do you have the necessary permission to obtain, process, preserve and share the data? Have the people whose data you are using been informed or did they give their consent?</w:t>
      </w:r>
      <w:r>
        <w:rPr>
          <w:rStyle w:val="1001"/>
        </w:rPr>
      </w:r>
      <w:r>
        <w:rPr>
          <w:rStyle w:val="1001"/>
        </w:rPr>
      </w:r>
    </w:p>
    <w:p>
      <w:pPr>
        <w:pStyle w:val="1012"/>
        <w:numPr>
          <w:ilvl w:val="0"/>
          <w:numId w:val="4"/>
        </w:numPr>
        <w:pBdr/>
        <w:spacing/>
        <w:ind/>
        <w:rPr>
          <w:rStyle w:val="1001"/>
        </w:rPr>
      </w:pPr>
      <w:r>
        <w:rPr>
          <w:rStyle w:val="1001"/>
        </w:rPr>
        <w:t xml:space="preserve">What methods will you use to ensure the protection of personal or other sensitive data?</w:t>
      </w:r>
      <w:r>
        <w:rPr>
          <w:rStyle w:val="1001"/>
        </w:rPr>
      </w:r>
      <w:r>
        <w:rPr>
          <w:rStyle w:val="1001"/>
        </w:rPr>
      </w:r>
    </w:p>
    <w:p>
      <w:pPr>
        <w:pStyle w:val="986"/>
        <w:pBdr/>
        <w:spacing/>
        <w:ind/>
        <w:rPr>
          <w:rStyle w:val="1001"/>
          <w:highlight w:val="none"/>
        </w:rPr>
      </w:pPr>
      <w:r>
        <w:rPr>
          <w:rStyle w:val="1001"/>
        </w:rPr>
        <w:t xml:space="preserve">Ethical issues in research projects demand for an adaptation of research data management practices, e.g. how data is stored, who can access/reuse the data and how long the data is stored. Methods to manag</w:t>
      </w:r>
      <w:r>
        <w:rPr>
          <w:rStyle w:val="1001"/>
        </w:rPr>
        <w:t xml:space="preserve">e ethical concerns may include: anonymization of data; gain approval by ethics committees; formal consent agreements. You should outline that all ethical issues in your project have been identified, including the corresponding measures in data management.</w:t>
      </w:r>
      <w:r>
        <w:rPr>
          <w:rStyle w:val="1001"/>
          <w:highlight w:val="none"/>
        </w:rPr>
      </w:r>
      <w:r>
        <w:rPr>
          <w:rStyle w:val="1001"/>
          <w:highlight w:val="none"/>
        </w:rPr>
      </w:r>
    </w:p>
    <w:p w14:paraId="321F2A82">
      <w:pPr>
        <w:pStyle w:val="986"/>
        <w:pBdr/>
        <w:spacing/>
        <w:ind/>
        <w:rPr/>
      </w:pPr>
      <w:r>
        <w:rPr>
          <w:rStyle w:val="1001"/>
        </w:rPr>
        <w:t xml:space="preserve">(This relates to the </w:t>
      </w:r>
      <w:hyperlink r:id="rId16" w:tooltip="https://www.go-fair.org/fair-principles/" w:history="1">
        <w:r>
          <w:rPr>
            <w:rStyle w:val="999"/>
          </w:rPr>
          <w:t xml:space="preserve">FAIR Data Principle A1</w:t>
        </w:r>
      </w:hyperlink>
      <w:r>
        <w:rPr>
          <w:rStyle w:val="1001"/>
        </w:rPr>
        <w:t xml:space="preserve">)</w:t>
      </w:r>
      <w:r>
        <w:rPr>
          <w:rStyle w:val="1001"/>
          <w:highlight w:val="none"/>
        </w:rPr>
      </w:r>
      <w:r/>
    </w:p>
    <w:p w14:paraId="348E46F0">
      <w:pPr>
        <w:pStyle w:val="986"/>
        <w:pBdr/>
        <w:spacing/>
        <w:ind/>
        <w:rPr>
          <w:rStyle w:val="1001"/>
          <w:highlight w:val="none"/>
        </w:rPr>
      </w:pPr>
      <w:r>
        <w:rPr>
          <w:rStyle w:val="1001"/>
          <w:highlight w:val="none"/>
        </w:rPr>
      </w:r>
      <w:r>
        <w:rPr>
          <w:rStyle w:val="1001"/>
          <w:highlight w:val="none"/>
        </w:rPr>
      </w:r>
      <w:r>
        <w:rPr>
          <w:rStyle w:val="1001"/>
          <w:highlight w:val="none"/>
        </w:rPr>
      </w:r>
    </w:p>
    <w:p w14:paraId="6C855E2C">
      <w:pPr>
        <w:pStyle w:val="986"/>
        <w:pBdr/>
        <w:spacing/>
        <w:ind/>
        <w:rPr>
          <w:rStyle w:val="1001"/>
          <w:highlight w:val="none"/>
        </w:rPr>
      </w:pPr>
      <w:r>
        <w:rPr>
          <w:rStyle w:val="1001"/>
        </w:rPr>
        <w:t xml:space="preserve">RTG-specific guidance:</w:t>
      </w:r>
      <w:r>
        <w:rPr>
          <w:rStyle w:val="1001"/>
          <w:highlight w:val="none"/>
        </w:rPr>
      </w:r>
      <w:r>
        <w:rPr>
          <w:rStyle w:val="1001"/>
          <w:highlight w:val="none"/>
        </w:rPr>
      </w:r>
    </w:p>
    <w:p w14:paraId="3F8485A2">
      <w:pPr>
        <w:pStyle w:val="986"/>
        <w:numPr>
          <w:ilvl w:val="0"/>
          <w:numId w:val="17"/>
        </w:numPr>
        <w:pBdr/>
        <w:spacing/>
        <w:ind/>
        <w:rPr>
          <w:rStyle w:val="1001"/>
          <w:highlight w:val="none"/>
        </w:rPr>
      </w:pPr>
      <w:r>
        <w:rPr>
          <w:rStyle w:val="1001"/>
          <w:highlight w:val="none"/>
        </w:rPr>
      </w:r>
      <w:r>
        <w:rPr>
          <w:rStyle w:val="1001"/>
          <w:highlight w:val="none"/>
        </w:rPr>
        <w:t xml:space="preserve">Sensitive data must be processed in accordance with the General Data Protection Regulation (GDPR) and the Privacy Policy and Regulations of Kiel University. Where applicable data is not subject to these requirements, this should be explicitly stated.</w:t>
      </w:r>
      <w:r>
        <w:rPr>
          <w:rStyle w:val="1001"/>
          <w:highlight w:val="none"/>
        </w:rPr>
      </w:r>
      <w:r>
        <w:rPr>
          <w:rStyle w:val="1001"/>
          <w:highlight w:val="none"/>
        </w:rPr>
      </w:r>
    </w:p>
    <w:p w14:paraId="4D91AC15">
      <w:pPr>
        <w:pStyle w:val="986"/>
        <w:numPr>
          <w:ilvl w:val="0"/>
          <w:numId w:val="17"/>
        </w:numPr>
        <w:pBdr/>
        <w:spacing/>
        <w:ind/>
        <w:rPr>
          <w:rStyle w:val="1001"/>
          <w:highlight w:val="none"/>
        </w:rPr>
      </w:pPr>
      <w:r>
        <w:rPr>
          <w:rStyle w:val="1001"/>
          <w:highlight w:val="none"/>
        </w:rPr>
      </w:r>
      <w:r>
        <w:rPr>
          <w:rStyle w:val="1001"/>
          <w:highlight w:val="none"/>
        </w:rPr>
        <w:t xml:space="preserve">As for data derived from citizen science studies, discuss data ownership questions and research contribution acknowledgments with involved participants following</w:t>
      </w:r>
      <w:r>
        <w:rPr>
          <w:rStyle w:val="1001"/>
          <w:highlight w:val="none"/>
        </w:rPr>
        <w:t xml:space="preserve"> the best practice advice by the European Citizen Science Association (for example in the ECSA’s Characteristics of Citizen Science).</w:t>
      </w:r>
      <w:r>
        <w:rPr>
          <w:rStyle w:val="1001"/>
          <w:highlight w:val="none"/>
        </w:rPr>
      </w:r>
      <w:r>
        <w:rPr>
          <w:rStyle w:val="1001"/>
          <w:highlight w:val="none"/>
        </w:rPr>
      </w:r>
    </w:p>
    <w:p w14:paraId="6D46710D">
      <w:pPr>
        <w:pStyle w:val="986"/>
        <w:numPr>
          <w:ilvl w:val="0"/>
          <w:numId w:val="17"/>
        </w:numPr>
        <w:pBdr/>
        <w:spacing/>
        <w:ind/>
        <w:rPr>
          <w:rStyle w:val="1001"/>
          <w:highlight w:val="none"/>
        </w:rPr>
      </w:pPr>
      <w:r>
        <w:rPr>
          <w:rStyle w:val="1001"/>
          <w:highlight w:val="none"/>
        </w:rPr>
        <w:t xml:space="preserve">If you need to</w:t>
      </w:r>
      <w:r>
        <w:rPr>
          <w:rStyle w:val="1001"/>
          <w:highlight w:val="none"/>
        </w:rPr>
        <w:t xml:space="preserve"> assess the risk of identification</w:t>
      </w:r>
      <w:r>
        <w:rPr>
          <w:rStyle w:val="1001"/>
          <w:highlight w:val="none"/>
        </w:rPr>
        <w:t xml:space="preserve"> and need to anonymize personal data make use of software like the R package SDC-Micro 283 and define a minimum k-a</w:t>
      </w:r>
      <w:r>
        <w:rPr>
          <w:rStyle w:val="1001"/>
          <w:highlight w:val="none"/>
        </w:rPr>
        <w:t xml:space="preserve">nonymity (</w:t>
      </w:r>
      <w:r>
        <w:rPr>
          <w:rStyle w:val="1001"/>
          <w:highlight w:val="none"/>
        </w:rPr>
        <w:t xml:space="preserve">k </w:t>
      </w:r>
      <w:r>
        <w:rPr>
          <w:rStyle w:val="1001"/>
          <w:highlight w:val="none"/>
        </w:rPr>
        <w:t xml:space="preserve">≥</w:t>
      </w:r>
      <w:r>
        <w:rPr>
          <w:rStyle w:val="1001"/>
          <w:highlight w:val="none"/>
        </w:rPr>
        <w:t xml:space="preserve"> </w:t>
      </w:r>
      <w:r>
        <w:rPr>
          <w:rStyle w:val="1001"/>
          <w:highlight w:val="none"/>
        </w:rPr>
        <w:t xml:space="preserve">3).</w:t>
      </w:r>
      <w:r>
        <w:rPr>
          <w:rStyle w:val="1001"/>
          <w:highlight w:val="none"/>
        </w:rPr>
      </w:r>
      <w:r>
        <w:rPr>
          <w:rStyle w:val="1001"/>
          <w:highlight w:val="none"/>
        </w:rPr>
      </w:r>
    </w:p>
    <w:p w14:paraId="55BEC6E1">
      <w:pPr>
        <w:pStyle w:val="986"/>
        <w:pBdr/>
        <w:spacing/>
        <w:ind/>
        <w:rPr>
          <w:highlight w:val="none"/>
          <w14:ligatures w14:val="none"/>
        </w:rPr>
      </w:pPr>
      <w:r>
        <w:rPr>
          <w:highlight w:val="none"/>
        </w:rPr>
      </w:r>
      <w:r>
        <w:rPr>
          <w:highlight w:val="none"/>
          <w14:ligatures w14:val="none"/>
        </w:rPr>
      </w:r>
      <w:r>
        <w:rPr>
          <w:highlight w:val="none"/>
          <w14:ligatures w14:val="none"/>
        </w:rPr>
      </w:r>
    </w:p>
    <w:p>
      <w:pPr>
        <w:pStyle w:val="988"/>
        <w:pBdr/>
        <w:spacing/>
        <w:ind/>
        <w:rPr/>
      </w:pPr>
      <w:r>
        <w:t xml:space="preserve">2.2 Data Access and Security</w:t>
      </w:r>
      <w:r/>
    </w:p>
    <w:p>
      <w:pPr>
        <w:pStyle w:val="986"/>
        <w:pBdr/>
        <w:spacing/>
        <w:ind/>
        <w:rPr>
          <w:rStyle w:val="1001"/>
        </w:rPr>
      </w:pPr>
      <w:r>
        <w:rPr>
          <w:rStyle w:val="1001"/>
        </w:rPr>
        <w:t xml:space="preserve">How will data access and security be managed?</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5"/>
        </w:numPr>
        <w:pBdr/>
        <w:spacing/>
        <w:ind/>
        <w:rPr>
          <w:rStyle w:val="1001"/>
        </w:rPr>
      </w:pPr>
      <w:r>
        <w:rPr>
          <w:rStyle w:val="1001"/>
        </w:rPr>
        <w:t xml:space="preserve">What are the main concerns regarding data security, what are the levels of risk and what measures are in place to handle security risks?</w:t>
      </w:r>
      <w:r>
        <w:rPr>
          <w:rStyle w:val="1001"/>
        </w:rPr>
      </w:r>
      <w:r>
        <w:rPr>
          <w:rStyle w:val="1001"/>
        </w:rPr>
      </w:r>
    </w:p>
    <w:p>
      <w:pPr>
        <w:pStyle w:val="1012"/>
        <w:numPr>
          <w:ilvl w:val="0"/>
          <w:numId w:val="5"/>
        </w:numPr>
        <w:pBdr/>
        <w:spacing/>
        <w:ind/>
        <w:rPr>
          <w:rStyle w:val="1001"/>
        </w:rPr>
      </w:pPr>
      <w:r>
        <w:rPr>
          <w:rStyle w:val="1001"/>
        </w:rPr>
        <w:t xml:space="preserve">How will you regulate data access rights/permissions to ensure the security of the data?</w:t>
      </w:r>
      <w:r>
        <w:rPr>
          <w:rStyle w:val="1001"/>
        </w:rPr>
      </w:r>
      <w:r>
        <w:rPr>
          <w:rStyle w:val="1001"/>
        </w:rPr>
      </w:r>
    </w:p>
    <w:p>
      <w:pPr>
        <w:pStyle w:val="1012"/>
        <w:numPr>
          <w:ilvl w:val="0"/>
          <w:numId w:val="5"/>
        </w:numPr>
        <w:pBdr/>
        <w:spacing/>
        <w:ind/>
        <w:rPr>
          <w:rStyle w:val="1001"/>
        </w:rPr>
      </w:pPr>
      <w:r>
        <w:rPr>
          <w:rStyle w:val="1001"/>
        </w:rPr>
        <w:t xml:space="preserve">How will personal or other sensitive data be handled to ensure safe data storage and transfer?</w:t>
      </w:r>
      <w:r>
        <w:rPr>
          <w:rStyle w:val="1001"/>
        </w:rPr>
      </w:r>
      <w:r>
        <w:rPr>
          <w:rStyle w:val="1001"/>
        </w:rPr>
      </w:r>
    </w:p>
    <w:p>
      <w:pPr>
        <w:pStyle w:val="986"/>
        <w:pBdr/>
        <w:spacing/>
        <w:ind/>
        <w:rPr>
          <w:rStyle w:val="1001"/>
          <w:bCs/>
          <w:i/>
        </w:rPr>
      </w:pPr>
      <w:r>
        <w:rPr>
          <w:rStyle w:val="1001"/>
        </w:rPr>
        <w:t xml:space="preserve">If you work with personal or other sensitive data you should outline the security measures in </w:t>
      </w:r>
      <w:r>
        <w:rPr>
          <w:rStyle w:val="1001"/>
          <w:i/>
          <w:iCs/>
        </w:rPr>
        <w:t xml:space="preserve">order to prot</w:t>
      </w:r>
      <w:r>
        <w:rPr>
          <w:rStyle w:val="1001"/>
          <w:i/>
          <w:iCs/>
        </w:rPr>
        <w:t xml:space="preserve">ect the data. Please list formal standards which will be adopted in your study. An example is ISO 27001-Information security management. Furthermore, describe the main processes or facilities for storage and processing of personal or other sensitive data. </w:t>
      </w:r>
      <w:r>
        <w:rPr>
          <w:rStyle w:val="1001"/>
          <w:bCs/>
          <w:i/>
        </w:rPr>
      </w:r>
      <w:r>
        <w:rPr>
          <w:rStyle w:val="1001"/>
          <w:bCs/>
          <w:i/>
        </w:rPr>
      </w:r>
    </w:p>
    <w:p>
      <w:pPr>
        <w:pStyle w:val="986"/>
        <w:pBdr/>
        <w:spacing/>
        <w:ind/>
        <w:rPr>
          <w:bCs/>
          <w:i/>
        </w:rPr>
      </w:pPr>
      <w:r>
        <w:rPr>
          <w:rStyle w:val="1001"/>
          <w:i/>
          <w:iCs/>
        </w:rPr>
        <w:t xml:space="preserve">(This relates to the</w:t>
      </w:r>
      <w:r>
        <w:rPr>
          <w:rStyle w:val="1001"/>
          <w:i w:val="0"/>
          <w:iCs w:val="0"/>
        </w:rPr>
        <w:t xml:space="preserve"> </w:t>
      </w:r>
      <w:hyperlink r:id="rId17" w:tooltip="https://www.go-fair.org/fair-principles/" w:history="1">
        <w:r>
          <w:rPr>
            <w:rStyle w:val="999"/>
            <w:i w:val="0"/>
            <w:iCs w:val="0"/>
          </w:rPr>
          <w:t xml:space="preserve">FAIR Data Principle A1</w:t>
        </w:r>
      </w:hyperlink>
      <w:r>
        <w:rPr>
          <w:rStyle w:val="1001"/>
          <w:i/>
          <w:iCs/>
        </w:rPr>
        <w:t xml:space="preserve">)</w:t>
      </w:r>
      <w:r>
        <w:rPr>
          <w:bCs/>
          <w:i/>
        </w:rPr>
      </w:r>
      <w:r>
        <w:rPr>
          <w:bCs/>
          <w:i/>
        </w:rPr>
      </w:r>
    </w:p>
    <w:p w14:paraId="4A74E7A6">
      <w:pPr>
        <w:pStyle w:val="986"/>
        <w:pBdr/>
        <w:spacing/>
        <w:ind/>
        <w:rPr>
          <w:bCs/>
          <w:i/>
        </w:rPr>
      </w:pPr>
      <w:r>
        <w:rPr>
          <w:i/>
          <w:iCs/>
          <w:highlight w:val="none"/>
        </w:rPr>
      </w:r>
      <w:r>
        <w:rPr>
          <w:bCs/>
          <w:i/>
        </w:rPr>
      </w:r>
      <w:r>
        <w:rPr>
          <w:bCs/>
          <w:i/>
        </w:rPr>
      </w:r>
    </w:p>
    <w:p w14:paraId="75982733">
      <w:pPr>
        <w:pStyle w:val="986"/>
        <w:pBdr/>
        <w:spacing/>
        <w:ind/>
        <w:rPr>
          <w:rStyle w:val="1001"/>
          <w:bCs/>
          <w:i/>
          <w:highlight w:val="none"/>
        </w:rPr>
      </w:pPr>
      <w:r>
        <w:rPr>
          <w:rStyle w:val="1001"/>
          <w:i/>
          <w:iCs/>
        </w:rPr>
        <w:t xml:space="preserve">RTG-specific guidance:</w:t>
      </w:r>
      <w:r>
        <w:rPr>
          <w:rStyle w:val="1001"/>
          <w:bCs/>
          <w:i/>
          <w:highlight w:val="none"/>
        </w:rPr>
      </w:r>
      <w:r>
        <w:rPr>
          <w:rStyle w:val="1001"/>
          <w:bCs/>
          <w:i/>
          <w:highlight w:val="none"/>
        </w:rPr>
      </w:r>
    </w:p>
    <w:p w14:paraId="1D4BB7E6">
      <w:pPr>
        <w:pStyle w:val="986"/>
        <w:numPr>
          <w:ilvl w:val="0"/>
          <w:numId w:val="19"/>
        </w:numPr>
        <w:pBdr/>
        <w:spacing/>
        <w:ind/>
        <w:rPr>
          <w:rStyle w:val="1001"/>
          <w:bCs/>
          <w:i/>
          <w:highlight w:val="none"/>
        </w:rPr>
      </w:pPr>
      <w:r>
        <w:rPr>
          <w:rStyle w:val="1001"/>
          <w:i/>
          <w:iCs/>
          <w:highlight w:val="none"/>
        </w:rPr>
      </w:r>
      <w:r>
        <w:rPr>
          <w:rStyle w:val="1001"/>
          <w:i/>
          <w:iCs/>
          <w:highlight w:val="none"/>
        </w:rPr>
        <w:t xml:space="preserve">All data derived from human participants must be handled in compliance with applicable legal regulations governing privacy-sensitive data. Procedures for the collection, processing, and storage of personal data must be documented in a register of processi</w:t>
      </w:r>
      <w:r>
        <w:rPr>
          <w:rStyle w:val="1001"/>
          <w:i/>
          <w:iCs/>
          <w:highlight w:val="none"/>
        </w:rPr>
        <w:t xml:space="preserve">ng activities in accordance with Article 30(1) of the GDPR.</w:t>
      </w:r>
      <w:r>
        <w:rPr>
          <w:rStyle w:val="1001"/>
          <w:bCs/>
          <w:i/>
          <w:highlight w:val="none"/>
        </w:rPr>
      </w:r>
      <w:r>
        <w:rPr>
          <w:rStyle w:val="1001"/>
          <w:bCs/>
          <w:i/>
          <w:highlight w:val="none"/>
        </w:rPr>
      </w:r>
    </w:p>
    <w:p w14:paraId="22B7ED98">
      <w:pPr>
        <w:pStyle w:val="986"/>
        <w:pBdr/>
        <w:spacing/>
        <w:ind/>
        <w:rPr>
          <w:highlight w:val="none"/>
          <w14:ligatures w14:val="none"/>
        </w:rPr>
      </w:pPr>
      <w:r>
        <w:rPr>
          <w:highlight w:val="none"/>
        </w:rPr>
      </w:r>
      <w:r>
        <w:rPr>
          <w:highlight w:val="none"/>
          <w14:ligatures w14:val="none"/>
        </w:rPr>
      </w:r>
      <w:r>
        <w:rPr>
          <w:highlight w:val="none"/>
          <w14:ligatures w14:val="none"/>
        </w:rPr>
      </w:r>
    </w:p>
    <w:p w14:paraId="238393FC">
      <w:pPr>
        <w:pStyle w:val="988"/>
        <w:pBdr/>
        <w:spacing/>
        <w:ind/>
        <w:rPr>
          <w:bCs/>
          <w:i/>
          <w:highlight w:val="none"/>
        </w:rPr>
      </w:pPr>
      <w:r>
        <w:rPr>
          <w:i/>
          <w:iCs/>
          <w:highlight w:val="none"/>
        </w:rPr>
      </w:r>
      <w:r>
        <w:t xml:space="preserve">2.3 Copyright and Intellectual Property Rights</w:t>
      </w:r>
      <w:r>
        <w:rPr>
          <w:bCs/>
          <w:i/>
          <w:highlight w:val="none"/>
        </w:rPr>
      </w:r>
      <w:r>
        <w:rPr>
          <w:bCs/>
          <w:i/>
          <w:highlight w:val="none"/>
        </w:rPr>
      </w:r>
    </w:p>
    <w:p>
      <w:pPr>
        <w:pStyle w:val="986"/>
        <w:pBdr/>
        <w:spacing/>
        <w:ind/>
        <w:rPr>
          <w:rStyle w:val="1001"/>
        </w:rPr>
      </w:pPr>
      <w:r>
        <w:rPr>
          <w:rStyle w:val="1001"/>
        </w:rPr>
        <w:t xml:space="preserve">How will you handle copyright and Intellectual Property Rights issues?</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6"/>
        </w:numPr>
        <w:pBdr/>
        <w:spacing/>
        <w:ind/>
        <w:rPr>
          <w:rStyle w:val="1001"/>
        </w:rPr>
      </w:pPr>
      <w:r>
        <w:rPr>
          <w:rStyle w:val="1001"/>
        </w:rPr>
        <w:t xml:space="preserve">Who will be the owner of the data?</w:t>
      </w:r>
      <w:r>
        <w:rPr>
          <w:rStyle w:val="1001"/>
        </w:rPr>
      </w:r>
      <w:r>
        <w:rPr>
          <w:rStyle w:val="1001"/>
        </w:rPr>
      </w:r>
    </w:p>
    <w:p>
      <w:pPr>
        <w:pStyle w:val="1012"/>
        <w:numPr>
          <w:ilvl w:val="0"/>
          <w:numId w:val="6"/>
        </w:numPr>
        <w:pBdr/>
        <w:spacing/>
        <w:ind/>
        <w:rPr>
          <w:rStyle w:val="1001"/>
        </w:rPr>
      </w:pPr>
      <w:r>
        <w:rPr>
          <w:rStyle w:val="1001"/>
        </w:rPr>
        <w:t xml:space="preserve">Which licenses will be applied to the data?</w:t>
      </w:r>
      <w:r>
        <w:rPr>
          <w:rStyle w:val="1001"/>
        </w:rPr>
      </w:r>
      <w:r>
        <w:rPr>
          <w:rStyle w:val="1001"/>
        </w:rPr>
      </w:r>
    </w:p>
    <w:p>
      <w:pPr>
        <w:pStyle w:val="1012"/>
        <w:numPr>
          <w:ilvl w:val="0"/>
          <w:numId w:val="6"/>
        </w:numPr>
        <w:pBdr/>
        <w:spacing/>
        <w:ind/>
        <w:rPr>
          <w:rStyle w:val="1001"/>
        </w:rPr>
      </w:pPr>
      <w:r>
        <w:rPr>
          <w:rStyle w:val="1001"/>
        </w:rPr>
        <w:t xml:space="preserve">What restrictions apply to the reuse of third-party data?</w:t>
      </w:r>
      <w:r>
        <w:rPr>
          <w:rStyle w:val="1001"/>
        </w:rPr>
      </w:r>
      <w:r>
        <w:rPr>
          <w:rStyle w:val="1001"/>
        </w:rPr>
      </w:r>
    </w:p>
    <w:p>
      <w:pPr>
        <w:pStyle w:val="986"/>
        <w:pBdr/>
        <w:spacing/>
        <w:ind/>
        <w:rPr>
          <w:rStyle w:val="1001"/>
        </w:rPr>
      </w:pPr>
      <w:r>
        <w:rPr>
          <w:rStyle w:val="1001"/>
        </w:rPr>
        <w:t xml:space="preserve">Outline the owners of the copyright and Intellectual Property Right (IPR) of all data that will be collected and generated including the licence(s). </w:t>
      </w:r>
      <w:r>
        <w:rPr>
          <w:rStyle w:val="1001"/>
        </w:rPr>
        <w:t xml:space="preserve">For consortia, an IPR ownership agreement might be necessary. You should comply with relevant funder, institutional, departmental or group policies on copyright or IPR. Furthermore, clarify what permissions are required should third-party data be re-used.</w:t>
      </w:r>
      <w:r>
        <w:rPr>
          <w:rStyle w:val="1001"/>
        </w:rPr>
      </w:r>
      <w:r>
        <w:rPr>
          <w:rStyle w:val="1001"/>
        </w:rPr>
      </w:r>
    </w:p>
    <w:p>
      <w:pPr>
        <w:pStyle w:val="986"/>
        <w:pBdr/>
        <w:spacing/>
        <w:ind/>
        <w:rPr/>
      </w:pPr>
      <w:r>
        <w:rPr>
          <w:rStyle w:val="1001"/>
        </w:rPr>
        <w:t xml:space="preserve">(This relates to the </w:t>
      </w:r>
      <w:hyperlink r:id="rId18" w:tooltip="https://www.go-fair.org/fair-principles/" w:history="1">
        <w:r>
          <w:rPr>
            <w:rStyle w:val="999"/>
          </w:rPr>
          <w:t xml:space="preserve">FAIR Data Principles I3 &amp; R1.1</w:t>
        </w:r>
      </w:hyperlink>
      <w:r>
        <w:rPr>
          <w:rStyle w:val="1001"/>
        </w:rPr>
        <w:t xml:space="preserve">)</w:t>
      </w:r>
      <w:r/>
    </w:p>
    <w:p w14:paraId="1BC7C53F">
      <w:pPr>
        <w:pStyle w:val="986"/>
        <w:pBdr/>
        <w:spacing/>
        <w:ind/>
        <w:rPr/>
      </w:pPr>
      <w:r/>
      <w:r/>
    </w:p>
    <w:p w14:paraId="15512778">
      <w:pPr>
        <w:pStyle w:val="986"/>
        <w:pBdr/>
        <w:spacing/>
        <w:ind/>
        <w:rPr>
          <w:rStyle w:val="1001"/>
          <w:bCs/>
          <w:i/>
          <w:highlight w:val="none"/>
        </w:rPr>
      </w:pPr>
      <w:r>
        <w:rPr>
          <w:rStyle w:val="1001"/>
          <w:i/>
          <w:iCs/>
        </w:rPr>
        <w:t xml:space="preserve">RTG-specific guidance:</w:t>
      </w:r>
      <w:r>
        <w:rPr>
          <w:rStyle w:val="1001"/>
          <w:bCs/>
          <w:i/>
          <w:highlight w:val="none"/>
        </w:rPr>
      </w:r>
      <w:r>
        <w:rPr>
          <w:rStyle w:val="1001"/>
          <w:bCs/>
          <w:i/>
          <w:highlight w:val="none"/>
        </w:rPr>
      </w:r>
    </w:p>
    <w:p w14:paraId="6F57AE51">
      <w:pPr>
        <w:pStyle w:val="986"/>
        <w:numPr>
          <w:ilvl w:val="0"/>
          <w:numId w:val="20"/>
        </w:numPr>
        <w:pBdr/>
        <w:spacing/>
        <w:ind/>
        <w:rPr>
          <w:rStyle w:val="1001"/>
          <w:bCs/>
          <w:i/>
          <w:highlight w:val="none"/>
        </w:rPr>
      </w:pPr>
      <w:r>
        <w:rPr>
          <w:rStyle w:val="1001"/>
          <w:bCs/>
          <w:i/>
          <w:highlight w:val="none"/>
        </w:rPr>
      </w:r>
      <w:r>
        <w:rPr>
          <w:rStyle w:val="1001"/>
          <w:bCs/>
          <w:i/>
          <w:highlight w:val="none"/>
        </w:rPr>
        <w:t xml:space="preserve">If your TP is gathering citizen science data make sure that data will be published under an open licence.</w:t>
      </w:r>
      <w:r>
        <w:rPr>
          <w:rStyle w:val="1001"/>
          <w:bCs/>
          <w:i/>
          <w:highlight w:val="none"/>
        </w:rPr>
      </w:r>
      <w:r>
        <w:rPr>
          <w:rStyle w:val="1001"/>
          <w:bCs/>
          <w:i/>
          <w:highlight w:val="none"/>
        </w:rPr>
      </w:r>
    </w:p>
    <w:p w14:paraId="1E4B23DB">
      <w:pPr>
        <w:pStyle w:val="986"/>
        <w:pBdr/>
        <w:spacing/>
        <w:ind/>
        <w:rPr>
          <w:highlight w:val="none"/>
          <w14:ligatures w14:val="none"/>
        </w:rPr>
      </w:pPr>
      <w:r>
        <w:rPr>
          <w:rStyle w:val="1001"/>
          <w:bCs/>
          <w:i/>
          <w:highlight w:val="none"/>
        </w:rPr>
      </w:r>
      <w:r>
        <w:rPr>
          <w:highlight w:val="none"/>
          <w14:ligatures w14:val="none"/>
        </w:rPr>
      </w:r>
      <w:r>
        <w:rPr>
          <w:highlight w:val="none"/>
          <w14:ligatures w14:val="none"/>
        </w:rPr>
      </w:r>
    </w:p>
    <w:p>
      <w:pPr>
        <w:pStyle w:val="987"/>
        <w:pBdr/>
        <w:spacing/>
        <w:ind/>
        <w:rPr/>
      </w:pPr>
      <w:r>
        <w:t xml:space="preserve">3. Data Storage and Preservation</w:t>
      </w:r>
      <w:r/>
    </w:p>
    <w:p>
      <w:pPr>
        <w:pStyle w:val="988"/>
        <w:pBdr/>
        <w:spacing/>
        <w:ind/>
        <w:rPr/>
      </w:pPr>
      <w:r>
        <w:t xml:space="preserve">3.1 Storage and Back-up</w:t>
      </w:r>
      <w:r/>
    </w:p>
    <w:p>
      <w:pPr>
        <w:pStyle w:val="986"/>
        <w:pBdr/>
        <w:spacing/>
        <w:ind/>
        <w:rPr>
          <w:rStyle w:val="1001"/>
        </w:rPr>
      </w:pPr>
      <w:r>
        <w:rPr>
          <w:rStyle w:val="1001"/>
        </w:rPr>
        <w:t xml:space="preserve">How will your data be stored and backed-up during the research?</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7"/>
        </w:numPr>
        <w:pBdr/>
        <w:spacing/>
        <w:ind/>
        <w:rPr>
          <w:rStyle w:val="1001"/>
        </w:rPr>
      </w:pPr>
      <w:r>
        <w:rPr>
          <w:rStyle w:val="1001"/>
        </w:rPr>
        <w:t xml:space="preserve">What is your storage capacity and where will the data be stored?</w:t>
      </w:r>
      <w:r>
        <w:rPr>
          <w:rStyle w:val="1001"/>
        </w:rPr>
      </w:r>
      <w:r>
        <w:rPr>
          <w:rStyle w:val="1001"/>
        </w:rPr>
      </w:r>
    </w:p>
    <w:p>
      <w:pPr>
        <w:pStyle w:val="1012"/>
        <w:numPr>
          <w:ilvl w:val="0"/>
          <w:numId w:val="7"/>
        </w:numPr>
        <w:pBdr/>
        <w:spacing/>
        <w:ind/>
        <w:rPr>
          <w:rStyle w:val="1001"/>
        </w:rPr>
      </w:pPr>
      <w:r>
        <w:rPr>
          <w:rStyle w:val="1001"/>
        </w:rPr>
        <w:t xml:space="preserve">What are the back-up procedures?</w:t>
      </w:r>
      <w:r>
        <w:rPr>
          <w:rStyle w:val="1001"/>
        </w:rPr>
      </w:r>
      <w:r>
        <w:rPr>
          <w:rStyle w:val="1001"/>
        </w:rPr>
      </w:r>
    </w:p>
    <w:p>
      <w:pPr>
        <w:pStyle w:val="986"/>
        <w:pBdr/>
        <w:spacing/>
        <w:ind/>
        <w:rPr>
          <w:rStyle w:val="1001"/>
        </w:rPr>
      </w:pPr>
      <w:r>
        <w:rPr>
          <w:rStyle w:val="1001"/>
        </w:rPr>
        <w:t xml:space="preserve">Please mention what the needs are in terms of data storage and where the data will be stored.</w:t>
      </w:r>
      <w:r>
        <w:rPr>
          <w:rStyle w:val="1001"/>
        </w:rPr>
      </w:r>
      <w:r>
        <w:rPr>
          <w:rStyle w:val="1001"/>
        </w:rPr>
      </w:r>
    </w:p>
    <w:p>
      <w:pPr>
        <w:pStyle w:val="986"/>
        <w:pBdr/>
        <w:spacing/>
        <w:ind/>
        <w:rPr>
          <w:rStyle w:val="1001"/>
        </w:rPr>
      </w:pPr>
      <w:r>
        <w:rPr>
          <w:rStyle w:val="1001"/>
        </w:rPr>
        <w:t xml:space="preserve">Please consider that data storage on laptops or h</w:t>
      </w:r>
      <w:r>
        <w:rPr>
          <w:rStyle w:val="1001"/>
        </w:rPr>
        <w:t xml:space="preserve">ard drives, for example, is risky. Storage through IT teams is safer. If external services are asked for, it is important that this does not conflict with the policy of each entity involved in the project, especially concerning the issue of sensitive data.</w:t>
      </w:r>
      <w:r>
        <w:rPr>
          <w:rStyle w:val="1001"/>
        </w:rPr>
      </w:r>
      <w:r>
        <w:rPr>
          <w:rStyle w:val="1001"/>
        </w:rPr>
      </w:r>
    </w:p>
    <w:p>
      <w:pPr>
        <w:pStyle w:val="986"/>
        <w:pBdr/>
        <w:spacing/>
        <w:ind/>
        <w:rPr>
          <w:rStyle w:val="1001"/>
          <w:highlight w:val="none"/>
        </w:rPr>
      </w:pPr>
      <w:r>
        <w:rPr>
          <w:rStyle w:val="1001"/>
        </w:rPr>
        <w:t xml:space="preserve">Please specify your back-up procedure (frequency of updates, responsibilities, automatic/manual process, security measures, etc.)</w:t>
      </w:r>
      <w:r>
        <w:rPr>
          <w:rStyle w:val="1001"/>
          <w:highlight w:val="none"/>
        </w:rPr>
      </w:r>
      <w:r>
        <w:rPr>
          <w:rStyle w:val="1001"/>
          <w:highlight w:val="none"/>
        </w:rPr>
      </w:r>
    </w:p>
    <w:p w14:paraId="24C570BA">
      <w:pPr>
        <w:pStyle w:val="986"/>
        <w:pBdr/>
        <w:spacing/>
        <w:ind/>
        <w:rPr>
          <w:rStyle w:val="1001"/>
        </w:rPr>
      </w:pPr>
      <w:r>
        <w:rPr>
          <w:rStyle w:val="1001"/>
        </w:rPr>
      </w:r>
      <w:r>
        <w:rPr>
          <w:rStyle w:val="1001"/>
        </w:rPr>
      </w:r>
      <w:r>
        <w:rPr>
          <w:rStyle w:val="1001"/>
        </w:rPr>
      </w:r>
    </w:p>
    <w:p w14:paraId="2D02859D">
      <w:pPr>
        <w:pStyle w:val="986"/>
        <w:pBdr/>
        <w:spacing/>
        <w:ind/>
        <w:rPr>
          <w:rStyle w:val="1001"/>
          <w:bCs/>
          <w:i/>
          <w:highlight w:val="none"/>
        </w:rPr>
      </w:pPr>
      <w:r>
        <w:rPr>
          <w:rStyle w:val="1001"/>
          <w:i/>
          <w:iCs/>
        </w:rPr>
        <w:t xml:space="preserve">RTG-specific guidance:</w:t>
      </w:r>
      <w:r>
        <w:rPr>
          <w:rStyle w:val="1001"/>
          <w:bCs/>
          <w:i/>
          <w:highlight w:val="none"/>
        </w:rPr>
      </w:r>
      <w:r>
        <w:rPr>
          <w:rStyle w:val="1001"/>
          <w:bCs/>
          <w:i/>
          <w:highlight w:val="none"/>
        </w:rPr>
      </w:r>
    </w:p>
    <w:p w14:paraId="1584DA7D">
      <w:pPr>
        <w:pStyle w:val="986"/>
        <w:numPr>
          <w:ilvl w:val="0"/>
          <w:numId w:val="21"/>
        </w:numPr>
        <w:pBdr/>
        <w:spacing/>
        <w:ind/>
        <w:rPr>
          <w:rStyle w:val="1001"/>
          <w:bCs/>
          <w:i/>
          <w:highlight w:val="none"/>
        </w:rPr>
      </w:pPr>
      <w:r>
        <w:rPr>
          <w:rStyle w:val="1001"/>
          <w:i/>
          <w:iCs/>
          <w:highlight w:val="none"/>
        </w:rPr>
      </w:r>
      <w:r>
        <w:rPr>
          <w:rStyle w:val="1001"/>
          <w:i/>
          <w:iCs/>
          <w:highlight w:val="none"/>
        </w:rPr>
        <w:t xml:space="preserve">Primary data should be stored locally in a secure and reliable manner using institutional storage and backup services provided by the Computing Centre at Kiel University (https://www.rz.uni-kiel.de/en/our-portfolio/storage/network-drive-file-server).</w:t>
      </w:r>
      <w:r>
        <w:rPr>
          <w:rStyle w:val="1001"/>
          <w:bCs/>
          <w:i/>
          <w:highlight w:val="none"/>
        </w:rPr>
      </w:r>
      <w:r>
        <w:rPr>
          <w:rStyle w:val="1001"/>
          <w:bCs/>
          <w:i/>
          <w:highlight w:val="none"/>
        </w:rPr>
      </w:r>
    </w:p>
    <w:p w14:paraId="2AD65E61">
      <w:pPr>
        <w:pStyle w:val="986"/>
        <w:numPr>
          <w:ilvl w:val="0"/>
          <w:numId w:val="21"/>
        </w:numPr>
        <w:pBdr/>
        <w:spacing/>
        <w:ind/>
        <w:rPr>
          <w:rStyle w:val="1001"/>
          <w:bCs/>
          <w:i/>
          <w:highlight w:val="none"/>
        </w:rPr>
      </w:pPr>
      <w:r>
        <w:rPr>
          <w:rStyle w:val="1001"/>
          <w:i/>
          <w:iCs/>
          <w:highlight w:val="none"/>
        </w:rPr>
        <w:t xml:space="preserve">For th</w:t>
      </w:r>
      <w:r>
        <w:rPr>
          <w:rStyle w:val="1001"/>
          <w:i/>
          <w:iCs/>
          <w:highlight w:val="none"/>
        </w:rPr>
        <w:t xml:space="preserve">e documentation and recording of laboratory experiments, the electronic laboratory notebook system elabFTW (https://elabftw.uni-kiel.de) should be used where appropriate.</w:t>
      </w:r>
      <w:r>
        <w:rPr>
          <w:rStyle w:val="1001"/>
          <w:bCs/>
          <w:i/>
          <w:highlight w:val="none"/>
        </w:rPr>
      </w:r>
      <w:r>
        <w:rPr>
          <w:rStyle w:val="1001"/>
          <w:bCs/>
          <w:i/>
          <w:highlight w:val="none"/>
        </w:rPr>
      </w:r>
    </w:p>
    <w:p w14:paraId="231E775B">
      <w:pPr>
        <w:pStyle w:val="986"/>
        <w:pBdr/>
        <w:spacing/>
        <w:ind/>
        <w:rPr>
          <w:highlight w:val="none"/>
          <w14:ligatures w14:val="none"/>
        </w:rPr>
      </w:pPr>
      <w:r>
        <w:rPr>
          <w:rStyle w:val="1001"/>
          <w:bCs/>
          <w:i/>
          <w:highlight w:val="none"/>
        </w:rPr>
      </w:r>
      <w:r>
        <w:rPr>
          <w:highlight w:val="none"/>
          <w14:ligatures w14:val="none"/>
        </w:rPr>
      </w:r>
      <w:r>
        <w:rPr>
          <w:highlight w:val="none"/>
          <w14:ligatures w14:val="none"/>
        </w:rPr>
      </w:r>
    </w:p>
    <w:p>
      <w:pPr>
        <w:pStyle w:val="988"/>
        <w:pBdr/>
        <w:spacing/>
        <w:ind/>
        <w:rPr/>
      </w:pPr>
      <w:r>
        <w:t xml:space="preserve">3.2 Data Preservation</w:t>
      </w:r>
      <w:r/>
    </w:p>
    <w:p>
      <w:pPr>
        <w:pStyle w:val="986"/>
        <w:pBdr/>
        <w:spacing/>
        <w:ind/>
        <w:rPr>
          <w:rStyle w:val="1001"/>
        </w:rPr>
      </w:pPr>
      <w:r>
        <w:rPr>
          <w:rStyle w:val="1001"/>
        </w:rPr>
        <w:t xml:space="preserve">What is your data preservation plan?</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8"/>
        </w:numPr>
        <w:pBdr/>
        <w:spacing/>
        <w:ind/>
        <w:rPr>
          <w:rStyle w:val="1001"/>
        </w:rPr>
      </w:pPr>
      <w:r>
        <w:rPr>
          <w:rStyle w:val="1001"/>
        </w:rPr>
        <w:t xml:space="preserve">What procedures would be used to select data to be preserved?</w:t>
      </w:r>
      <w:r>
        <w:rPr>
          <w:rStyle w:val="1001"/>
        </w:rPr>
      </w:r>
      <w:r>
        <w:rPr>
          <w:rStyle w:val="1001"/>
        </w:rPr>
      </w:r>
    </w:p>
    <w:p>
      <w:pPr>
        <w:pStyle w:val="1012"/>
        <w:numPr>
          <w:ilvl w:val="0"/>
          <w:numId w:val="8"/>
        </w:numPr>
        <w:pBdr/>
        <w:spacing/>
        <w:ind/>
        <w:rPr>
          <w:rStyle w:val="1001"/>
        </w:rPr>
      </w:pPr>
      <w:r>
        <w:rPr>
          <w:rStyle w:val="1001"/>
        </w:rPr>
        <w:t xml:space="preserve">What file formats will be used for preservation?</w:t>
      </w:r>
      <w:r>
        <w:rPr>
          <w:rStyle w:val="1001"/>
        </w:rPr>
      </w:r>
      <w:r>
        <w:rPr>
          <w:rStyle w:val="1001"/>
        </w:rPr>
      </w:r>
    </w:p>
    <w:p>
      <w:pPr>
        <w:pStyle w:val="986"/>
        <w:pBdr/>
        <w:spacing/>
        <w:ind/>
        <w:rPr>
          <w:rStyle w:val="1001"/>
        </w:rPr>
      </w:pPr>
      <w:r>
        <w:rPr>
          <w:rStyle w:val="1001"/>
        </w:rPr>
        <w:t xml:space="preserve">Please specify which data will be retained, shared and archived after the co</w:t>
      </w:r>
      <w:r>
        <w:rPr>
          <w:rStyle w:val="1001"/>
        </w:rPr>
        <w:t xml:space="preserve">mpletion of the project and the corresponding data selection procedure (e.g., long-term value, potential value for re-use, obligations to destroy some data). Please outline a long-term preservation plan for the data sets beyond the lifetime of the project.</w:t>
      </w:r>
      <w:r>
        <w:rPr>
          <w:rStyle w:val="1001"/>
        </w:rPr>
      </w:r>
      <w:r>
        <w:rPr>
          <w:rStyle w:val="1001"/>
        </w:rPr>
      </w:r>
    </w:p>
    <w:p>
      <w:pPr>
        <w:pStyle w:val="986"/>
        <w:pBdr/>
        <w:spacing/>
        <w:ind/>
        <w:rPr>
          <w:rStyle w:val="1001"/>
          <w:highlight w:val="none"/>
        </w:rPr>
      </w:pPr>
      <w:r>
        <w:rPr>
          <w:rStyle w:val="1001"/>
        </w:rPr>
        <w:t xml:space="preserve">In particular, comment on the choice of file formats and the use of community standards.</w:t>
      </w:r>
      <w:r>
        <w:rPr>
          <w:rStyle w:val="1001"/>
          <w:highlight w:val="none"/>
        </w:rPr>
      </w:r>
      <w:r>
        <w:rPr>
          <w:rStyle w:val="1001"/>
          <w:highlight w:val="none"/>
        </w:rPr>
      </w:r>
    </w:p>
    <w:p w14:paraId="3B6C979B">
      <w:pPr>
        <w:pStyle w:val="986"/>
        <w:pBdr/>
        <w:spacing/>
        <w:ind/>
        <w:rPr>
          <w:rStyle w:val="1001"/>
          <w:highlight w:val="none"/>
        </w:rPr>
      </w:pPr>
      <w:r>
        <w:rPr>
          <w:rStyle w:val="1001"/>
          <w:highlight w:val="none"/>
        </w:rPr>
      </w:r>
      <w:r>
        <w:rPr>
          <w:rStyle w:val="1001"/>
          <w:highlight w:val="none"/>
        </w:rPr>
      </w:r>
      <w:r>
        <w:rPr>
          <w:rStyle w:val="1001"/>
          <w:highlight w:val="none"/>
        </w:rPr>
      </w:r>
    </w:p>
    <w:p w14:paraId="06F5A5CF">
      <w:pPr>
        <w:pStyle w:val="986"/>
        <w:pBdr/>
        <w:spacing/>
        <w:ind/>
        <w:rPr>
          <w:rStyle w:val="1001"/>
          <w:bCs/>
          <w:i/>
          <w:highlight w:val="none"/>
        </w:rPr>
      </w:pPr>
      <w:r>
        <w:rPr>
          <w:rStyle w:val="1001"/>
          <w:i/>
          <w:iCs/>
        </w:rPr>
        <w:t xml:space="preserve">RTG-specific guidance:</w:t>
      </w:r>
      <w:r>
        <w:rPr>
          <w:rStyle w:val="1001"/>
          <w:bCs/>
          <w:i/>
          <w:highlight w:val="none"/>
        </w:rPr>
      </w:r>
      <w:r>
        <w:rPr>
          <w:rStyle w:val="1001"/>
          <w:bCs/>
          <w:i/>
          <w:highlight w:val="none"/>
        </w:rPr>
      </w:r>
    </w:p>
    <w:p w14:paraId="2DB97B37">
      <w:pPr>
        <w:pStyle w:val="986"/>
        <w:numPr>
          <w:ilvl w:val="0"/>
          <w:numId w:val="22"/>
        </w:numPr>
        <w:pBdr/>
        <w:spacing/>
        <w:ind/>
        <w:rPr>
          <w:rStyle w:val="1001"/>
          <w:bCs/>
          <w:i/>
          <w:highlight w:val="none"/>
        </w:rPr>
      </w:pPr>
      <w:r>
        <w:rPr>
          <w:rStyle w:val="1001"/>
          <w:bCs/>
          <w:i/>
          <w:highlight w:val="none"/>
        </w:rPr>
      </w:r>
      <w:r>
        <w:rPr>
          <w:rStyle w:val="1001"/>
          <w:bCs/>
          <w:i/>
          <w:highlight w:val="none"/>
        </w:rPr>
        <w:t xml:space="preserve">D</w:t>
      </w:r>
      <w:r>
        <w:rPr>
          <w:rStyle w:val="1001"/>
          <w:bCs/>
          <w:i/>
          <w:highlight w:val="none"/>
        </w:rPr>
        <w:t xml:space="preserve">ata underpinning scientific publications should be made available at the time of publication. Any remaining research data should be deposited in a suitable Open Data repository no later than 12 months after the end of the funding period, subject to legal a</w:t>
      </w:r>
      <w:r>
        <w:rPr>
          <w:rStyle w:val="1001"/>
          <w:bCs/>
          <w:i/>
          <w:highlight w:val="none"/>
        </w:rPr>
        <w:t xml:space="preserve">nd ethical constraints. In accordance with good scientific practice, research data must be securely preserved for at least 10 years to ensure reproducibility and verification.</w:t>
      </w:r>
      <w:r>
        <w:rPr>
          <w:rStyle w:val="1001"/>
          <w:bCs/>
          <w:i/>
          <w:highlight w:val="none"/>
        </w:rPr>
      </w:r>
      <w:r>
        <w:rPr>
          <w:rStyle w:val="1001"/>
          <w:bCs/>
          <w:i/>
          <w:highlight w:val="none"/>
        </w:rPr>
      </w:r>
    </w:p>
    <w:p w14:paraId="07C1F86F">
      <w:pPr>
        <w:pStyle w:val="986"/>
        <w:numPr>
          <w:ilvl w:val="0"/>
          <w:numId w:val="22"/>
        </w:numPr>
        <w:pBdr/>
        <w:spacing/>
        <w:ind/>
        <w:rPr>
          <w:rStyle w:val="1001"/>
          <w:bCs/>
          <w:i/>
          <w:highlight w:val="none"/>
        </w:rPr>
      </w:pPr>
      <w:r>
        <w:rPr>
          <w:rStyle w:val="1001"/>
          <w:i/>
          <w:iCs/>
          <w:highlight w:val="none"/>
        </w:rPr>
        <w:t xml:space="preserve">Data for which no discipline-specific open access repository exists should be deposited in a suitable</w:t>
      </w:r>
      <w:r>
        <w:rPr>
          <w:rStyle w:val="1001"/>
          <w:i/>
          <w:iCs/>
          <w:highlight w:val="none"/>
        </w:rPr>
        <w:t xml:space="preserve"> generic repository, such as the Kiel University institutional Open Data Repository (</w:t>
      </w:r>
      <w:r>
        <w:rPr>
          <w:rStyle w:val="1001"/>
          <w:i/>
          <w:iCs/>
          <w:highlight w:val="none"/>
        </w:rPr>
        <w:t xml:space="preserve">https://opendata.uni-kiel.de</w:t>
      </w:r>
      <w:r>
        <w:rPr>
          <w:rStyle w:val="1001"/>
          <w:i/>
          <w:iCs/>
          <w:highlight w:val="none"/>
        </w:rPr>
        <w:t xml:space="preserve">), ensuring open publication with a persistent identifier (DOI).</w:t>
      </w:r>
      <w:r>
        <w:rPr>
          <w:rStyle w:val="1001"/>
          <w:bCs/>
          <w:i/>
          <w:highlight w:val="none"/>
        </w:rPr>
      </w:r>
      <w:r>
        <w:rPr>
          <w:rStyle w:val="1001"/>
          <w:bCs/>
          <w:i/>
          <w:highlight w:val="none"/>
        </w:rPr>
      </w:r>
    </w:p>
    <w:p w14:paraId="44CFF19E">
      <w:pPr>
        <w:pStyle w:val="986"/>
        <w:numPr>
          <w:ilvl w:val="0"/>
          <w:numId w:val="22"/>
        </w:numPr>
        <w:pBdr/>
        <w:spacing/>
        <w:ind/>
        <w:rPr>
          <w:rStyle w:val="1001"/>
          <w:bCs/>
          <w:i/>
          <w:highlight w:val="none"/>
        </w:rPr>
      </w:pPr>
      <w:r>
        <w:rPr>
          <w:rStyle w:val="1001"/>
          <w:i/>
          <w:iCs/>
          <w:highlight w:val="none"/>
        </w:rPr>
      </w:r>
      <w:r>
        <w:rPr>
          <w:rStyle w:val="1001"/>
          <w:i/>
          <w:iCs/>
          <w:highlight w:val="none"/>
        </w:rPr>
        <w:t xml:space="preserve">A</w:t>
      </w:r>
      <w:r>
        <w:rPr>
          <w:rStyle w:val="1001"/>
          <w:i/>
          <w:iCs/>
          <w:highlight w:val="none"/>
        </w:rPr>
        <w:t xml:space="preserve">ll data should be stored in standard digital formats (e.g., CSV, TIFF, XLSX). Proprietary formats should be converted to open, non-proprietary alternatives wherever possible. If conversion is not feasible, the exact file format and version must be document</w:t>
      </w:r>
      <w:r>
        <w:rPr>
          <w:rStyle w:val="1001"/>
          <w:i/>
          <w:iCs/>
          <w:highlight w:val="none"/>
        </w:rPr>
        <w:t xml:space="preserve">ed to ensure future readability and interpretability.</w:t>
      </w:r>
      <w:r>
        <w:rPr>
          <w:rStyle w:val="1001"/>
          <w:bCs/>
          <w:i/>
          <w:highlight w:val="none"/>
        </w:rPr>
      </w:r>
      <w:r>
        <w:rPr>
          <w:rStyle w:val="1001"/>
          <w:bCs/>
          <w:i/>
          <w:highlight w:val="none"/>
        </w:rPr>
      </w:r>
    </w:p>
    <w:p w14:paraId="03A0EE5D">
      <w:pPr>
        <w:pStyle w:val="986"/>
        <w:pBdr/>
        <w:spacing/>
        <w:ind/>
        <w:rPr>
          <w:highlight w:val="none"/>
          <w14:ligatures w14:val="none"/>
        </w:rPr>
      </w:pPr>
      <w:r>
        <w:rPr>
          <w:rStyle w:val="1001"/>
          <w:bCs/>
          <w:i/>
          <w:highlight w:val="none"/>
        </w:rPr>
      </w:r>
      <w:r>
        <w:rPr>
          <w:highlight w:val="none"/>
          <w14:ligatures w14:val="none"/>
        </w:rPr>
      </w:r>
      <w:r>
        <w:rPr>
          <w:highlight w:val="none"/>
          <w14:ligatures w14:val="none"/>
        </w:rPr>
      </w:r>
    </w:p>
    <w:p>
      <w:pPr>
        <w:pStyle w:val="987"/>
        <w:pBdr/>
        <w:spacing/>
        <w:ind/>
        <w:rPr/>
      </w:pPr>
      <w:r/>
      <w:bookmarkStart w:id="1" w:name="are-there-any-necessary-limitations-to-p"/>
      <w:r/>
      <w:bookmarkEnd w:id="1"/>
      <w:r>
        <w:t xml:space="preserve">4. Data Sharing and Reuse</w:t>
      </w:r>
      <w:r/>
    </w:p>
    <w:p>
      <w:pPr>
        <w:pStyle w:val="988"/>
        <w:pBdr/>
        <w:spacing/>
        <w:ind/>
        <w:rPr/>
      </w:pPr>
      <w:r>
        <w:t xml:space="preserve">4.1 Sharing</w:t>
      </w:r>
      <w:r/>
    </w:p>
    <w:p>
      <w:pPr>
        <w:pStyle w:val="986"/>
        <w:pBdr/>
        <w:spacing/>
        <w:ind/>
        <w:rPr>
          <w:rStyle w:val="1001"/>
        </w:rPr>
      </w:pPr>
      <w:r>
        <w:rPr>
          <w:rStyle w:val="1001"/>
        </w:rPr>
        <w:t xml:space="preserve">How and where will the data be shared?</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9"/>
        </w:numPr>
        <w:pBdr/>
        <w:spacing/>
        <w:ind/>
        <w:rPr>
          <w:rStyle w:val="1001"/>
        </w:rPr>
      </w:pPr>
      <w:r>
        <w:rPr>
          <w:rStyle w:val="1001"/>
        </w:rPr>
        <w:t xml:space="preserve">On which repository do you plan to share your data?</w:t>
      </w:r>
      <w:r>
        <w:rPr>
          <w:rStyle w:val="1001"/>
        </w:rPr>
      </w:r>
      <w:r>
        <w:rPr>
          <w:rStyle w:val="1001"/>
        </w:rPr>
      </w:r>
    </w:p>
    <w:p>
      <w:pPr>
        <w:pStyle w:val="1012"/>
        <w:numPr>
          <w:ilvl w:val="0"/>
          <w:numId w:val="9"/>
        </w:numPr>
        <w:pBdr/>
        <w:spacing/>
        <w:ind/>
        <w:rPr>
          <w:rStyle w:val="1001"/>
        </w:rPr>
      </w:pPr>
      <w:r>
        <w:rPr>
          <w:rStyle w:val="1001"/>
        </w:rPr>
        <w:t xml:space="preserve">How will potential users find out about your data?</w:t>
      </w:r>
      <w:r>
        <w:rPr>
          <w:rStyle w:val="1001"/>
        </w:rPr>
      </w:r>
      <w:r>
        <w:rPr>
          <w:rStyle w:val="1001"/>
        </w:rPr>
      </w:r>
    </w:p>
    <w:p>
      <w:pPr>
        <w:pStyle w:val="986"/>
        <w:pBdr/>
        <w:spacing/>
        <w:ind/>
        <w:rPr>
          <w:rStyle w:val="1001"/>
        </w:rPr>
      </w:pPr>
      <w:r>
        <w:rPr>
          <w:rStyle w:val="1001"/>
        </w:rPr>
        <w:t xml:space="preserve">Consider how and on which repository the data will be made available. The methods applied to data sharing will depend on several factors such as the type, size, complexity and sensitivity of data.</w:t>
      </w:r>
      <w:r>
        <w:rPr>
          <w:rStyle w:val="1001"/>
        </w:rPr>
      </w:r>
      <w:r>
        <w:rPr>
          <w:rStyle w:val="1001"/>
        </w:rPr>
      </w:r>
    </w:p>
    <w:p>
      <w:pPr>
        <w:pBdr/>
        <w:spacing/>
        <w:ind/>
        <w:rPr>
          <w:rStyle w:val="1001"/>
        </w:rPr>
      </w:pPr>
      <w:r>
        <w:rPr>
          <w:rStyle w:val="1001"/>
        </w:rPr>
        <w:t xml:space="preserve">Please also consider how the reuse of your data will be valued and acknowledged by other researchers.</w:t>
      </w:r>
      <w:r>
        <w:rPr>
          <w:rStyle w:val="1001"/>
        </w:rPr>
      </w:r>
      <w:r>
        <w:rPr>
          <w:rStyle w:val="1001"/>
        </w:rPr>
      </w:r>
    </w:p>
    <w:p w14:paraId="651CDB46">
      <w:pPr>
        <w:pBdr/>
        <w:spacing/>
        <w:ind/>
        <w:rPr>
          <w:rStyle w:val="1001"/>
        </w:rPr>
      </w:pPr>
      <w:r>
        <w:rPr>
          <w:rStyle w:val="1001"/>
        </w:rPr>
      </w:r>
      <w:r>
        <w:rPr>
          <w:rStyle w:val="1001"/>
        </w:rPr>
        <w:t xml:space="preserve">(This relates to the </w:t>
      </w:r>
      <w:hyperlink r:id="rId19" w:tooltip="https://www.go-fair.org/fair-principles/" w:history="1">
        <w:r>
          <w:rPr>
            <w:rStyle w:val="999"/>
          </w:rPr>
          <w:t xml:space="preserve">FAIR Data Principles F1, F3, F4, A1, A1.1, A1.2 &amp; A2</w:t>
        </w:r>
      </w:hyperlink>
      <w:r>
        <w:rPr>
          <w:rStyle w:val="1001"/>
        </w:rPr>
        <w:t xml:space="preserve">)</w:t>
      </w:r>
      <w:r>
        <w:rPr>
          <w:rStyle w:val="1001"/>
        </w:rPr>
      </w:r>
      <w:r>
        <w:rPr>
          <w:rStyle w:val="1001"/>
        </w:rPr>
      </w:r>
    </w:p>
    <w:p w14:paraId="1CDEF17C">
      <w:pPr>
        <w:pStyle w:val="986"/>
        <w:pBdr/>
        <w:spacing/>
        <w:ind/>
        <w:rPr>
          <w:highlight w:val="none"/>
        </w:rPr>
      </w:pPr>
      <w:r>
        <w:rPr>
          <w:highlight w:val="none"/>
        </w:rPr>
      </w:r>
      <w:r>
        <w:rPr>
          <w:highlight w:val="none"/>
        </w:rPr>
      </w:r>
      <w:r>
        <w:rPr>
          <w:highlight w:val="none"/>
        </w:rPr>
      </w:r>
    </w:p>
    <w:p w14:paraId="4CD367E6">
      <w:pPr>
        <w:pStyle w:val="986"/>
        <w:pBdr/>
        <w:spacing/>
        <w:ind/>
        <w:rPr>
          <w:rStyle w:val="1001"/>
          <w:bCs/>
          <w:i/>
          <w:highlight w:val="none"/>
        </w:rPr>
      </w:pPr>
      <w:r>
        <w:rPr>
          <w:rStyle w:val="1001"/>
          <w:i/>
          <w:iCs/>
        </w:rPr>
        <w:t xml:space="preserve">RTG-specific guidance:</w:t>
      </w:r>
      <w:r>
        <w:rPr>
          <w:rStyle w:val="1001"/>
          <w:bCs/>
          <w:i/>
          <w:highlight w:val="none"/>
        </w:rPr>
      </w:r>
      <w:r>
        <w:rPr>
          <w:rStyle w:val="1001"/>
          <w:bCs/>
          <w:i/>
          <w:highlight w:val="none"/>
        </w:rPr>
      </w:r>
    </w:p>
    <w:p w14:paraId="566F49C2">
      <w:pPr>
        <w:pStyle w:val="986"/>
        <w:numPr>
          <w:ilvl w:val="0"/>
          <w:numId w:val="23"/>
        </w:numPr>
        <w:pBdr/>
        <w:spacing/>
        <w:ind/>
        <w:rPr>
          <w:rStyle w:val="1001"/>
          <w:bCs/>
          <w:i/>
          <w:highlight w:val="none"/>
        </w:rPr>
      </w:pPr>
      <w:r>
        <w:rPr>
          <w:rStyle w:val="1001"/>
          <w:i/>
          <w:iCs/>
          <w:highlight w:val="none"/>
        </w:rPr>
      </w:r>
      <w:r>
        <w:rPr>
          <w:rStyle w:val="1001"/>
          <w:i/>
          <w:iCs/>
          <w:highlight w:val="none"/>
        </w:rPr>
        <w:t xml:space="preserve">T</w:t>
      </w:r>
      <w:r>
        <w:rPr>
          <w:rStyle w:val="1001"/>
          <w:i/>
          <w:iCs/>
          <w:highlight w:val="none"/>
        </w:rPr>
        <w:t xml:space="preserve">o enhance findability, data should be published in established and certified domain-specific repositories (e.g. ClinicalTrials.gov where appropriate) or, where no suitable discipline-specific repository exists, in trusted generic repositories such as the K</w:t>
      </w:r>
      <w:r>
        <w:rPr>
          <w:rStyle w:val="1001"/>
          <w:i/>
          <w:iCs/>
          <w:highlight w:val="none"/>
        </w:rPr>
        <w:t xml:space="preserve">iel University Open Data Repository (https://opendata.uni-kiel.de) or Zenodo (https://zenodo.org).</w:t>
      </w:r>
      <w:r>
        <w:rPr>
          <w:rStyle w:val="1001"/>
          <w:bCs/>
          <w:i/>
          <w:highlight w:val="none"/>
        </w:rPr>
      </w:r>
      <w:r>
        <w:rPr>
          <w:rStyle w:val="1001"/>
          <w:bCs/>
          <w:i/>
          <w:highlight w:val="none"/>
        </w:rPr>
      </w:r>
    </w:p>
    <w:p w14:paraId="7F415EBF">
      <w:pPr>
        <w:pStyle w:val="986"/>
        <w:numPr>
          <w:ilvl w:val="0"/>
          <w:numId w:val="27"/>
        </w:numPr>
        <w:pBdr/>
        <w:spacing/>
        <w:ind/>
        <w:rPr>
          <w:rStyle w:val="1001"/>
        </w:rPr>
      </w:pPr>
      <w:r>
        <w:rPr>
          <w:rStyle w:val="1001"/>
          <w:highlight w:val="none"/>
        </w:rPr>
      </w:r>
      <w:r>
        <w:rPr>
          <w:rStyle w:val="1001"/>
          <w:highlight w:val="none"/>
        </w:rPr>
        <w:t xml:space="preserve">Descriptive metadata to support discoverability will, where applicable, be recorded in accordance with the DataCite Metadata Schema or equivalent community standards used by discipline-specific repositories.</w:t>
      </w:r>
      <w:r>
        <w:rPr>
          <w:rStyle w:val="1001"/>
        </w:rPr>
      </w:r>
      <w:r>
        <w:rPr>
          <w:rStyle w:val="1001"/>
        </w:rPr>
      </w:r>
    </w:p>
    <w:p w14:paraId="70483B07">
      <w:pPr>
        <w:pStyle w:val="986"/>
        <w:pBdr/>
        <w:spacing/>
        <w:ind/>
        <w:rPr>
          <w:highlight w:val="none"/>
          <w14:ligatures w14:val="none"/>
        </w:rPr>
      </w:pPr>
      <w:r>
        <w:rPr>
          <w:rStyle w:val="1001"/>
          <w:bCs/>
          <w:i/>
          <w:highlight w:val="none"/>
        </w:rPr>
      </w:r>
      <w:r>
        <w:rPr>
          <w:highlight w:val="none"/>
          <w14:ligatures w14:val="none"/>
        </w:rPr>
      </w:r>
      <w:r>
        <w:rPr>
          <w:highlight w:val="none"/>
          <w14:ligatures w14:val="none"/>
        </w:rPr>
      </w:r>
    </w:p>
    <w:p>
      <w:pPr>
        <w:pStyle w:val="988"/>
        <w:pBdr/>
        <w:spacing/>
        <w:ind/>
        <w:rPr/>
      </w:pPr>
      <w:r/>
      <w:bookmarkStart w:id="2" w:name="i-will-choose-digital-repositories-that-"/>
      <w:r/>
      <w:bookmarkEnd w:id="2"/>
      <w:r>
        <w:t xml:space="preserve">4.2 Protection of Sensitive Data</w:t>
      </w:r>
      <w:r/>
    </w:p>
    <w:p>
      <w:pPr>
        <w:pStyle w:val="986"/>
        <w:pBdr/>
        <w:spacing/>
        <w:ind/>
        <w:rPr>
          <w:rStyle w:val="1001"/>
        </w:rPr>
      </w:pPr>
      <w:r>
        <w:rPr>
          <w:rStyle w:val="1001"/>
        </w:rPr>
        <w:t xml:space="preserve">Are there any necessary limitations to protect sensitive data?</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10"/>
        </w:numPr>
        <w:pBdr/>
        <w:spacing/>
        <w:ind/>
        <w:rPr>
          <w:rStyle w:val="1001"/>
        </w:rPr>
      </w:pPr>
      <w:r>
        <w:rPr>
          <w:rStyle w:val="1001"/>
        </w:rPr>
        <w:t xml:space="preserve">Under which conditions will the data be made available (timing of data release, reason for delay if applicable)?</w:t>
      </w:r>
      <w:r>
        <w:rPr>
          <w:rStyle w:val="1001"/>
        </w:rPr>
      </w:r>
      <w:r>
        <w:rPr>
          <w:rStyle w:val="1001"/>
        </w:rPr>
      </w:r>
    </w:p>
    <w:p>
      <w:pPr>
        <w:pStyle w:val="986"/>
        <w:pBdr/>
        <w:spacing/>
        <w:ind/>
        <w:rPr>
          <w:rStyle w:val="1001"/>
        </w:rPr>
      </w:pPr>
      <w:r>
        <w:rPr>
          <w:rStyle w:val="1001"/>
        </w:rPr>
        <w:t xml:space="preserve">Data have to be shared as soon as possible, but at the latest at the time of publication of the respective scientific output.</w:t>
      </w:r>
      <w:r>
        <w:rPr>
          <w:rStyle w:val="1001"/>
        </w:rPr>
      </w:r>
      <w:r>
        <w:rPr>
          <w:rStyle w:val="1001"/>
        </w:rPr>
      </w:r>
    </w:p>
    <w:p>
      <w:pPr>
        <w:pStyle w:val="986"/>
        <w:pBdr/>
        <w:spacing/>
        <w:ind/>
        <w:rPr>
          <w:rStyle w:val="1001"/>
        </w:rPr>
      </w:pPr>
      <w:r>
        <w:rPr>
          <w:rStyle w:val="1001"/>
        </w:rPr>
        <w:t xml:space="preserve">Restrictions may be only due to legal, ethical, copyright, confidentiality or other clauses.</w:t>
      </w:r>
      <w:r>
        <w:rPr>
          <w:rStyle w:val="1001"/>
        </w:rPr>
      </w:r>
      <w:r>
        <w:rPr>
          <w:rStyle w:val="1001"/>
        </w:rPr>
      </w:r>
    </w:p>
    <w:p>
      <w:pPr>
        <w:pStyle w:val="986"/>
        <w:pBdr/>
        <w:spacing/>
        <w:ind/>
        <w:rPr>
          <w:rStyle w:val="1001"/>
        </w:rPr>
      </w:pPr>
      <w:r>
        <w:rPr>
          <w:rStyle w:val="1001"/>
        </w:rPr>
        <w:t xml:space="preserve">Consider whether a non-disclosure agreement would give sufficient protection for confidential data.</w:t>
      </w:r>
      <w:r>
        <w:rPr>
          <w:rStyle w:val="1001"/>
        </w:rPr>
      </w:r>
      <w:r>
        <w:rPr>
          <w:rStyle w:val="1001"/>
        </w:rPr>
      </w:r>
    </w:p>
    <w:p>
      <w:pPr>
        <w:pStyle w:val="986"/>
        <w:pBdr/>
        <w:spacing/>
        <w:ind/>
        <w:rPr>
          <w:rStyle w:val="1001"/>
          <w:highlight w:val="none"/>
        </w:rPr>
      </w:pPr>
      <w:r>
        <w:rPr>
          <w:rStyle w:val="1001"/>
        </w:rPr>
        <w:t xml:space="preserve">(This relates to the </w:t>
      </w:r>
      <w:hyperlink r:id="rId20" w:tooltip="https://www.go-fair.org/fair-principles/" w:history="1">
        <w:r>
          <w:rPr>
            <w:rStyle w:val="999"/>
          </w:rPr>
          <w:t xml:space="preserve">FAIR Data Principles A1 &amp; R1.1</w:t>
        </w:r>
      </w:hyperlink>
      <w:r>
        <w:rPr>
          <w:rStyle w:val="1001"/>
        </w:rPr>
        <w:t xml:space="preserve">)</w:t>
      </w:r>
      <w:r>
        <w:rPr>
          <w:rStyle w:val="1001"/>
          <w:highlight w:val="none"/>
        </w:rPr>
      </w:r>
      <w:r>
        <w:rPr>
          <w:rStyle w:val="1001"/>
          <w:highlight w:val="none"/>
        </w:rPr>
      </w:r>
    </w:p>
    <w:p w14:paraId="368FFE92">
      <w:pPr>
        <w:pStyle w:val="986"/>
        <w:pBdr/>
        <w:spacing/>
        <w:ind/>
        <w:rPr/>
      </w:pPr>
      <w:r/>
      <w:r/>
    </w:p>
    <w:p w14:paraId="093611B9">
      <w:pPr>
        <w:pStyle w:val="986"/>
        <w:pBdr/>
        <w:spacing/>
        <w:ind/>
        <w:rPr>
          <w:rStyle w:val="1001"/>
          <w:bCs/>
          <w:i/>
          <w:highlight w:val="none"/>
        </w:rPr>
      </w:pPr>
      <w:r>
        <w:rPr>
          <w:rStyle w:val="1001"/>
          <w:i/>
          <w:iCs/>
        </w:rPr>
        <w:t xml:space="preserve">RTG-specific guidance:</w:t>
      </w:r>
      <w:r>
        <w:rPr>
          <w:rStyle w:val="1001"/>
          <w:bCs/>
          <w:i/>
          <w:highlight w:val="none"/>
        </w:rPr>
      </w:r>
      <w:r>
        <w:rPr>
          <w:rStyle w:val="1001"/>
          <w:bCs/>
          <w:i/>
          <w:highlight w:val="none"/>
        </w:rPr>
      </w:r>
    </w:p>
    <w:p w14:paraId="1642B33B">
      <w:pPr>
        <w:pStyle w:val="986"/>
        <w:numPr>
          <w:ilvl w:val="0"/>
          <w:numId w:val="25"/>
        </w:numPr>
        <w:pBdr/>
        <w:spacing/>
        <w:ind/>
        <w:rPr>
          <w:rStyle w:val="1001"/>
          <w:bCs/>
          <w:i/>
          <w:highlight w:val="none"/>
        </w:rPr>
      </w:pPr>
      <w:r>
        <w:rPr>
          <w:rStyle w:val="1001"/>
          <w:i/>
          <w:iCs/>
          <w:highlight w:val="none"/>
        </w:rPr>
        <w:t xml:space="preserve">Access t</w:t>
      </w:r>
      <w:r>
        <w:rPr>
          <w:rStyle w:val="1001"/>
          <w:i/>
          <w:iCs/>
          <w:highlight w:val="none"/>
        </w:rPr>
        <w:t xml:space="preserve">o data may be regulated through structured data access requests based on project proposals and reviewed by an </w:t>
      </w:r>
      <w:commentRangeStart w:id="1"/>
      <w:r>
        <w:rPr>
          <w:rStyle w:val="1001"/>
          <w:i/>
          <w:iCs/>
          <w:highlight w:val="none"/>
        </w:rPr>
        <w:t xml:space="preserve">access committee</w:t>
      </w:r>
      <w:commentRangeEnd w:id="1"/>
      <w:r>
        <w:commentReference w:id="1"/>
      </w:r>
      <w:r>
        <w:rPr>
          <w:rStyle w:val="1001"/>
          <w:i/>
          <w:iCs/>
          <w:highlight w:val="none"/>
        </w:rPr>
        <w:t xml:space="preserve">, ensuring controlled but transparent reuse of sensitive datasets.</w:t>
      </w:r>
      <w:r>
        <w:rPr>
          <w:rStyle w:val="1001"/>
          <w:bCs/>
          <w:i/>
          <w:highlight w:val="none"/>
        </w:rPr>
      </w:r>
      <w:r>
        <w:rPr>
          <w:rStyle w:val="1001"/>
          <w:bCs/>
          <w:i/>
          <w:highlight w:val="none"/>
        </w:rPr>
      </w:r>
    </w:p>
    <w:p w14:paraId="5AFCAAB2">
      <w:pPr>
        <w:pStyle w:val="986"/>
        <w:pBdr/>
        <w:spacing/>
        <w:ind/>
        <w:rPr>
          <w:highlight w:val="none"/>
          <w14:ligatures w14:val="none"/>
        </w:rPr>
      </w:pPr>
      <w:r>
        <w:rPr>
          <w:rStyle w:val="1001"/>
          <w:bCs/>
          <w:i/>
          <w:highlight w:val="none"/>
        </w:rPr>
      </w:r>
      <w:r>
        <w:rPr>
          <w:highlight w:val="none"/>
          <w14:ligatures w14:val="none"/>
        </w:rPr>
      </w:r>
      <w:r>
        <w:rPr>
          <w:highlight w:val="none"/>
          <w14:ligatures w14:val="none"/>
        </w:rPr>
      </w:r>
    </w:p>
    <w:p>
      <w:pPr>
        <w:pStyle w:val="988"/>
        <w:pBdr/>
        <w:spacing/>
        <w:ind/>
        <w:rPr/>
      </w:pPr>
      <w:r>
        <w:t xml:space="preserve">4.3 Repositories</w:t>
      </w:r>
      <w:r/>
    </w:p>
    <w:p>
      <w:pPr>
        <w:pStyle w:val="986"/>
        <w:pBdr/>
        <w:spacing/>
        <w:ind/>
        <w:rPr>
          <w:rStyle w:val="1001"/>
        </w:rPr>
      </w:pPr>
      <w:r>
        <w:rPr>
          <w:rStyle w:val="1001"/>
        </w:rPr>
        <w:t xml:space="preserve">What repository are you going to use for publication of the data sets?</w:t>
      </w:r>
      <w:r>
        <w:rPr>
          <w:rStyle w:val="1001"/>
        </w:rPr>
      </w:r>
      <w:r>
        <w:rPr>
          <w:rStyle w:val="1001"/>
        </w:rPr>
      </w:r>
    </w:p>
    <w:p>
      <w:pPr>
        <w:pStyle w:val="986"/>
        <w:pBdr/>
        <w:spacing/>
        <w:ind/>
        <w:rPr>
          <w:rStyle w:val="1001"/>
        </w:rPr>
      </w:pPr>
      <w:r>
        <w:rPr>
          <w:rStyle w:val="1001"/>
        </w:rPr>
        <w:t xml:space="preserve">Questions you might want to consider:</w:t>
      </w:r>
      <w:r>
        <w:rPr>
          <w:rStyle w:val="1001"/>
        </w:rPr>
      </w:r>
      <w:r>
        <w:rPr>
          <w:rStyle w:val="1001"/>
        </w:rPr>
      </w:r>
    </w:p>
    <w:p>
      <w:pPr>
        <w:pStyle w:val="1012"/>
        <w:numPr>
          <w:ilvl w:val="0"/>
          <w:numId w:val="11"/>
        </w:numPr>
        <w:pBdr/>
        <w:spacing/>
        <w:ind/>
        <w:rPr>
          <w:i/>
          <w:iCs/>
          <w:color w:val="808080" w:themeColor="text1" w:themeTint="7F"/>
        </w:rPr>
      </w:pPr>
      <w:r>
        <w:rPr>
          <w:rStyle w:val="1001"/>
        </w:rPr>
        <w:t xml:space="preserve">Are the digital repositories conform to the FAIR Data Principles? </w:t>
      </w:r>
      <w:r>
        <w:rPr>
          <w:i/>
          <w:iCs/>
          <w:color w:val="808080" w:themeColor="text1" w:themeTint="7F"/>
        </w:rPr>
      </w:r>
      <w:r>
        <w:rPr>
          <w:i/>
          <w:iCs/>
          <w:color w:val="808080" w:themeColor="text1" w:themeTint="7F"/>
        </w:rPr>
      </w:r>
    </w:p>
    <w:p>
      <w:pPr>
        <w:pStyle w:val="1012"/>
        <w:numPr>
          <w:ilvl w:val="0"/>
          <w:numId w:val="11"/>
        </w:numPr>
        <w:pBdr/>
        <w:spacing/>
        <w:ind/>
        <w:rPr>
          <w:rStyle w:val="1001"/>
        </w:rPr>
      </w:pPr>
      <w:r>
        <w:rPr>
          <w:rStyle w:val="1001"/>
        </w:rPr>
        <w:t xml:space="preserve">Are they maintained by a non-profit organisation?</w:t>
      </w:r>
      <w:r>
        <w:rPr>
          <w:rStyle w:val="1001"/>
        </w:rPr>
      </w:r>
      <w:r>
        <w:rPr>
          <w:rStyle w:val="1001"/>
        </w:rPr>
      </w:r>
    </w:p>
    <w:p w14:paraId="206CA263">
      <w:pPr>
        <w:pStyle w:val="986"/>
        <w:pBdr/>
        <w:spacing/>
        <w:ind/>
        <w:rPr>
          <w:rStyle w:val="1001"/>
          <w:bCs/>
          <w:i/>
          <w:highlight w:val="none"/>
        </w:rPr>
      </w:pPr>
      <w:r>
        <w:rPr>
          <w:rStyle w:val="1001"/>
          <w:i/>
          <w:iCs/>
        </w:rPr>
        <w:t xml:space="preserve">RTG-specific guidance:</w:t>
      </w:r>
      <w:r>
        <w:rPr>
          <w:rStyle w:val="1001"/>
          <w:bCs/>
          <w:i/>
          <w:highlight w:val="none"/>
        </w:rPr>
      </w:r>
      <w:r>
        <w:rPr>
          <w:rStyle w:val="1001"/>
          <w:bCs/>
          <w:i/>
          <w:highlight w:val="none"/>
        </w:rPr>
      </w:r>
    </w:p>
    <w:p w14:paraId="0C8E5334">
      <w:pPr>
        <w:pStyle w:val="1012"/>
        <w:numPr>
          <w:ilvl w:val="0"/>
          <w:numId w:val="26"/>
        </w:numPr>
        <w:pBdr/>
        <w:spacing/>
        <w:ind/>
        <w:rPr>
          <w:rStyle w:val="1001"/>
          <w:highlight w:val="none"/>
        </w:rPr>
      </w:pPr>
      <w:r>
        <w:rPr>
          <w:rStyle w:val="1001"/>
          <w:highlight w:val="none"/>
        </w:rPr>
        <w:t xml:space="preserve">Suitable repositories include, where appropriate:</w:t>
      </w:r>
      <w:r>
        <w:rPr>
          <w:rStyle w:val="1001"/>
          <w:highlight w:val="none"/>
        </w:rPr>
      </w:r>
      <w:r>
        <w:rPr>
          <w:rStyle w:val="1001"/>
          <w:highlight w:val="none"/>
        </w:rPr>
      </w:r>
    </w:p>
    <w:p w14:paraId="14360853">
      <w:pPr>
        <w:pStyle w:val="1012"/>
        <w:numPr>
          <w:ilvl w:val="1"/>
          <w:numId w:val="26"/>
        </w:numPr>
        <w:pBdr/>
        <w:spacing/>
        <w:ind/>
        <w:rPr>
          <w:rStyle w:val="1001"/>
          <w:bCs/>
          <w:i/>
          <w:highlight w:val="none"/>
        </w:rPr>
      </w:pPr>
      <w:r>
        <w:rPr>
          <w:rStyle w:val="1001"/>
          <w:i/>
          <w:iCs/>
          <w:highlight w:val="none"/>
        </w:rPr>
      </w:r>
      <w:r>
        <w:rPr>
          <w:rStyle w:val="1001"/>
          <w:i/>
          <w:iCs/>
          <w:highlight w:val="none"/>
        </w:rPr>
      </w:r>
      <w:hyperlink r:id="rId21" w:tooltip="https://clinicaltrials.gov/" w:history="1">
        <w:r>
          <w:rPr>
            <w:rStyle w:val="999"/>
            <w:i/>
            <w:iCs/>
            <w:highlight w:val="none"/>
          </w:rPr>
          <w:t xml:space="preserve">ClinicalTrials.gov</w:t>
        </w:r>
        <w:r>
          <w:rPr>
            <w:rStyle w:val="999"/>
            <w:i/>
            <w:iCs/>
            <w:highlight w:val="none"/>
          </w:rPr>
        </w:r>
        <w:r>
          <w:rPr>
            <w:rStyle w:val="999"/>
            <w:i/>
            <w:iCs/>
            <w:highlight w:val="none"/>
          </w:rPr>
        </w:r>
      </w:hyperlink>
      <w:r>
        <w:rPr>
          <w:rStyle w:val="1001"/>
          <w:bCs/>
          <w:i/>
          <w:highlight w:val="none"/>
        </w:rPr>
      </w:r>
      <w:r>
        <w:rPr>
          <w:rStyle w:val="1001"/>
          <w:bCs/>
          <w:i/>
          <w:highlight w:val="none"/>
        </w:rPr>
      </w:r>
    </w:p>
    <w:p w14:paraId="1F9AA5E2">
      <w:pPr>
        <w:pStyle w:val="1012"/>
        <w:numPr>
          <w:ilvl w:val="1"/>
          <w:numId w:val="26"/>
        </w:numPr>
        <w:pBdr/>
        <w:spacing/>
        <w:ind/>
        <w:rPr>
          <w:rStyle w:val="1001"/>
          <w:highlight w:val="none"/>
        </w:rPr>
      </w:pPr>
      <w:r>
        <w:rPr>
          <w:rStyle w:val="1001"/>
          <w:i/>
          <w:iCs/>
          <w:highlight w:val="none"/>
        </w:rPr>
      </w:r>
      <w:r>
        <w:rPr>
          <w:rStyle w:val="1001"/>
          <w:i/>
          <w:iCs/>
          <w:highlight w:val="none"/>
        </w:rPr>
      </w:r>
      <w:hyperlink r:id="rId22" w:tooltip="https://opendata.uni-kiel.de" w:history="1">
        <w:r>
          <w:rPr>
            <w:rStyle w:val="999"/>
            <w:i/>
            <w:iCs/>
            <w:highlight w:val="none"/>
          </w:rPr>
          <w:t xml:space="preserve">Kiel University Open Data Repository (opendata.uni-kiel.de)</w:t>
        </w:r>
        <w:r>
          <w:rPr>
            <w:rStyle w:val="999"/>
            <w:i/>
            <w:iCs/>
            <w:highlight w:val="none"/>
          </w:rPr>
        </w:r>
      </w:hyperlink>
      <w:r>
        <w:rPr>
          <w:rStyle w:val="1001"/>
          <w:highlight w:val="none"/>
        </w:rPr>
      </w:r>
      <w:r>
        <w:rPr>
          <w:rStyle w:val="1001"/>
          <w:highlight w:val="none"/>
        </w:rPr>
      </w:r>
    </w:p>
    <w:p w14:paraId="59316178">
      <w:pPr>
        <w:pStyle w:val="1012"/>
        <w:numPr>
          <w:ilvl w:val="0"/>
          <w:numId w:val="26"/>
        </w:numPr>
        <w:pBdr/>
        <w:spacing/>
        <w:ind/>
        <w:rPr>
          <w:rStyle w:val="1001"/>
          <w:highlight w:val="none"/>
        </w:rPr>
      </w:pPr>
      <w:r>
        <w:rPr>
          <w:rStyle w:val="1001"/>
          <w:highlight w:val="none"/>
        </w:rPr>
      </w:r>
      <w:r>
        <w:rPr>
          <w:rStyle w:val="1001"/>
          <w:highlight w:val="none"/>
        </w:rPr>
        <w:t xml:space="preserve">Both repositories provide persistent identifiers (DOIs or registry identifiers such as NCT numbers) to ensure long-term citability and findability of the datasets.</w:t>
      </w:r>
      <w:r>
        <w:rPr>
          <w:rStyle w:val="1001"/>
          <w:highlight w:val="none"/>
        </w:rPr>
      </w:r>
      <w:r>
        <w:rPr>
          <w:rStyle w:val="1001"/>
          <w:highlight w:val="none"/>
        </w:rPr>
      </w:r>
    </w:p>
    <w:p w14:paraId="5E42CA06">
      <w:pPr>
        <w:pBdr/>
        <w:spacing/>
        <w:ind/>
        <w:rPr>
          <w:highlight w:val="none"/>
          <w14:ligatures w14:val="none"/>
        </w:rPr>
      </w:pPr>
      <w:r>
        <w:rPr>
          <w:rStyle w:val="1001"/>
          <w:highlight w:val="none"/>
        </w:rPr>
      </w:r>
      <w:r>
        <w:rPr>
          <w:highlight w:val="none"/>
          <w14:ligatures w14:val="none"/>
        </w:rPr>
      </w:r>
      <w:r>
        <w:rPr>
          <w:highlight w:val="none"/>
          <w14:ligatures w14:val="none"/>
        </w:rPr>
      </w:r>
    </w:p>
    <w:sectPr>
      <w:headerReference w:type="default" r:id="rId9"/>
      <w:footerReference w:type="default" r:id="rId10"/>
      <w:footnotePr/>
      <w:endnotePr/>
      <w:type w:val="nextPage"/>
      <w:pgSz w:h="16838" w:orient="portrait" w:w="11906"/>
      <w:pgMar w:top="1417" w:right="1417" w:bottom="1417" w:left="1417" w:header="680" w:footer="397" w:gutter="0"/>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etersen, Thorge (szrzs297)" w:date="2026-06-02T17:04:12Z" w:initials="PT(">
    <w:p w14:paraId="00000001" w14:textId="00000001">
      <w:pPr>
        <w:spacing w:line="240" w:after="0" w:lineRule="auto" w:before="0"/>
        <w:ind w:firstLine="0" w:left="0" w:right="0"/>
        <w:jc w:val="left"/>
      </w:pPr>
      <w:r>
        <w:rPr>
          <w:rFonts w:eastAsia="Arial" w:ascii="Arial" w:hAnsi="Arial" w:cs="Arial"/>
          <w:sz w:val="22"/>
        </w:rPr>
        <w:t xml:space="preserve">What are the criteria for approval/rejection?</w:t>
      </w:r>
    </w:p>
  </w:comment>
  <w:comment w:id="0" w:author="Petersen, Thorge (szrzs297)" w:date="2026-06-02T17:08:53Z" w:initials="PT(">
    <w:p w14:paraId="00000002" w14:textId="00000002">
      <w:pPr>
        <w:spacing w:line="240" w:after="0" w:lineRule="auto" w:before="0"/>
        <w:ind w:firstLine="0" w:left="0" w:right="0"/>
        <w:jc w:val="left"/>
      </w:pPr>
      <w:r>
        <w:rPr>
          <w:rFonts w:eastAsia="Arial" w:ascii="Arial" w:hAnsi="Arial" w:cs="Arial"/>
          <w:sz w:val="22"/>
        </w:rPr>
        <w:t xml:space="preserve">Consider to add a section on roles &amp; responsibilities.</w:t>
      </w:r>
    </w:p>
    <w:p w14:paraId="00000003" w14:textId="00000003">
      <w:pPr>
        <w:spacing w:line="240" w:after="0" w:lineRule="auto" w:before="0"/>
        <w:ind w:firstLine="0" w:left="0" w:right="0"/>
        <w:jc w:val="left"/>
      </w:pPr>
      <w:r>
        <w:rPr>
          <w:rFonts w:eastAsia="Arial" w:ascii="Arial" w:hAnsi="Arial" w:cs="Arial"/>
          <w:sz w:val="22"/>
        </w:rPr>
        <w:t xml:space="preserve"/>
      </w:r>
    </w:p>
    <w:p w14:paraId="00000004" w14:textId="00000004">
      <w:pPr>
        <w:spacing w:line="240" w:after="0" w:lineRule="auto" w:before="0"/>
        <w:ind w:firstLine="0" w:left="0" w:right="0"/>
        <w:jc w:val="left"/>
      </w:pPr>
      <w:r>
        <w:rPr>
          <w:rFonts w:eastAsia="Arial" w:ascii="Arial" w:hAnsi="Arial" w:cs="Arial"/>
          <w:sz w:val="22"/>
        </w:rPr>
        <w:t xml:space="preserve">DFG might expect clarity on:</w:t>
      </w:r>
    </w:p>
    <w:p w14:paraId="00000005" w14:textId="00000005">
      <w:pPr>
        <w:spacing w:line="240" w:after="0" w:lineRule="auto" w:before="0"/>
        <w:ind w:firstLine="0" w:left="0" w:right="0"/>
        <w:jc w:val="left"/>
      </w:pPr>
      <w:r>
        <w:rPr>
          <w:rFonts w:eastAsia="Arial" w:ascii="Arial" w:hAnsi="Arial" w:cs="Arial"/>
          <w:sz w:val="22"/>
        </w:rPr>
        <w:t xml:space="preserve"/>
      </w:r>
    </w:p>
    <w:p w14:paraId="00000006" w14:textId="00000006">
      <w:pPr>
        <w:spacing w:line="240" w:after="0" w:lineRule="auto" w:before="0"/>
        <w:ind w:firstLine="0" w:left="0" w:right="0"/>
        <w:jc w:val="left"/>
      </w:pPr>
      <w:r>
        <w:rPr>
          <w:rFonts w:eastAsia="Arial" w:ascii="Arial" w:hAnsi="Arial" w:cs="Arial"/>
          <w:sz w:val="22"/>
        </w:rPr>
        <w:t xml:space="preserve">- who is responsible for DMP implementation</w:t>
      </w:r>
    </w:p>
    <w:p w14:paraId="00000007" w14:textId="00000007">
      <w:pPr>
        <w:spacing w:line="240" w:after="0" w:lineRule="auto" w:before="0"/>
        <w:ind w:firstLine="0" w:left="0" w:right="0"/>
        <w:jc w:val="left"/>
      </w:pPr>
      <w:r>
        <w:rPr>
          <w:rFonts w:eastAsia="Arial" w:ascii="Arial" w:hAnsi="Arial" w:cs="Arial"/>
          <w:sz w:val="22"/>
        </w:rPr>
        <w:t xml:space="preserve">- who curates data</w:t>
      </w:r>
    </w:p>
    <w:p w14:paraId="00000008" w14:textId="00000008">
      <w:pPr>
        <w:spacing w:line="240" w:after="0" w:lineRule="auto" w:before="0"/>
        <w:ind w:firstLine="0" w:left="0" w:right="0"/>
        <w:jc w:val="left"/>
      </w:pPr>
      <w:r>
        <w:rPr>
          <w:rFonts w:eastAsia="Arial" w:ascii="Arial" w:hAnsi="Arial" w:cs="Arial"/>
          <w:sz w:val="22"/>
        </w:rPr>
        <w:t xml:space="preserve">- who ensures sharing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61BB3C4" w16cex:dateUtc="2026-06-02T15:04:12Z"/>
  <w16cex:commentExtensible w16cex:durableId="667E74B9" w16cex:dateUtc="2026-06-02T15:08:5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61BB3C4"/>
  <w16cid:commentId w16cid:paraId="00000008" w16cid:durableId="667E74B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Lohit Devanagari">
    <w:panose1 w:val="020B0600000000000000"/>
  </w:font>
  <w:font w:name="Wingdings">
    <w:panose1 w:val="05010000000000000000"/>
  </w:font>
  <w:font w:name="Liberation Sans">
    <w:panose1 w:val="020B0604020202020204"/>
  </w:font>
  <w:font w:name="Noto Sans CJK SC">
    <w:panose1 w:val="020B0603030804020204"/>
  </w:font>
  <w:font w:name="游ゴシック Light">
    <w:panose1 w:val="020B0603030804020204"/>
  </w:font>
  <w:font w:name="游明朝">
    <w:panose1 w:val="020B060303080402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20115223"/>
      <w:docPartObj>
        <w:docPartGallery w:val="Page Numbers (Bottom of Page)"/>
        <w:docPartUnique w:val="true"/>
      </w:docPartObj>
      <w:rPr/>
    </w:sdtPr>
    <w:sdtContent>
      <w:p>
        <w:pPr>
          <w:pStyle w:val="1011"/>
          <w:pBdr/>
          <w:spacing/>
          <w:ind/>
          <w:jc w:val="right"/>
          <w:rPr/>
        </w:pPr>
        <w:r>
          <w:fldChar w:fldCharType="begin"/>
        </w:r>
        <w:r>
          <w:instrText xml:space="preserve"> PAGE </w:instrText>
        </w:r>
        <w:r>
          <w:fldChar w:fldCharType="separate"/>
        </w:r>
        <w:r>
          <w:t xml:space="preserve">6</w:t>
        </w:r>
        <w:r>
          <w:fldChar w:fldCharType="end"/>
        </w:r>
        <w:r/>
      </w:p>
    </w:sdtContent>
  </w:sdt>
  <w:p>
    <w:pPr>
      <w:pStyle w:val="1011"/>
      <w:pBdr/>
      <w:spacing/>
      <w:ind/>
      <w:rPr>
        <w:rFonts w:cs="Arial"/>
        <w:sz w:val="22"/>
      </w:rPr>
    </w:pPr>
    <w:r>
      <w:rPr>
        <w:rFonts w:cs="Arial"/>
        <w:sz w:val="22"/>
      </w:rPr>
    </w:r>
    <w:r>
      <w:rPr>
        <w:rFonts w:cs="Arial"/>
        <w:sz w:val="22"/>
      </w:rPr>
    </w:r>
    <w:r>
      <w:rPr>
        <w:rFonts w:cs="Arial"/>
        <w:sz w:val="2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70AC8BB2">
      <w:pPr>
        <w:pStyle w:val="967"/>
        <w:pBdr/>
        <w:spacing/>
        <w:ind/>
        <w:rPr/>
      </w:pPr>
      <w:r>
        <w:rPr>
          <w:rStyle w:val="969"/>
        </w:rPr>
        <w:footnoteRef/>
      </w:r>
      <w:r>
        <w:t xml:space="preserve"> </w:t>
      </w:r>
      <w:r>
        <w:t xml:space="preserve">RTG 3128: Diversification for Food Systems Resilience. Project number (DFG): 544530435.</w:t>
      </w: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0"/>
      <w:pBdr/>
      <w:spacing/>
      <w:ind/>
      <w:jc w:val="right"/>
      <w:rPr/>
    </w:pPr>
    <w:r>
      <w:rPr>
        <w:lang w:val="fr-CH" w:eastAsia="fr-CH"/>
      </w:rPr>
      <mc:AlternateContent>
        <mc:Choice Requires="wpg">
          <w:drawing>
            <wp:anchor xmlns:wp="http://schemas.openxmlformats.org/drawingml/2006/wordprocessingDrawing" xmlns:wp14="http://schemas.microsoft.com/office/word/2010/wordprocessingDrawing" distT="0" distB="0" distL="114300" distR="114300" simplePos="0" relativeHeight="8" behindDoc="1" locked="0" layoutInCell="0" allowOverlap="1">
              <wp:simplePos x="0" y="0"/>
              <wp:positionH relativeFrom="margin">
                <wp:posOffset>4140835</wp:posOffset>
              </wp:positionH>
              <wp:positionV relativeFrom="margin">
                <wp:posOffset>-615950</wp:posOffset>
              </wp:positionV>
              <wp:extent cx="1616075" cy="539750"/>
              <wp:effectExtent l="0" t="0" r="0" b="0"/>
              <wp:wrapSquare wrapText="bothSides"/>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1616075" cy="5397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8;o:allowoverlap:true;o:allowincell:false;mso-position-horizontal-relative:margin;margin-left:326.05pt;mso-position-horizontal:absolute;mso-position-vertical-relative:margin;margin-top:-48.50pt;mso-position-vertical:absolute;width:127.25pt;height:42.50pt;mso-wrap-distance-left:9.00pt;mso-wrap-distance-top:0.00pt;mso-wrap-distance-right:9.00pt;mso-wrap-distance-bottom:0.00pt;z-index:1;" stroked="false">
              <w10:wrap type="square"/>
              <v:imagedata r:id="rId1" o:title=""/>
              <o:lock v:ext="edit" rotation="t"/>
            </v:shape>
          </w:pict>
        </mc:Fallback>
      </mc:AlternateContent>
      <w:t xml:space="preserve">  </w:t>
    </w:r>
    <w:r>
      <w:rPr>
        <w:lang w:val="fr-CH" w:eastAsia="fr-CH"/>
      </w:rPr>
      <mc:AlternateContent>
        <mc:Choice Requires="wpg">
          <w:drawing>
            <wp:anchor xmlns:wp="http://schemas.openxmlformats.org/drawingml/2006/wordprocessingDrawing" xmlns:wp14="http://schemas.microsoft.com/office/word/2010/wordprocessingDrawing" distT="0" distB="0" distL="0" distR="0" simplePos="0" relativeHeight="14" behindDoc="0" locked="0" layoutInCell="0" allowOverlap="1">
              <wp:simplePos x="0" y="0"/>
              <wp:positionH relativeFrom="column">
                <wp:posOffset>3298825</wp:posOffset>
              </wp:positionH>
              <wp:positionV relativeFrom="paragraph">
                <wp:posOffset>-147955</wp:posOffset>
              </wp:positionV>
              <wp:extent cx="739775" cy="527685"/>
              <wp:effectExtent l="0" t="0" r="0" b="0"/>
              <wp:wrapSquare wrapText="bothSides"/>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pic:cNvPicPr>
                      <pic:nvPr/>
                    </pic:nvPicPr>
                    <pic:blipFill rotWithShape="1">
                      <a:blip r:embed="rId3"/>
                      <a:stretch/>
                    </pic:blipFill>
                    <pic:spPr bwMode="auto">
                      <a:xfrm>
                        <a:off x="0" y="0"/>
                        <a:ext cx="739775" cy="5276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4;o:allowoverlap:true;o:allowincell:false;mso-position-horizontal-relative:text;margin-left:259.75pt;mso-position-horizontal:absolute;mso-position-vertical-relative:text;margin-top:-11.65pt;mso-position-vertical:absolute;width:58.25pt;height:41.55pt;mso-wrap-distance-left:0.00pt;mso-wrap-distance-top:0.00pt;mso-wrap-distance-right:0.00pt;mso-wrap-distance-bottom:0.00pt;z-index:1;" stroked="false">
              <w10:wrap type="square"/>
              <v:imagedata r:id="rId3" o:title=""/>
              <o:lock v:ext="edit" rotation="t"/>
            </v:shape>
          </w:pict>
        </mc:Fallback>
      </mc:AlternateContent>
    </w:r>
    <w:r>
      <w:rPr>
        <w:lang w:val="fr-CH" w:eastAsia="fr-CH"/>
      </w:rPr>
      <w:tab/>
      <w:tab/>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4">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7">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8">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9">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0">
    <w:lvl w:ilvl="0">
      <w:isLgl w:val="false"/>
      <w:lvlJc w:val="left"/>
      <w:lvlText w:val=""/>
      <w:numFmt w:val="bullet"/>
      <w:pPr>
        <w:pBdr/>
        <w:tabs>
          <w:tab w:val="num" w:leader="none" w:pos="0"/>
        </w:tabs>
        <w:spacing/>
        <w:ind w:hanging="360" w:left="720"/>
      </w:pPr>
      <w:rPr>
        <w:rFonts w:hint="default" w:ascii="Wingdings" w:hAnsi="Wingdings" w:cs="Wingdings"/>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2">
    <w:nsid w:val="138543C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19432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D8B43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0AECE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0482C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203759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C96F8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0016E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EB05A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5189EC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63ECA4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3ECA4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2E88BF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0A278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D8B43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877C1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etersen, Thorge (szrzs297)">
    <w15:presenceInfo w15:providerId="Teamlab" w15:userId="739253fcb2f9_szrzs2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ja-JP"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7">
    <w:name w:val="Table Grid"/>
    <w:basedOn w:val="10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Table Grid Light"/>
    <w:basedOn w:val="10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1"/>
    <w:basedOn w:val="10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2"/>
    <w:basedOn w:val="10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3"/>
    <w:basedOn w:val="10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4"/>
    <w:basedOn w:val="10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5"/>
    <w:basedOn w:val="10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w:basedOn w:val="10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1"/>
    <w:basedOn w:val="10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2"/>
    <w:basedOn w:val="10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3"/>
    <w:basedOn w:val="10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4"/>
    <w:basedOn w:val="10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5"/>
    <w:basedOn w:val="10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6"/>
    <w:basedOn w:val="10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w:basedOn w:val="10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1"/>
    <w:basedOn w:val="10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2"/>
    <w:basedOn w:val="10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3"/>
    <w:basedOn w:val="10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4"/>
    <w:basedOn w:val="10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5"/>
    <w:basedOn w:val="10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6"/>
    <w:basedOn w:val="10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w:basedOn w:val="10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1"/>
    <w:basedOn w:val="10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2"/>
    <w:basedOn w:val="10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3"/>
    <w:basedOn w:val="10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4"/>
    <w:basedOn w:val="10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5"/>
    <w:basedOn w:val="10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6"/>
    <w:basedOn w:val="10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w:basedOn w:val="10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1"/>
    <w:basedOn w:val="10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2"/>
    <w:basedOn w:val="10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3"/>
    <w:basedOn w:val="10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4"/>
    <w:basedOn w:val="10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5"/>
    <w:basedOn w:val="10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6"/>
    <w:basedOn w:val="10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w:basedOn w:val="10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1"/>
    <w:basedOn w:val="10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2"/>
    <w:basedOn w:val="10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3"/>
    <w:basedOn w:val="10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4"/>
    <w:basedOn w:val="10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 Accent 5"/>
    <w:basedOn w:val="10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6"/>
    <w:basedOn w:val="10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w:basedOn w:val="10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0">
    <w:name w:val="Grid Table 6 Colorful - Accent 1"/>
    <w:basedOn w:val="10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1">
    <w:name w:val="Grid Table 6 Colorful - Accent 2"/>
    <w:basedOn w:val="10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2">
    <w:name w:val="Grid Table 6 Colorful - Accent 3"/>
    <w:basedOn w:val="10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3">
    <w:name w:val="Grid Table 6 Colorful - Accent 4"/>
    <w:basedOn w:val="10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4">
    <w:name w:val="Grid Table 6 Colorful - Accent 5"/>
    <w:basedOn w:val="10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5">
    <w:name w:val="Grid Table 6 Colorful - Accent 6"/>
    <w:basedOn w:val="10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6">
    <w:name w:val="Grid Table 7 Colorful"/>
    <w:basedOn w:val="10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1"/>
    <w:basedOn w:val="10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2"/>
    <w:basedOn w:val="10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3"/>
    <w:basedOn w:val="10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4"/>
    <w:basedOn w:val="10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5"/>
    <w:basedOn w:val="10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6"/>
    <w:basedOn w:val="10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w:basedOn w:val="10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1"/>
    <w:basedOn w:val="10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2"/>
    <w:basedOn w:val="10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3"/>
    <w:basedOn w:val="10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4"/>
    <w:basedOn w:val="10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5"/>
    <w:basedOn w:val="10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6"/>
    <w:basedOn w:val="10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w:basedOn w:val="10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1"/>
    <w:basedOn w:val="10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2"/>
    <w:basedOn w:val="10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3"/>
    <w:basedOn w:val="10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4"/>
    <w:basedOn w:val="10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5"/>
    <w:basedOn w:val="10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6"/>
    <w:basedOn w:val="10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w:basedOn w:val="10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1"/>
    <w:basedOn w:val="10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2"/>
    <w:basedOn w:val="10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3"/>
    <w:basedOn w:val="10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4"/>
    <w:basedOn w:val="10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5"/>
    <w:basedOn w:val="10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6"/>
    <w:basedOn w:val="10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w:basedOn w:val="10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1"/>
    <w:basedOn w:val="10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2"/>
    <w:basedOn w:val="10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3"/>
    <w:basedOn w:val="10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4"/>
    <w:basedOn w:val="10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5"/>
    <w:basedOn w:val="10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6"/>
    <w:basedOn w:val="10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10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1"/>
    <w:basedOn w:val="10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2"/>
    <w:basedOn w:val="10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3"/>
    <w:basedOn w:val="10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4"/>
    <w:basedOn w:val="10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5"/>
    <w:basedOn w:val="10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6"/>
    <w:basedOn w:val="10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6 Colorful"/>
    <w:basedOn w:val="10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1"/>
    <w:basedOn w:val="10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2"/>
    <w:basedOn w:val="10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3"/>
    <w:basedOn w:val="10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4"/>
    <w:basedOn w:val="10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5"/>
    <w:basedOn w:val="10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6"/>
    <w:basedOn w:val="10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w:basedOn w:val="10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6">
    <w:name w:val="List Table 7 Colorful - Accent 1"/>
    <w:basedOn w:val="10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17">
    <w:name w:val="List Table 7 Colorful - Accent 2"/>
    <w:basedOn w:val="10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8">
    <w:name w:val="List Table 7 Colorful - Accent 3"/>
    <w:basedOn w:val="10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9">
    <w:name w:val="List Table 7 Colorful - Accent 4"/>
    <w:basedOn w:val="10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0">
    <w:name w:val="List Table 7 Colorful - Accent 5"/>
    <w:basedOn w:val="10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21">
    <w:name w:val="List Table 7 Colorful - Accent 6"/>
    <w:basedOn w:val="10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2">
    <w:name w:val="Lined - Accent"/>
    <w:basedOn w:val="10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1"/>
    <w:basedOn w:val="10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2"/>
    <w:basedOn w:val="10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3"/>
    <w:basedOn w:val="10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4"/>
    <w:basedOn w:val="10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5"/>
    <w:basedOn w:val="10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6"/>
    <w:basedOn w:val="10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w:basedOn w:val="10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1"/>
    <w:basedOn w:val="10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2"/>
    <w:basedOn w:val="10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3"/>
    <w:basedOn w:val="10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4"/>
    <w:basedOn w:val="10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5"/>
    <w:basedOn w:val="10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6"/>
    <w:basedOn w:val="10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w:basedOn w:val="10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1"/>
    <w:basedOn w:val="10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2"/>
    <w:basedOn w:val="10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3"/>
    <w:basedOn w:val="10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4"/>
    <w:basedOn w:val="10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5"/>
    <w:basedOn w:val="10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6"/>
    <w:basedOn w:val="10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name w:val="Heading 3"/>
    <w:basedOn w:val="986"/>
    <w:next w:val="986"/>
    <w:link w:val="95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44">
    <w:name w:val="Heading 4"/>
    <w:basedOn w:val="986"/>
    <w:next w:val="986"/>
    <w:link w:val="95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45">
    <w:name w:val="Heading 5"/>
    <w:basedOn w:val="986"/>
    <w:next w:val="986"/>
    <w:link w:val="95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6">
    <w:name w:val="Heading 6"/>
    <w:basedOn w:val="986"/>
    <w:next w:val="986"/>
    <w:link w:val="95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7">
    <w:name w:val="Heading 7"/>
    <w:basedOn w:val="986"/>
    <w:next w:val="986"/>
    <w:link w:val="9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8">
    <w:name w:val="Heading 8"/>
    <w:basedOn w:val="986"/>
    <w:next w:val="986"/>
    <w:link w:val="9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9">
    <w:name w:val="Heading 9"/>
    <w:basedOn w:val="986"/>
    <w:next w:val="986"/>
    <w:link w:val="9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0">
    <w:name w:val="Heading 3 Char"/>
    <w:basedOn w:val="989"/>
    <w:link w:val="943"/>
    <w:uiPriority w:val="9"/>
    <w:pPr>
      <w:pBdr/>
      <w:spacing/>
      <w:ind/>
    </w:pPr>
    <w:rPr>
      <w:rFonts w:ascii="Arial" w:hAnsi="Arial" w:eastAsia="Arial" w:cs="Arial"/>
      <w:color w:val="0f4761" w:themeColor="accent1" w:themeShade="BF"/>
      <w:sz w:val="28"/>
      <w:szCs w:val="28"/>
    </w:rPr>
  </w:style>
  <w:style w:type="character" w:styleId="951">
    <w:name w:val="Heading 4 Char"/>
    <w:basedOn w:val="989"/>
    <w:link w:val="944"/>
    <w:uiPriority w:val="9"/>
    <w:pPr>
      <w:pBdr/>
      <w:spacing/>
      <w:ind/>
    </w:pPr>
    <w:rPr>
      <w:rFonts w:ascii="Arial" w:hAnsi="Arial" w:eastAsia="Arial" w:cs="Arial"/>
      <w:i/>
      <w:iCs/>
      <w:color w:val="0f4761" w:themeColor="accent1" w:themeShade="BF"/>
    </w:rPr>
  </w:style>
  <w:style w:type="character" w:styleId="952">
    <w:name w:val="Heading 5 Char"/>
    <w:basedOn w:val="989"/>
    <w:link w:val="945"/>
    <w:uiPriority w:val="9"/>
    <w:pPr>
      <w:pBdr/>
      <w:spacing/>
      <w:ind/>
    </w:pPr>
    <w:rPr>
      <w:rFonts w:ascii="Arial" w:hAnsi="Arial" w:eastAsia="Arial" w:cs="Arial"/>
      <w:color w:val="0f4761" w:themeColor="accent1" w:themeShade="BF"/>
    </w:rPr>
  </w:style>
  <w:style w:type="character" w:styleId="953">
    <w:name w:val="Heading 6 Char"/>
    <w:basedOn w:val="989"/>
    <w:link w:val="946"/>
    <w:uiPriority w:val="9"/>
    <w:pPr>
      <w:pBdr/>
      <w:spacing/>
      <w:ind/>
    </w:pPr>
    <w:rPr>
      <w:rFonts w:ascii="Arial" w:hAnsi="Arial" w:eastAsia="Arial" w:cs="Arial"/>
      <w:i/>
      <w:iCs/>
      <w:color w:val="595959" w:themeColor="text1" w:themeTint="A6"/>
    </w:rPr>
  </w:style>
  <w:style w:type="character" w:styleId="954">
    <w:name w:val="Heading 7 Char"/>
    <w:basedOn w:val="989"/>
    <w:link w:val="947"/>
    <w:uiPriority w:val="9"/>
    <w:pPr>
      <w:pBdr/>
      <w:spacing/>
      <w:ind/>
    </w:pPr>
    <w:rPr>
      <w:rFonts w:ascii="Arial" w:hAnsi="Arial" w:eastAsia="Arial" w:cs="Arial"/>
      <w:color w:val="595959" w:themeColor="text1" w:themeTint="A6"/>
    </w:rPr>
  </w:style>
  <w:style w:type="character" w:styleId="955">
    <w:name w:val="Heading 8 Char"/>
    <w:basedOn w:val="989"/>
    <w:link w:val="948"/>
    <w:uiPriority w:val="9"/>
    <w:pPr>
      <w:pBdr/>
      <w:spacing/>
      <w:ind/>
    </w:pPr>
    <w:rPr>
      <w:rFonts w:ascii="Arial" w:hAnsi="Arial" w:eastAsia="Arial" w:cs="Arial"/>
      <w:i/>
      <w:iCs/>
      <w:color w:val="272727" w:themeColor="text1" w:themeTint="D8"/>
    </w:rPr>
  </w:style>
  <w:style w:type="character" w:styleId="956">
    <w:name w:val="Heading 9 Char"/>
    <w:basedOn w:val="989"/>
    <w:link w:val="949"/>
    <w:uiPriority w:val="9"/>
    <w:pPr>
      <w:pBdr/>
      <w:spacing/>
      <w:ind/>
    </w:pPr>
    <w:rPr>
      <w:rFonts w:ascii="Arial" w:hAnsi="Arial" w:eastAsia="Arial" w:cs="Arial"/>
      <w:i/>
      <w:iCs/>
      <w:color w:val="272727" w:themeColor="text1" w:themeTint="D8"/>
    </w:rPr>
  </w:style>
  <w:style w:type="paragraph" w:styleId="957">
    <w:name w:val="Quote"/>
    <w:basedOn w:val="986"/>
    <w:next w:val="986"/>
    <w:link w:val="958"/>
    <w:uiPriority w:val="29"/>
    <w:qFormat/>
    <w:pPr>
      <w:pBdr/>
      <w:spacing w:before="160"/>
      <w:ind/>
      <w:jc w:val="center"/>
    </w:pPr>
    <w:rPr>
      <w:i/>
      <w:iCs/>
      <w:color w:val="404040" w:themeColor="text1" w:themeTint="BF"/>
    </w:rPr>
  </w:style>
  <w:style w:type="character" w:styleId="958">
    <w:name w:val="Quote Char"/>
    <w:basedOn w:val="989"/>
    <w:link w:val="957"/>
    <w:uiPriority w:val="29"/>
    <w:pPr>
      <w:pBdr/>
      <w:spacing/>
      <w:ind/>
    </w:pPr>
    <w:rPr>
      <w:i/>
      <w:iCs/>
      <w:color w:val="404040" w:themeColor="text1" w:themeTint="BF"/>
    </w:rPr>
  </w:style>
  <w:style w:type="character" w:styleId="959">
    <w:name w:val="Intense Emphasis"/>
    <w:basedOn w:val="989"/>
    <w:uiPriority w:val="21"/>
    <w:qFormat/>
    <w:pPr>
      <w:pBdr/>
      <w:spacing/>
      <w:ind/>
    </w:pPr>
    <w:rPr>
      <w:i/>
      <w:iCs/>
      <w:color w:val="0f4761" w:themeColor="accent1" w:themeShade="BF"/>
    </w:rPr>
  </w:style>
  <w:style w:type="paragraph" w:styleId="960">
    <w:name w:val="Intense Quote"/>
    <w:basedOn w:val="986"/>
    <w:next w:val="986"/>
    <w:link w:val="9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1">
    <w:name w:val="Intense Quote Char"/>
    <w:basedOn w:val="989"/>
    <w:link w:val="960"/>
    <w:uiPriority w:val="30"/>
    <w:pPr>
      <w:pBdr/>
      <w:spacing/>
      <w:ind/>
    </w:pPr>
    <w:rPr>
      <w:i/>
      <w:iCs/>
      <w:color w:val="0f4761" w:themeColor="accent1" w:themeShade="BF"/>
    </w:rPr>
  </w:style>
  <w:style w:type="character" w:styleId="962">
    <w:name w:val="Intense Reference"/>
    <w:basedOn w:val="989"/>
    <w:uiPriority w:val="32"/>
    <w:qFormat/>
    <w:pPr>
      <w:pBdr/>
      <w:spacing/>
      <w:ind/>
    </w:pPr>
    <w:rPr>
      <w:b/>
      <w:bCs/>
      <w:smallCaps/>
      <w:color w:val="0f4761" w:themeColor="accent1" w:themeShade="BF"/>
      <w:spacing w:val="5"/>
    </w:rPr>
  </w:style>
  <w:style w:type="paragraph" w:styleId="963">
    <w:name w:val="No Spacing"/>
    <w:basedOn w:val="986"/>
    <w:uiPriority w:val="1"/>
    <w:qFormat/>
    <w:pPr>
      <w:pBdr/>
      <w:spacing w:after="0" w:line="240" w:lineRule="auto"/>
      <w:ind/>
    </w:pPr>
  </w:style>
  <w:style w:type="character" w:styleId="964">
    <w:name w:val="Strong"/>
    <w:basedOn w:val="989"/>
    <w:uiPriority w:val="22"/>
    <w:qFormat/>
    <w:pPr>
      <w:pBdr/>
      <w:spacing/>
      <w:ind/>
    </w:pPr>
    <w:rPr>
      <w:b/>
      <w:bCs/>
    </w:rPr>
  </w:style>
  <w:style w:type="character" w:styleId="965">
    <w:name w:val="Subtle Reference"/>
    <w:basedOn w:val="989"/>
    <w:uiPriority w:val="31"/>
    <w:qFormat/>
    <w:pPr>
      <w:pBdr/>
      <w:spacing/>
      <w:ind/>
    </w:pPr>
    <w:rPr>
      <w:smallCaps/>
      <w:color w:val="5a5a5a" w:themeColor="text1" w:themeTint="A5"/>
    </w:rPr>
  </w:style>
  <w:style w:type="character" w:styleId="966">
    <w:name w:val="Book Title"/>
    <w:basedOn w:val="989"/>
    <w:uiPriority w:val="33"/>
    <w:qFormat/>
    <w:pPr>
      <w:pBdr/>
      <w:spacing/>
      <w:ind/>
    </w:pPr>
    <w:rPr>
      <w:b/>
      <w:bCs/>
      <w:i/>
      <w:iCs/>
      <w:spacing w:val="5"/>
    </w:rPr>
  </w:style>
  <w:style w:type="paragraph" w:styleId="967">
    <w:name w:val="footnote text"/>
    <w:basedOn w:val="986"/>
    <w:link w:val="968"/>
    <w:uiPriority w:val="99"/>
    <w:semiHidden/>
    <w:unhideWhenUsed/>
    <w:pPr>
      <w:pBdr/>
      <w:spacing w:after="0" w:line="240" w:lineRule="auto"/>
      <w:ind/>
    </w:pPr>
    <w:rPr>
      <w:sz w:val="20"/>
      <w:szCs w:val="20"/>
    </w:rPr>
  </w:style>
  <w:style w:type="character" w:styleId="968">
    <w:name w:val="Footnote Text Char"/>
    <w:basedOn w:val="989"/>
    <w:link w:val="967"/>
    <w:uiPriority w:val="99"/>
    <w:semiHidden/>
    <w:pPr>
      <w:pBdr/>
      <w:spacing/>
      <w:ind/>
    </w:pPr>
    <w:rPr>
      <w:sz w:val="20"/>
      <w:szCs w:val="20"/>
    </w:rPr>
  </w:style>
  <w:style w:type="character" w:styleId="969">
    <w:name w:val="footnote reference"/>
    <w:basedOn w:val="989"/>
    <w:uiPriority w:val="99"/>
    <w:semiHidden/>
    <w:unhideWhenUsed/>
    <w:pPr>
      <w:pBdr/>
      <w:spacing/>
      <w:ind/>
    </w:pPr>
    <w:rPr>
      <w:vertAlign w:val="superscript"/>
    </w:rPr>
  </w:style>
  <w:style w:type="paragraph" w:styleId="970">
    <w:name w:val="endnote text"/>
    <w:basedOn w:val="986"/>
    <w:link w:val="971"/>
    <w:uiPriority w:val="99"/>
    <w:semiHidden/>
    <w:unhideWhenUsed/>
    <w:pPr>
      <w:pBdr/>
      <w:spacing w:after="0" w:line="240" w:lineRule="auto"/>
      <w:ind/>
    </w:pPr>
    <w:rPr>
      <w:sz w:val="20"/>
      <w:szCs w:val="20"/>
    </w:rPr>
  </w:style>
  <w:style w:type="character" w:styleId="971">
    <w:name w:val="Endnote Text Char"/>
    <w:basedOn w:val="989"/>
    <w:link w:val="970"/>
    <w:uiPriority w:val="99"/>
    <w:semiHidden/>
    <w:pPr>
      <w:pBdr/>
      <w:spacing/>
      <w:ind/>
    </w:pPr>
    <w:rPr>
      <w:sz w:val="20"/>
      <w:szCs w:val="20"/>
    </w:rPr>
  </w:style>
  <w:style w:type="character" w:styleId="972">
    <w:name w:val="endnote reference"/>
    <w:basedOn w:val="989"/>
    <w:uiPriority w:val="99"/>
    <w:semiHidden/>
    <w:unhideWhenUsed/>
    <w:pPr>
      <w:pBdr/>
      <w:spacing/>
      <w:ind/>
    </w:pPr>
    <w:rPr>
      <w:vertAlign w:val="superscript"/>
    </w:rPr>
  </w:style>
  <w:style w:type="character" w:styleId="973">
    <w:name w:val="FollowedHyperlink"/>
    <w:basedOn w:val="989"/>
    <w:uiPriority w:val="99"/>
    <w:semiHidden/>
    <w:unhideWhenUsed/>
    <w:pPr>
      <w:pBdr/>
      <w:spacing/>
      <w:ind/>
    </w:pPr>
    <w:rPr>
      <w:color w:val="954f72" w:themeColor="followedHyperlink"/>
      <w:u w:val="single"/>
    </w:rPr>
  </w:style>
  <w:style w:type="paragraph" w:styleId="974">
    <w:name w:val="toc 1"/>
    <w:basedOn w:val="986"/>
    <w:next w:val="986"/>
    <w:uiPriority w:val="39"/>
    <w:unhideWhenUsed/>
    <w:pPr>
      <w:pBdr/>
      <w:spacing w:after="100"/>
      <w:ind/>
    </w:pPr>
  </w:style>
  <w:style w:type="paragraph" w:styleId="975">
    <w:name w:val="toc 2"/>
    <w:basedOn w:val="986"/>
    <w:next w:val="986"/>
    <w:uiPriority w:val="39"/>
    <w:unhideWhenUsed/>
    <w:pPr>
      <w:pBdr/>
      <w:spacing w:after="100"/>
      <w:ind w:left="220"/>
    </w:pPr>
  </w:style>
  <w:style w:type="paragraph" w:styleId="976">
    <w:name w:val="toc 3"/>
    <w:basedOn w:val="986"/>
    <w:next w:val="986"/>
    <w:uiPriority w:val="39"/>
    <w:unhideWhenUsed/>
    <w:pPr>
      <w:pBdr/>
      <w:spacing w:after="100"/>
      <w:ind w:left="440"/>
    </w:pPr>
  </w:style>
  <w:style w:type="paragraph" w:styleId="977">
    <w:name w:val="toc 4"/>
    <w:basedOn w:val="986"/>
    <w:next w:val="986"/>
    <w:uiPriority w:val="39"/>
    <w:unhideWhenUsed/>
    <w:pPr>
      <w:pBdr/>
      <w:spacing w:after="100"/>
      <w:ind w:left="660"/>
    </w:pPr>
  </w:style>
  <w:style w:type="paragraph" w:styleId="978">
    <w:name w:val="toc 5"/>
    <w:basedOn w:val="986"/>
    <w:next w:val="986"/>
    <w:uiPriority w:val="39"/>
    <w:unhideWhenUsed/>
    <w:pPr>
      <w:pBdr/>
      <w:spacing w:after="100"/>
      <w:ind w:left="880"/>
    </w:pPr>
  </w:style>
  <w:style w:type="paragraph" w:styleId="979">
    <w:name w:val="toc 6"/>
    <w:basedOn w:val="986"/>
    <w:next w:val="986"/>
    <w:uiPriority w:val="39"/>
    <w:unhideWhenUsed/>
    <w:pPr>
      <w:pBdr/>
      <w:spacing w:after="100"/>
      <w:ind w:left="1100"/>
    </w:pPr>
  </w:style>
  <w:style w:type="paragraph" w:styleId="980">
    <w:name w:val="toc 7"/>
    <w:basedOn w:val="986"/>
    <w:next w:val="986"/>
    <w:uiPriority w:val="39"/>
    <w:unhideWhenUsed/>
    <w:pPr>
      <w:pBdr/>
      <w:spacing w:after="100"/>
      <w:ind w:left="1320"/>
    </w:pPr>
  </w:style>
  <w:style w:type="paragraph" w:styleId="981">
    <w:name w:val="toc 8"/>
    <w:basedOn w:val="986"/>
    <w:next w:val="986"/>
    <w:uiPriority w:val="39"/>
    <w:unhideWhenUsed/>
    <w:pPr>
      <w:pBdr/>
      <w:spacing w:after="100"/>
      <w:ind w:left="1540"/>
    </w:pPr>
  </w:style>
  <w:style w:type="paragraph" w:styleId="982">
    <w:name w:val="toc 9"/>
    <w:basedOn w:val="986"/>
    <w:next w:val="986"/>
    <w:uiPriority w:val="39"/>
    <w:unhideWhenUsed/>
    <w:pPr>
      <w:pBdr/>
      <w:spacing w:after="100"/>
      <w:ind w:left="1760"/>
    </w:pPr>
  </w:style>
  <w:style w:type="character" w:styleId="983">
    <w:name w:val="Placeholder Text"/>
    <w:basedOn w:val="989"/>
    <w:uiPriority w:val="99"/>
    <w:semiHidden/>
    <w:pPr>
      <w:pBdr/>
      <w:spacing/>
      <w:ind/>
    </w:pPr>
    <w:rPr>
      <w:color w:val="666666"/>
    </w:rPr>
  </w:style>
  <w:style w:type="paragraph" w:styleId="984">
    <w:name w:val="TOC Heading"/>
    <w:uiPriority w:val="39"/>
    <w:unhideWhenUsed/>
    <w:pPr>
      <w:pBdr/>
      <w:spacing/>
      <w:ind/>
    </w:pPr>
  </w:style>
  <w:style w:type="paragraph" w:styleId="985">
    <w:name w:val="table of figures"/>
    <w:basedOn w:val="986"/>
    <w:next w:val="986"/>
    <w:uiPriority w:val="99"/>
    <w:unhideWhenUsed/>
    <w:pPr>
      <w:pBdr/>
      <w:spacing w:after="0" w:afterAutospacing="0"/>
      <w:ind/>
    </w:pPr>
  </w:style>
  <w:style w:type="paragraph" w:styleId="986" w:default="1">
    <w:name w:val="Normal"/>
    <w:qFormat/>
    <w:pPr>
      <w:widowControl w:val="true"/>
      <w:pBdr/>
      <w:bidi w:val="false"/>
      <w:spacing w:after="0" w:before="0"/>
      <w:ind/>
      <w:jc w:val="left"/>
    </w:pPr>
    <w:rPr>
      <w:rFonts w:ascii="Calibri" w:hAnsi="Calibri" w:eastAsia="游明朝" w:asciiTheme="minorHAnsi" w:hAnsiTheme="minorHAnsi" w:eastAsiaTheme="minorEastAsia" w:cstheme="minorBidi"/>
      <w:color w:val="auto"/>
      <w:sz w:val="24"/>
      <w:szCs w:val="24"/>
      <w:lang w:val="en-GB" w:eastAsia="ja-JP" w:bidi="ar-SA"/>
    </w:rPr>
  </w:style>
  <w:style w:type="paragraph" w:styleId="987">
    <w:name w:val="Heading 1"/>
    <w:basedOn w:val="986"/>
    <w:next w:val="986"/>
    <w:link w:val="990"/>
    <w:uiPriority w:val="9"/>
    <w:qFormat/>
    <w:pPr>
      <w:keepNext w:val="true"/>
      <w:keepLines w:val="true"/>
      <w:widowControl w:val="false"/>
      <w:pBdr/>
      <w:spacing w:after="120" w:before="360"/>
      <w:ind/>
      <w:outlineLvl w:val="0"/>
    </w:pPr>
    <w:rPr>
      <w:rFonts w:ascii="Arial" w:hAnsi="Arial" w:eastAsia="游ゴシック Light" w:eastAsiaTheme="majorEastAsia" w:cstheme="majorBidi"/>
      <w:b/>
      <w:bCs/>
      <w:sz w:val="32"/>
      <w:szCs w:val="32"/>
      <w:lang w:eastAsia="en-US"/>
    </w:rPr>
  </w:style>
  <w:style w:type="paragraph" w:styleId="988">
    <w:name w:val="Heading 2"/>
    <w:basedOn w:val="986"/>
    <w:link w:val="991"/>
    <w:uiPriority w:val="9"/>
    <w:qFormat/>
    <w:pPr>
      <w:keepNext w:val="true"/>
      <w:keepLines w:val="true"/>
      <w:widowControl w:val="false"/>
      <w:pBdr/>
      <w:spacing w:after="120" w:before="240"/>
      <w:ind/>
      <w:outlineLvl w:val="1"/>
    </w:pPr>
    <w:rPr>
      <w:rFonts w:ascii="Arial" w:hAnsi="Arial" w:eastAsia="游ゴシック Light" w:eastAsiaTheme="majorEastAsia" w:cstheme="majorBidi"/>
      <w:b/>
      <w:bCs/>
      <w:sz w:val="28"/>
      <w:szCs w:val="26"/>
      <w:lang w:eastAsia="en-US"/>
    </w:rPr>
  </w:style>
  <w:style w:type="character" w:styleId="989" w:default="1">
    <w:name w:val="Default Paragraph Font"/>
    <w:uiPriority w:val="1"/>
    <w:semiHidden/>
    <w:unhideWhenUsed/>
    <w:qFormat/>
    <w:pPr>
      <w:pBdr/>
      <w:spacing/>
      <w:ind/>
    </w:pPr>
  </w:style>
  <w:style w:type="character" w:styleId="990" w:customStyle="1">
    <w:name w:val="Heading 1 Char"/>
    <w:basedOn w:val="989"/>
    <w:link w:val="987"/>
    <w:uiPriority w:val="9"/>
    <w:qFormat/>
    <w:pPr>
      <w:pBdr/>
      <w:spacing/>
      <w:ind/>
    </w:pPr>
    <w:rPr>
      <w:rFonts w:ascii="Arial" w:hAnsi="Arial" w:eastAsia="游ゴシック Light" w:eastAsiaTheme="majorEastAsia" w:cstheme="majorBidi"/>
      <w:b/>
      <w:bCs/>
      <w:sz w:val="32"/>
      <w:szCs w:val="32"/>
      <w:lang w:eastAsia="en-US"/>
    </w:rPr>
  </w:style>
  <w:style w:type="character" w:styleId="991" w:customStyle="1">
    <w:name w:val="Heading 2 Char"/>
    <w:basedOn w:val="989"/>
    <w:link w:val="988"/>
    <w:uiPriority w:val="9"/>
    <w:qFormat/>
    <w:pPr>
      <w:pBdr/>
      <w:spacing/>
      <w:ind/>
    </w:pPr>
    <w:rPr>
      <w:rFonts w:ascii="Arial" w:hAnsi="Arial" w:eastAsia="游ゴシック Light" w:eastAsiaTheme="majorEastAsia" w:cstheme="majorBidi"/>
      <w:b/>
      <w:bCs/>
      <w:sz w:val="28"/>
      <w:szCs w:val="26"/>
      <w:lang w:eastAsia="en-US"/>
    </w:rPr>
  </w:style>
  <w:style w:type="character" w:styleId="992" w:customStyle="1">
    <w:name w:val="Body Text Char"/>
    <w:basedOn w:val="989"/>
    <w:qFormat/>
    <w:pPr>
      <w:pBdr/>
      <w:spacing/>
      <w:ind/>
    </w:pPr>
  </w:style>
  <w:style w:type="character" w:styleId="993" w:customStyle="1">
    <w:name w:val="Footer Char"/>
    <w:basedOn w:val="989"/>
    <w:link w:val="1011"/>
    <w:uiPriority w:val="99"/>
    <w:qFormat/>
    <w:pPr>
      <w:pBdr/>
      <w:spacing/>
      <w:ind/>
    </w:pPr>
  </w:style>
  <w:style w:type="character" w:styleId="994" w:customStyle="1">
    <w:name w:val="Title Char"/>
    <w:basedOn w:val="989"/>
    <w:link w:val="1007"/>
    <w:uiPriority w:val="10"/>
    <w:qFormat/>
    <w:pPr>
      <w:pBdr/>
      <w:spacing/>
      <w:ind/>
    </w:pPr>
    <w:rPr>
      <w:rFonts w:ascii="Arial" w:hAnsi="Arial" w:eastAsia="游ゴシック Light" w:eastAsiaTheme="majorEastAsia" w:cstheme="majorBidi"/>
      <w:spacing w:val="-10"/>
      <w:sz w:val="56"/>
      <w:szCs w:val="56"/>
      <w:lang w:eastAsia="en-US"/>
    </w:rPr>
  </w:style>
  <w:style w:type="character" w:styleId="995" w:customStyle="1">
    <w:name w:val="Body Text Char1"/>
    <w:basedOn w:val="989"/>
    <w:uiPriority w:val="99"/>
    <w:semiHidden/>
    <w:qFormat/>
    <w:pPr>
      <w:pBdr/>
      <w:spacing/>
      <w:ind/>
    </w:pPr>
  </w:style>
  <w:style w:type="character" w:styleId="996" w:customStyle="1">
    <w:name w:val="Subtitle Char"/>
    <w:basedOn w:val="989"/>
    <w:link w:val="1008"/>
    <w:uiPriority w:val="11"/>
    <w:qFormat/>
    <w:pPr>
      <w:pBdr/>
      <w:spacing/>
      <w:ind/>
    </w:pPr>
    <w:rPr>
      <w:rFonts w:ascii="Arial" w:hAnsi="Arial"/>
      <w:color w:val="000000" w:themeColor="text1"/>
      <w:spacing w:val="15"/>
      <w:sz w:val="44"/>
      <w:szCs w:val="22"/>
      <w:lang w:eastAsia="en-US"/>
    </w:rPr>
  </w:style>
  <w:style w:type="character" w:styleId="997" w:customStyle="1">
    <w:name w:val="Header Char"/>
    <w:basedOn w:val="989"/>
    <w:link w:val="1010"/>
    <w:uiPriority w:val="99"/>
    <w:qFormat/>
    <w:pPr>
      <w:pBdr/>
      <w:spacing/>
      <w:ind/>
    </w:pPr>
    <w:rPr>
      <w:rFonts w:ascii="Arial" w:hAnsi="Arial"/>
      <w:sz w:val="20"/>
      <w:lang w:eastAsia="en-US"/>
    </w:rPr>
  </w:style>
  <w:style w:type="character" w:styleId="998" w:customStyle="1">
    <w:name w:val="Footer Char1"/>
    <w:basedOn w:val="989"/>
    <w:uiPriority w:val="99"/>
    <w:semiHidden/>
    <w:qFormat/>
    <w:pPr>
      <w:pBdr/>
      <w:spacing/>
      <w:ind/>
    </w:pPr>
  </w:style>
  <w:style w:type="character" w:styleId="999">
    <w:name w:val="Hyperlink"/>
    <w:basedOn w:val="989"/>
    <w:pPr>
      <w:pBdr/>
      <w:spacing/>
      <w:ind/>
    </w:pPr>
    <w:rPr>
      <w:rFonts w:ascii="Arial" w:hAnsi="Arial"/>
      <w:i w:val="0"/>
      <w:iCs/>
      <w:color w:val="991f87"/>
      <w:sz w:val="20"/>
      <w:szCs w:val="18"/>
      <w:u w:val="single"/>
      <w:lang w:val="de-DE"/>
    </w:rPr>
  </w:style>
  <w:style w:type="character" w:styleId="1000">
    <w:name w:val="Emphasis"/>
    <w:basedOn w:val="989"/>
    <w:uiPriority w:val="20"/>
    <w:qFormat/>
    <w:pPr>
      <w:pBdr/>
      <w:spacing/>
      <w:ind/>
    </w:pPr>
    <w:rPr>
      <w:i/>
      <w:iCs/>
    </w:rPr>
  </w:style>
  <w:style w:type="character" w:styleId="1001">
    <w:name w:val="Subtle Emphasis"/>
    <w:basedOn w:val="989"/>
    <w:uiPriority w:val="19"/>
    <w:qFormat/>
    <w:pPr>
      <w:pBdr/>
      <w:spacing/>
      <w:ind/>
    </w:pPr>
    <w:rPr>
      <w:i/>
      <w:iCs/>
      <w:color w:val="808080" w:themeColor="text1" w:themeTint="7F"/>
    </w:rPr>
  </w:style>
  <w:style w:type="paragraph" w:styleId="1002">
    <w:name w:val="Heading"/>
    <w:basedOn w:val="986"/>
    <w:next w:val="1003"/>
    <w:qFormat/>
    <w:pPr>
      <w:keepNext w:val="true"/>
      <w:pBdr/>
      <w:spacing w:after="120" w:before="240"/>
      <w:ind/>
    </w:pPr>
    <w:rPr>
      <w:rFonts w:ascii="Liberation Sans" w:hAnsi="Liberation Sans" w:eastAsia="Noto Sans CJK SC" w:cs="Lohit Devanagari"/>
      <w:sz w:val="28"/>
      <w:szCs w:val="28"/>
    </w:rPr>
  </w:style>
  <w:style w:type="paragraph" w:styleId="1003">
    <w:name w:val="Body Text"/>
    <w:basedOn w:val="986"/>
    <w:link w:val="992"/>
    <w:qFormat/>
    <w:pPr>
      <w:widowControl w:val="false"/>
      <w:pBdr/>
      <w:spacing w:after="180" w:before="180"/>
      <w:ind/>
    </w:pPr>
  </w:style>
  <w:style w:type="paragraph" w:styleId="1004">
    <w:name w:val="List"/>
    <w:basedOn w:val="1003"/>
    <w:pPr>
      <w:pBdr/>
      <w:spacing/>
      <w:ind/>
    </w:pPr>
    <w:rPr>
      <w:rFonts w:cs="Lohit Devanagari"/>
    </w:rPr>
  </w:style>
  <w:style w:type="paragraph" w:styleId="1005">
    <w:name w:val="Caption"/>
    <w:basedOn w:val="986"/>
    <w:qFormat/>
    <w:pPr>
      <w:suppressLineNumbers w:val="true"/>
      <w:pBdr/>
      <w:spacing w:after="120" w:before="120"/>
      <w:ind/>
    </w:pPr>
    <w:rPr>
      <w:rFonts w:cs="Lohit Devanagari"/>
      <w:i/>
      <w:iCs/>
      <w:sz w:val="24"/>
      <w:szCs w:val="24"/>
    </w:rPr>
  </w:style>
  <w:style w:type="paragraph" w:styleId="1006">
    <w:name w:val="Index"/>
    <w:basedOn w:val="986"/>
    <w:qFormat/>
    <w:pPr>
      <w:suppressLineNumbers w:val="true"/>
      <w:pBdr/>
      <w:spacing/>
      <w:ind/>
    </w:pPr>
    <w:rPr>
      <w:rFonts w:cs="Lohit Devanagari"/>
    </w:rPr>
  </w:style>
  <w:style w:type="paragraph" w:styleId="1007">
    <w:name w:val="Title"/>
    <w:basedOn w:val="986"/>
    <w:next w:val="1003"/>
    <w:link w:val="994"/>
    <w:uiPriority w:val="10"/>
    <w:qFormat/>
    <w:pPr>
      <w:widowControl w:val="false"/>
      <w:pBdr/>
      <w:spacing w:after="0" w:before="0"/>
      <w:ind/>
      <w:contextualSpacing w:val="true"/>
    </w:pPr>
    <w:rPr>
      <w:rFonts w:ascii="Arial" w:hAnsi="Arial" w:eastAsia="游ゴシック Light" w:eastAsiaTheme="majorEastAsia" w:cstheme="majorBidi"/>
      <w:spacing w:val="-10"/>
      <w:sz w:val="56"/>
      <w:szCs w:val="56"/>
      <w:lang w:eastAsia="en-US"/>
    </w:rPr>
  </w:style>
  <w:style w:type="paragraph" w:styleId="1008">
    <w:name w:val="Subtitle"/>
    <w:basedOn w:val="1007"/>
    <w:link w:val="996"/>
    <w:uiPriority w:val="11"/>
    <w:qFormat/>
    <w:pPr>
      <w:pBdr/>
      <w:spacing w:after="160" w:before="0"/>
      <w:ind/>
      <w:contextualSpacing w:val="false"/>
    </w:pPr>
    <w:rPr>
      <w:rFonts w:eastAsia="游明朝" w:eastAsiaTheme="minorEastAsia" w:cstheme="minorBidi"/>
      <w:color w:val="000000" w:themeColor="text1"/>
      <w:spacing w:val="15"/>
      <w:sz w:val="44"/>
      <w:szCs w:val="22"/>
    </w:rPr>
  </w:style>
  <w:style w:type="paragraph" w:styleId="1009">
    <w:name w:val="Header and Footer"/>
    <w:basedOn w:val="986"/>
    <w:qFormat/>
    <w:pPr>
      <w:pBdr/>
      <w:spacing/>
      <w:ind/>
    </w:pPr>
  </w:style>
  <w:style w:type="paragraph" w:styleId="1010">
    <w:name w:val="Header"/>
    <w:basedOn w:val="986"/>
    <w:link w:val="997"/>
    <w:uiPriority w:val="99"/>
    <w:pPr>
      <w:widowControl w:val="false"/>
      <w:pBdr/>
      <w:tabs>
        <w:tab w:val="clear" w:leader="none" w:pos="720"/>
        <w:tab w:val="center" w:leader="none" w:pos="4536"/>
        <w:tab w:val="right" w:leader="none" w:pos="9072"/>
      </w:tabs>
      <w:spacing/>
      <w:ind/>
    </w:pPr>
    <w:rPr>
      <w:rFonts w:ascii="Arial" w:hAnsi="Arial"/>
      <w:sz w:val="20"/>
      <w:lang w:eastAsia="en-US"/>
    </w:rPr>
  </w:style>
  <w:style w:type="paragraph" w:styleId="1011">
    <w:name w:val="Footer"/>
    <w:basedOn w:val="986"/>
    <w:link w:val="993"/>
    <w:uiPriority w:val="99"/>
    <w:pPr>
      <w:widowControl w:val="false"/>
      <w:pBdr/>
      <w:tabs>
        <w:tab w:val="clear" w:leader="none" w:pos="720"/>
        <w:tab w:val="center" w:leader="none" w:pos="4536"/>
        <w:tab w:val="right" w:leader="none" w:pos="9072"/>
      </w:tabs>
      <w:spacing/>
      <w:ind/>
    </w:pPr>
  </w:style>
  <w:style w:type="paragraph" w:styleId="1012">
    <w:name w:val="List Paragraph"/>
    <w:basedOn w:val="986"/>
    <w:uiPriority w:val="34"/>
    <w:qFormat/>
    <w:pPr>
      <w:widowControl w:val="false"/>
      <w:pBdr/>
      <w:spacing w:after="120" w:before="0"/>
      <w:ind w:firstLine="0" w:left="567"/>
    </w:pPr>
    <w:rPr>
      <w:rFonts w:ascii="Arial" w:hAnsi="Arial"/>
      <w:sz w:val="20"/>
      <w:lang w:eastAsia="en-US"/>
    </w:rPr>
  </w:style>
  <w:style w:type="numbering" w:styleId="1013" w:default="1">
    <w:name w:val="No List"/>
    <w:uiPriority w:val="99"/>
    <w:semiHidden/>
    <w:unhideWhenUsed/>
    <w:qFormat/>
    <w:pPr>
      <w:pBdr/>
      <w:spacing/>
      <w:ind/>
    </w:pPr>
  </w:style>
  <w:style w:type="table" w:styleId="101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3.png"/><Relationship Id="rId12" Type="http://schemas.openxmlformats.org/officeDocument/2006/relationships/hyperlink" Target="http://creativecommons.org/licenses/by-sa/4.0/" TargetMode="External"/><Relationship Id="rId13" Type="http://schemas.openxmlformats.org/officeDocument/2006/relationships/hyperlink" Target="https://www.go-fair.org/fair-principles/" TargetMode="External"/><Relationship Id="rId14" Type="http://schemas.openxmlformats.org/officeDocument/2006/relationships/hyperlink" Target="https://www.go-fair.org/fair-principles/" TargetMode="External"/><Relationship Id="rId15" Type="http://schemas.openxmlformats.org/officeDocument/2006/relationships/hyperlink" Target="https://www.go-fair.org/fair-principles/" TargetMode="External"/><Relationship Id="rId16" Type="http://schemas.openxmlformats.org/officeDocument/2006/relationships/hyperlink" Target="https://www.go-fair.org/fair-principles/" TargetMode="External"/><Relationship Id="rId17" Type="http://schemas.openxmlformats.org/officeDocument/2006/relationships/hyperlink" Target="https://www.go-fair.org/fair-principles/" TargetMode="External"/><Relationship Id="rId18" Type="http://schemas.openxmlformats.org/officeDocument/2006/relationships/hyperlink" Target="https://www.go-fair.org/fair-principles/" TargetMode="External"/><Relationship Id="rId19" Type="http://schemas.openxmlformats.org/officeDocument/2006/relationships/hyperlink" Target="https://www.go-fair.org/fair-principles/" TargetMode="External"/><Relationship Id="rId20" Type="http://schemas.openxmlformats.org/officeDocument/2006/relationships/hyperlink" Target="https://www.go-fair.org/fair-principles/" TargetMode="External"/><Relationship Id="rId21" Type="http://schemas.openxmlformats.org/officeDocument/2006/relationships/hyperlink" Target="https://clinicaltrials.gov/" TargetMode="External"/><Relationship Id="rId22" Type="http://schemas.openxmlformats.org/officeDocument/2006/relationships/hyperlink" Target="https://opendata.uni-kiel.de" TargetMode="External"/><Relationship Id="rId23" Type="http://schemas.openxmlformats.org/officeDocument/2006/relationships/comments" Target="comments.xml" /><Relationship Id="rId24" Type="http://schemas.microsoft.com/office/2011/relationships/commentsExtended" Target="commentsExtended.xml" /><Relationship Id="rId25" Type="http://schemas.microsoft.com/office/2018/08/relationships/commentsExtensible" Target="commentsExtensible.xml" /><Relationship Id="rId26" Type="http://schemas.microsoft.com/office/2016/09/relationships/commentsIds" Target="commentsIds.xml" /><Relationship Id="rId27"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Company>Christian-Albrechts-Universität zu Kiel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Thilo Paul-Stüve</dc:creator>
  <dc:description/>
  <dc:language>en-US</dc:language>
  <cp:lastModifiedBy>Petersen, Thorge (szrzs297)</cp:lastModifiedBy>
  <cp:revision>18</cp:revision>
  <dcterms:created xsi:type="dcterms:W3CDTF">2021-04-29T16:02:00Z</dcterms:created>
  <dcterms:modified xsi:type="dcterms:W3CDTF">2026-06-03T07:27:16Z</dcterms:modified>
</cp:coreProperties>
</file>