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7824" w14:textId="3F763C2B" w:rsidR="009A3758" w:rsidRPr="007900AC" w:rsidRDefault="007900AC" w:rsidP="00804987">
      <w:pPr>
        <w:pStyle w:val="Heading2"/>
      </w:pPr>
      <w:r w:rsidRPr="007900AC">
        <w:t>The TIMES</w:t>
      </w:r>
      <w:r w:rsidR="007C2A63">
        <w:t>- Central Asian Caspian Model</w:t>
      </w:r>
      <w:r w:rsidRPr="007900AC">
        <w:t xml:space="preserve"> (T</w:t>
      </w:r>
      <w:r w:rsidR="007C2A63">
        <w:t>IMES-CAC</w:t>
      </w:r>
      <w:r w:rsidRPr="007900AC">
        <w:t>)</w:t>
      </w:r>
    </w:p>
    <w:p w14:paraId="6174B233" w14:textId="71FCD294" w:rsidR="009944A2" w:rsidRPr="00AA6C68" w:rsidRDefault="00D76D5A" w:rsidP="009944A2">
      <w:pPr>
        <w:pStyle w:val="ListParagraph"/>
        <w:numPr>
          <w:ilvl w:val="0"/>
          <w:numId w:val="1"/>
        </w:numPr>
        <w:spacing w:before="100" w:beforeAutospacing="1" w:after="100" w:afterAutospacing="1" w:line="240" w:lineRule="auto"/>
        <w:rPr>
          <w:rFonts w:eastAsia="Times New Roman"/>
          <w:b/>
          <w:u w:val="single"/>
        </w:rPr>
      </w:pPr>
      <w:r w:rsidRPr="00AA6C68">
        <w:rPr>
          <w:rFonts w:eastAsia="Times New Roman"/>
          <w:b/>
          <w:u w:val="single"/>
        </w:rPr>
        <w:t>Short overview (150-250 words)</w:t>
      </w:r>
    </w:p>
    <w:p w14:paraId="636BA00A" w14:textId="4BE93F39" w:rsidR="00F31098" w:rsidRDefault="009944A2" w:rsidP="005C1785">
      <w:pPr>
        <w:spacing w:before="100" w:beforeAutospacing="1" w:after="100" w:afterAutospacing="1" w:line="240" w:lineRule="auto"/>
        <w:jc w:val="both"/>
        <w:rPr>
          <w:rFonts w:eastAsia="Times New Roman"/>
        </w:rPr>
      </w:pPr>
      <w:r w:rsidRPr="009944A2">
        <w:rPr>
          <w:rFonts w:eastAsia="Times New Roman"/>
        </w:rPr>
        <w:t>TIMES</w:t>
      </w:r>
      <w:r>
        <w:rPr>
          <w:rFonts w:eastAsia="Times New Roman"/>
        </w:rPr>
        <w:t xml:space="preserve"> </w:t>
      </w:r>
      <w:r w:rsidRPr="009944A2">
        <w:rPr>
          <w:rFonts w:eastAsia="Times New Roman"/>
        </w:rPr>
        <w:t>is</w:t>
      </w:r>
      <w:r>
        <w:rPr>
          <w:rFonts w:eastAsia="Times New Roman"/>
        </w:rPr>
        <w:t xml:space="preserve"> </w:t>
      </w:r>
      <w:r w:rsidR="005657E5">
        <w:rPr>
          <w:rFonts w:eastAsia="Times New Roman"/>
        </w:rPr>
        <w:t xml:space="preserve">a </w:t>
      </w:r>
      <w:r w:rsidRPr="009944A2">
        <w:rPr>
          <w:rFonts w:eastAsia="Times New Roman"/>
        </w:rPr>
        <w:t>model</w:t>
      </w:r>
      <w:r w:rsidR="00AE2D59">
        <w:rPr>
          <w:rFonts w:eastAsia="Times New Roman"/>
        </w:rPr>
        <w:t xml:space="preserve">ling </w:t>
      </w:r>
      <w:r w:rsidR="008D1D4F">
        <w:rPr>
          <w:rFonts w:eastAsia="Times New Roman"/>
        </w:rPr>
        <w:t>platform</w:t>
      </w:r>
      <w:r>
        <w:rPr>
          <w:rFonts w:eastAsia="Times New Roman"/>
        </w:rPr>
        <w:t xml:space="preserve"> </w:t>
      </w:r>
      <w:r w:rsidR="00AE2D59">
        <w:rPr>
          <w:rFonts w:eastAsia="Times New Roman"/>
        </w:rPr>
        <w:t>f</w:t>
      </w:r>
      <w:r w:rsidRPr="009944A2">
        <w:rPr>
          <w:rFonts w:eastAsia="Times New Roman"/>
        </w:rPr>
        <w:t>or</w:t>
      </w:r>
      <w:r>
        <w:rPr>
          <w:rFonts w:eastAsia="Times New Roman"/>
        </w:rPr>
        <w:t xml:space="preserve"> </w:t>
      </w:r>
      <w:r w:rsidRPr="009944A2">
        <w:rPr>
          <w:rFonts w:eastAsia="Times New Roman"/>
        </w:rPr>
        <w:t>local,</w:t>
      </w:r>
      <w:r>
        <w:rPr>
          <w:rFonts w:eastAsia="Times New Roman"/>
        </w:rPr>
        <w:t xml:space="preserve"> </w:t>
      </w:r>
      <w:r w:rsidRPr="009944A2">
        <w:rPr>
          <w:rFonts w:eastAsia="Times New Roman"/>
        </w:rPr>
        <w:t>national</w:t>
      </w:r>
      <w:r>
        <w:rPr>
          <w:rFonts w:eastAsia="Times New Roman"/>
        </w:rPr>
        <w:t xml:space="preserve"> </w:t>
      </w:r>
      <w:r w:rsidRPr="009944A2">
        <w:rPr>
          <w:rFonts w:eastAsia="Times New Roman"/>
        </w:rPr>
        <w:t>or</w:t>
      </w:r>
      <w:r>
        <w:rPr>
          <w:rFonts w:eastAsia="Times New Roman"/>
        </w:rPr>
        <w:t xml:space="preserve"> </w:t>
      </w:r>
      <w:r w:rsidRPr="009944A2">
        <w:rPr>
          <w:rFonts w:eastAsia="Times New Roman"/>
        </w:rPr>
        <w:t>multi-regional</w:t>
      </w:r>
      <w:r>
        <w:rPr>
          <w:rFonts w:eastAsia="Times New Roman"/>
        </w:rPr>
        <w:t xml:space="preserve"> </w:t>
      </w:r>
      <w:r w:rsidRPr="009944A2">
        <w:rPr>
          <w:rFonts w:eastAsia="Times New Roman"/>
        </w:rPr>
        <w:t>energy</w:t>
      </w:r>
      <w:r>
        <w:rPr>
          <w:rFonts w:eastAsia="Times New Roman"/>
        </w:rPr>
        <w:t xml:space="preserve"> </w:t>
      </w:r>
      <w:r w:rsidRPr="009944A2">
        <w:rPr>
          <w:rFonts w:eastAsia="Times New Roman"/>
        </w:rPr>
        <w:t>systems, which provides a technology</w:t>
      </w:r>
      <w:r w:rsidR="00AE2D59">
        <w:rPr>
          <w:rFonts w:eastAsia="Times New Roman"/>
        </w:rPr>
        <w:t>-</w:t>
      </w:r>
      <w:r w:rsidRPr="009944A2">
        <w:rPr>
          <w:rFonts w:eastAsia="Times New Roman"/>
        </w:rPr>
        <w:t>rich basis for estim</w:t>
      </w:r>
      <w:r>
        <w:rPr>
          <w:rFonts w:eastAsia="Times New Roman"/>
        </w:rPr>
        <w:t xml:space="preserve">ating </w:t>
      </w:r>
      <w:r w:rsidR="008D1D4F">
        <w:rPr>
          <w:rFonts w:eastAsia="Times New Roman"/>
        </w:rPr>
        <w:t xml:space="preserve">how </w:t>
      </w:r>
      <w:r>
        <w:rPr>
          <w:rFonts w:eastAsia="Times New Roman"/>
        </w:rPr>
        <w:t xml:space="preserve">energy system operations </w:t>
      </w:r>
      <w:r w:rsidR="008D1D4F">
        <w:rPr>
          <w:rFonts w:eastAsia="Times New Roman"/>
        </w:rPr>
        <w:t xml:space="preserve">will evolve </w:t>
      </w:r>
      <w:r>
        <w:rPr>
          <w:rFonts w:eastAsia="Times New Roman"/>
        </w:rPr>
        <w:t xml:space="preserve">over a long </w:t>
      </w:r>
      <w:r w:rsidRPr="009944A2">
        <w:rPr>
          <w:rFonts w:eastAsia="Times New Roman"/>
        </w:rPr>
        <w:t>term,</w:t>
      </w:r>
      <w:r>
        <w:rPr>
          <w:rFonts w:eastAsia="Times New Roman"/>
        </w:rPr>
        <w:t xml:space="preserve"> </w:t>
      </w:r>
      <w:r w:rsidRPr="009944A2">
        <w:rPr>
          <w:rFonts w:eastAsia="Times New Roman"/>
        </w:rPr>
        <w:t>multiple</w:t>
      </w:r>
      <w:r>
        <w:rPr>
          <w:rFonts w:eastAsia="Times New Roman"/>
        </w:rPr>
        <w:t xml:space="preserve"> </w:t>
      </w:r>
      <w:r w:rsidRPr="009944A2">
        <w:rPr>
          <w:rFonts w:eastAsia="Times New Roman"/>
        </w:rPr>
        <w:t>period</w:t>
      </w:r>
      <w:r>
        <w:rPr>
          <w:rFonts w:eastAsia="Times New Roman"/>
        </w:rPr>
        <w:t xml:space="preserve"> </w:t>
      </w:r>
      <w:r w:rsidRPr="009944A2">
        <w:rPr>
          <w:rFonts w:eastAsia="Times New Roman"/>
        </w:rPr>
        <w:t>time</w:t>
      </w:r>
      <w:r>
        <w:rPr>
          <w:rFonts w:eastAsia="Times New Roman"/>
        </w:rPr>
        <w:t xml:space="preserve"> </w:t>
      </w:r>
      <w:r w:rsidRPr="009944A2">
        <w:rPr>
          <w:rFonts w:eastAsia="Times New Roman"/>
        </w:rPr>
        <w:t>horizon</w:t>
      </w:r>
      <w:r w:rsidR="00DC427F">
        <w:rPr>
          <w:rFonts w:eastAsia="Times New Roman"/>
        </w:rPr>
        <w:t xml:space="preserve"> </w:t>
      </w:r>
      <w:r w:rsidR="00DC427F">
        <w:rPr>
          <w:rFonts w:eastAsia="Times New Roman"/>
        </w:rPr>
        <w:fldChar w:fldCharType="begin"/>
      </w:r>
      <w:r w:rsidR="00DC427F">
        <w:rPr>
          <w:rFonts w:eastAsia="Times New Roman"/>
        </w:rPr>
        <w:instrText xml:space="preserve"> ADDIN ZOTERO_ITEM CSL_CITATION {"citationID":"vamYKkiO","properties":{"formattedCitation":"(Loulou and Labriet, 2007)","plainCitation":"(Loulou and Labriet, 2007)","noteIndex":0},"citationItems":[{"id":547,"uris":["http://zotero.org/users/655427/items/K3SNSF3F"],"uri":["http://zotero.org/users/655427/items/K3SNSF3F"],"itemData":{"id":547,"type":"article-journal","title":"ETSAP-TIAM: the TIMES integrated assessment model Part I: Model structure","container-title":"Computational Management Science","page":"7-40","volume":"5","issue":"1-2","source":"link.springer.com","abstract":"In this first part of a two-part article, the principal characteristics of the TIMES model and of its global incarnation as ETSAP-TIAM are presented and discussed. TIMES was conceived as a descendent of the MARKAL and EFOM paradigms, to which several new features were added to extend its functionalities and its applicability to the exploration of energy systems and the analysis of energy and environmental policies. The article stresses the technological nature of the model and its economic foundation and properties. The article stays at the conceptual and practical level, while a companion article is devoted to the more detailed formulation of TIMES equations. Special sections are devoted to the description of four optional features of TIMES: lumpy investments, endogenous technology learning, stochastic programming, and the climate module. The article ends with a brief description of recent applications of the ETSAP-TIAM model.","DOI":"10.1007/s10287-007-0046-z","ISSN":"1619-697X, 1619-6988","title-short":"ETSAP-TIAM","journalAbbreviation":"CMS","language":"en","author":[{"family":"Loulou","given":"Richard"},{"family":"Labriet","given":"Maryse"}],"issued":{"date-parts":[["2007",2,24]]}}}],"schema":"https://github.com/citation-style-language/schema/raw/master/csl-citation.json"} </w:instrText>
      </w:r>
      <w:r w:rsidR="00DC427F">
        <w:rPr>
          <w:rFonts w:eastAsia="Times New Roman"/>
        </w:rPr>
        <w:fldChar w:fldCharType="separate"/>
      </w:r>
      <w:r w:rsidR="00DC427F" w:rsidRPr="00DC427F">
        <w:rPr>
          <w:rFonts w:ascii="Calibri" w:hAnsi="Calibri" w:cs="Calibri"/>
        </w:rPr>
        <w:t>(Loulou and Labriet, 2007)</w:t>
      </w:r>
      <w:r w:rsidR="00DC427F">
        <w:rPr>
          <w:rFonts w:eastAsia="Times New Roman"/>
        </w:rPr>
        <w:fldChar w:fldCharType="end"/>
      </w:r>
      <w:r w:rsidRPr="009944A2">
        <w:rPr>
          <w:rFonts w:eastAsia="Times New Roman"/>
        </w:rPr>
        <w:t>.</w:t>
      </w:r>
      <w:r>
        <w:rPr>
          <w:rFonts w:eastAsia="Times New Roman"/>
        </w:rPr>
        <w:t xml:space="preserve"> These energy system operations include the extraction of primary energy such as fossil fuels, the conversion of this primary energy into useful forms (such as electricity, hydrogen, solid heating fuels and liquid transport fuels), and the use of these fuels in a range of energy service applications (vehicular transport, building heating and cooling, and the powering of in</w:t>
      </w:r>
      <w:r w:rsidR="004B4DE9">
        <w:rPr>
          <w:rFonts w:eastAsia="Times New Roman"/>
        </w:rPr>
        <w:t>dustrial manufacturing plants)</w:t>
      </w:r>
      <w:r w:rsidR="005657E5">
        <w:rPr>
          <w:rFonts w:eastAsia="Times New Roman"/>
        </w:rPr>
        <w:t>.</w:t>
      </w:r>
      <w:r w:rsidR="004B4DE9">
        <w:rPr>
          <w:rFonts w:eastAsia="Times New Roman"/>
        </w:rPr>
        <w:t xml:space="preserve"> </w:t>
      </w:r>
      <w:r w:rsidR="00A9375E">
        <w:rPr>
          <w:rFonts w:eastAsia="Times New Roman"/>
        </w:rPr>
        <w:t xml:space="preserve">In </w:t>
      </w:r>
      <w:proofErr w:type="gramStart"/>
      <w:r w:rsidR="00A9375E">
        <w:rPr>
          <w:rFonts w:eastAsia="Times New Roman"/>
        </w:rPr>
        <w:t>multi</w:t>
      </w:r>
      <w:proofErr w:type="gramEnd"/>
      <w:r w:rsidR="00A9375E">
        <w:rPr>
          <w:rFonts w:eastAsia="Times New Roman"/>
        </w:rPr>
        <w:t xml:space="preserve">-region versions of the model, the trade of fuels between regions is also </w:t>
      </w:r>
      <w:r w:rsidR="00B13062">
        <w:rPr>
          <w:rFonts w:eastAsia="Times New Roman"/>
        </w:rPr>
        <w:t>estimated</w:t>
      </w:r>
      <w:r w:rsidR="00A9375E">
        <w:rPr>
          <w:rFonts w:eastAsia="Times New Roman"/>
        </w:rPr>
        <w:t xml:space="preserve">. </w:t>
      </w:r>
      <w:r>
        <w:rPr>
          <w:rFonts w:eastAsia="Times New Roman"/>
        </w:rPr>
        <w:t xml:space="preserve">The TIMES framework </w:t>
      </w:r>
      <w:r w:rsidRPr="009944A2">
        <w:rPr>
          <w:rFonts w:eastAsia="Times New Roman"/>
        </w:rPr>
        <w:t>is</w:t>
      </w:r>
      <w:r>
        <w:rPr>
          <w:rFonts w:eastAsia="Times New Roman"/>
        </w:rPr>
        <w:t xml:space="preserve"> </w:t>
      </w:r>
      <w:r w:rsidRPr="009944A2">
        <w:rPr>
          <w:rFonts w:eastAsia="Times New Roman"/>
        </w:rPr>
        <w:t>usually</w:t>
      </w:r>
      <w:r>
        <w:rPr>
          <w:rFonts w:eastAsia="Times New Roman"/>
        </w:rPr>
        <w:t xml:space="preserve"> </w:t>
      </w:r>
      <w:r w:rsidRPr="009944A2">
        <w:rPr>
          <w:rFonts w:eastAsia="Times New Roman"/>
        </w:rPr>
        <w:t>applied</w:t>
      </w:r>
      <w:r>
        <w:rPr>
          <w:rFonts w:eastAsia="Times New Roman"/>
        </w:rPr>
        <w:t xml:space="preserve"> </w:t>
      </w:r>
      <w:r w:rsidRPr="009944A2">
        <w:rPr>
          <w:rFonts w:eastAsia="Times New Roman"/>
        </w:rPr>
        <w:t>to</w:t>
      </w:r>
      <w:r>
        <w:rPr>
          <w:rFonts w:eastAsia="Times New Roman"/>
        </w:rPr>
        <w:t xml:space="preserve"> </w:t>
      </w:r>
      <w:r w:rsidRPr="009944A2">
        <w:rPr>
          <w:rFonts w:eastAsia="Times New Roman"/>
        </w:rPr>
        <w:t>the</w:t>
      </w:r>
      <w:r>
        <w:rPr>
          <w:rFonts w:eastAsia="Times New Roman"/>
        </w:rPr>
        <w:t xml:space="preserve"> </w:t>
      </w:r>
      <w:r w:rsidRPr="009944A2">
        <w:rPr>
          <w:rFonts w:eastAsia="Times New Roman"/>
        </w:rPr>
        <w:t>analysis o</w:t>
      </w:r>
      <w:r w:rsidR="00D57CBB">
        <w:rPr>
          <w:rFonts w:eastAsia="Times New Roman"/>
        </w:rPr>
        <w:t xml:space="preserve">f the entire energy sector, but </w:t>
      </w:r>
      <w:r w:rsidRPr="009944A2">
        <w:rPr>
          <w:rFonts w:eastAsia="Times New Roman"/>
        </w:rPr>
        <w:t xml:space="preserve">may also </w:t>
      </w:r>
      <w:r w:rsidR="00C322D3">
        <w:rPr>
          <w:rFonts w:eastAsia="Times New Roman"/>
        </w:rPr>
        <w:t xml:space="preserve">be </w:t>
      </w:r>
      <w:r w:rsidRPr="009944A2">
        <w:rPr>
          <w:rFonts w:eastAsia="Times New Roman"/>
        </w:rPr>
        <w:t xml:space="preserve">applied to </w:t>
      </w:r>
      <w:r w:rsidR="005657E5">
        <w:rPr>
          <w:rFonts w:eastAsia="Times New Roman"/>
        </w:rPr>
        <w:t xml:space="preserve">the detailed </w:t>
      </w:r>
      <w:r w:rsidRPr="009944A2">
        <w:rPr>
          <w:rFonts w:eastAsia="Times New Roman"/>
        </w:rPr>
        <w:t xml:space="preserve">study </w:t>
      </w:r>
      <w:r w:rsidR="005657E5">
        <w:rPr>
          <w:rFonts w:eastAsia="Times New Roman"/>
        </w:rPr>
        <w:t>of</w:t>
      </w:r>
      <w:r w:rsidRPr="009944A2">
        <w:rPr>
          <w:rFonts w:eastAsia="Times New Roman"/>
        </w:rPr>
        <w:t xml:space="preserve"> single sectors (</w:t>
      </w:r>
      <w:proofErr w:type="gramStart"/>
      <w:r w:rsidRPr="009944A2">
        <w:rPr>
          <w:rFonts w:eastAsia="Times New Roman"/>
        </w:rPr>
        <w:t>e.g.</w:t>
      </w:r>
      <w:proofErr w:type="gramEnd"/>
      <w:r w:rsidRPr="009944A2">
        <w:rPr>
          <w:rFonts w:eastAsia="Times New Roman"/>
        </w:rPr>
        <w:t xml:space="preserve"> the electricity and district heat sector).</w:t>
      </w:r>
      <w:r w:rsidR="00DC427F">
        <w:rPr>
          <w:rFonts w:eastAsia="Times New Roman"/>
        </w:rPr>
        <w:t xml:space="preserve"> The framework can also be used to simulate the mitigation of</w:t>
      </w:r>
      <w:r w:rsidR="005657E5">
        <w:rPr>
          <w:rFonts w:eastAsia="Times New Roman"/>
        </w:rPr>
        <w:t xml:space="preserve"> </w:t>
      </w:r>
      <w:r w:rsidR="00DC427F">
        <w:rPr>
          <w:rFonts w:eastAsia="Times New Roman"/>
        </w:rPr>
        <w:t>non-CO</w:t>
      </w:r>
      <w:r w:rsidR="00DC427F" w:rsidRPr="00DC427F">
        <w:rPr>
          <w:rFonts w:eastAsia="Times New Roman"/>
          <w:vertAlign w:val="subscript"/>
        </w:rPr>
        <w:t>2</w:t>
      </w:r>
      <w:r w:rsidR="00DC427F">
        <w:rPr>
          <w:rFonts w:eastAsia="Times New Roman"/>
          <w:vertAlign w:val="subscript"/>
        </w:rPr>
        <w:t xml:space="preserve"> </w:t>
      </w:r>
      <w:r w:rsidR="00DC427F">
        <w:rPr>
          <w:rFonts w:eastAsia="Times New Roman"/>
        </w:rPr>
        <w:t>greenhouse gases, including methane (CH</w:t>
      </w:r>
      <w:r w:rsidR="00DC427F" w:rsidRPr="00DC427F">
        <w:rPr>
          <w:rFonts w:eastAsia="Times New Roman"/>
          <w:vertAlign w:val="subscript"/>
        </w:rPr>
        <w:t>4</w:t>
      </w:r>
      <w:r w:rsidR="00DC427F">
        <w:rPr>
          <w:rFonts w:eastAsia="Times New Roman"/>
        </w:rPr>
        <w:t>) and nitrous oxide (N</w:t>
      </w:r>
      <w:r w:rsidR="00DC427F" w:rsidRPr="00DC427F">
        <w:rPr>
          <w:rFonts w:eastAsia="Times New Roman"/>
          <w:vertAlign w:val="subscript"/>
        </w:rPr>
        <w:t>2</w:t>
      </w:r>
      <w:r w:rsidR="00DC427F">
        <w:rPr>
          <w:rFonts w:eastAsia="Times New Roman"/>
        </w:rPr>
        <w:t>O).</w:t>
      </w:r>
    </w:p>
    <w:p w14:paraId="387CCCB1" w14:textId="780DECAB" w:rsidR="00DC427F" w:rsidRDefault="005C1785" w:rsidP="0066046F">
      <w:pPr>
        <w:spacing w:before="100" w:beforeAutospacing="1" w:after="100" w:afterAutospacing="1" w:line="240" w:lineRule="auto"/>
        <w:jc w:val="both"/>
        <w:rPr>
          <w:rFonts w:eastAsia="Times New Roman"/>
        </w:rPr>
      </w:pPr>
      <w:r w:rsidRPr="005C1785">
        <w:rPr>
          <w:rFonts w:eastAsia="Times New Roman"/>
        </w:rPr>
        <w:t>The integrated bottom-up partial-equilibrium energy system model of the Central Asian Caspian Area, titled TIMES-CAC</w:t>
      </w:r>
      <w:r>
        <w:rPr>
          <w:rFonts w:eastAsia="Times New Roman"/>
        </w:rPr>
        <w:t xml:space="preserve">, </w:t>
      </w:r>
      <w:r w:rsidRPr="005C1785">
        <w:rPr>
          <w:rFonts w:eastAsia="Times New Roman"/>
        </w:rPr>
        <w:t xml:space="preserve">assembles the </w:t>
      </w:r>
      <w:r>
        <w:rPr>
          <w:rFonts w:eastAsia="Times New Roman"/>
        </w:rPr>
        <w:t>four</w:t>
      </w:r>
      <w:r w:rsidRPr="005C1785">
        <w:rPr>
          <w:rFonts w:eastAsia="Times New Roman"/>
        </w:rPr>
        <w:t xml:space="preserve"> </w:t>
      </w:r>
      <w:proofErr w:type="gramStart"/>
      <w:r w:rsidRPr="005C1785">
        <w:rPr>
          <w:rFonts w:eastAsia="Times New Roman"/>
        </w:rPr>
        <w:t>separate</w:t>
      </w:r>
      <w:proofErr w:type="gramEnd"/>
      <w:r w:rsidRPr="005C1785">
        <w:rPr>
          <w:rFonts w:eastAsia="Times New Roman"/>
        </w:rPr>
        <w:t xml:space="preserve"> but structurally-consistent single-region TIMES country models of Azerbaijan, Kazakhstan, Turkmenistan, Uzbekistan</w:t>
      </w:r>
      <w:r w:rsidR="0066046F">
        <w:rPr>
          <w:rStyle w:val="FootnoteReference"/>
          <w:rFonts w:eastAsia="Times New Roman"/>
        </w:rPr>
        <w:footnoteReference w:id="1"/>
      </w:r>
      <w:r w:rsidR="0066046F">
        <w:rPr>
          <w:rFonts w:eastAsia="Times New Roman"/>
        </w:rPr>
        <w:t xml:space="preserve"> </w:t>
      </w:r>
      <w:r w:rsidRPr="005C1785">
        <w:rPr>
          <w:rFonts w:eastAsia="Times New Roman"/>
        </w:rPr>
        <w:t>by interconnecting them through the representation of energy flows and emission permits exchanges.</w:t>
      </w:r>
      <w:r>
        <w:rPr>
          <w:rFonts w:eastAsia="Times New Roman"/>
        </w:rPr>
        <w:t xml:space="preserve"> The multiregional model</w:t>
      </w:r>
      <w:r w:rsidRPr="005C1785">
        <w:rPr>
          <w:rFonts w:eastAsia="Times New Roman"/>
        </w:rPr>
        <w:t xml:space="preserve"> </w:t>
      </w:r>
      <w:r>
        <w:rPr>
          <w:rFonts w:eastAsia="Times New Roman"/>
        </w:rPr>
        <w:t>is</w:t>
      </w:r>
      <w:r w:rsidRPr="005C1785">
        <w:rPr>
          <w:rFonts w:eastAsia="Times New Roman"/>
        </w:rPr>
        <w:t xml:space="preserve"> thought and designed as a comprehensive framework, able to </w:t>
      </w:r>
      <w:r w:rsidR="0066046F">
        <w:rPr>
          <w:rFonts w:eastAsia="Times New Roman"/>
        </w:rPr>
        <w:t>explore</w:t>
      </w:r>
      <w:r w:rsidRPr="005C1785">
        <w:rPr>
          <w:rFonts w:eastAsia="Times New Roman"/>
        </w:rPr>
        <w:t xml:space="preserve"> national and/or </w:t>
      </w:r>
      <w:r>
        <w:rPr>
          <w:rFonts w:eastAsia="Times New Roman"/>
        </w:rPr>
        <w:t>supra</w:t>
      </w:r>
      <w:r w:rsidRPr="005C1785">
        <w:rPr>
          <w:rFonts w:eastAsia="Times New Roman"/>
        </w:rPr>
        <w:t xml:space="preserve">-national </w:t>
      </w:r>
      <w:r w:rsidR="0066046F">
        <w:rPr>
          <w:rFonts w:eastAsia="Times New Roman"/>
        </w:rPr>
        <w:t>forces</w:t>
      </w:r>
      <w:r w:rsidRPr="005C1785">
        <w:rPr>
          <w:rFonts w:eastAsia="Times New Roman"/>
        </w:rPr>
        <w:t>, in a long time horizon (until 2050)</w:t>
      </w:r>
      <w:r w:rsidR="00356488">
        <w:rPr>
          <w:rFonts w:eastAsia="Times New Roman"/>
        </w:rPr>
        <w:t>,</w:t>
      </w:r>
      <w:r w:rsidR="00536DEA">
        <w:rPr>
          <w:rFonts w:eastAsia="Times New Roman"/>
        </w:rPr>
        <w:t xml:space="preserve"> with the aim</w:t>
      </w:r>
      <w:r w:rsidRPr="005C1785">
        <w:rPr>
          <w:rFonts w:eastAsia="Times New Roman"/>
        </w:rPr>
        <w:t xml:space="preserve"> to test the effects of long-term energy export strategies on the energy system of the Central Asian Caspian Countries</w:t>
      </w:r>
      <w:r>
        <w:rPr>
          <w:rFonts w:eastAsia="Times New Roman"/>
        </w:rPr>
        <w:t xml:space="preserve"> and </w:t>
      </w:r>
      <w:proofErr w:type="spellStart"/>
      <w:r w:rsidR="0066046F">
        <w:rPr>
          <w:rFonts w:eastAsia="Times New Roman"/>
        </w:rPr>
        <w:t>analyse</w:t>
      </w:r>
      <w:proofErr w:type="spellEnd"/>
      <w:r w:rsidRPr="005C1785">
        <w:rPr>
          <w:rFonts w:eastAsia="Times New Roman"/>
        </w:rPr>
        <w:t xml:space="preserve"> trade-off curves between “risk” indicator</w:t>
      </w:r>
      <w:r>
        <w:rPr>
          <w:rFonts w:eastAsia="Times New Roman"/>
        </w:rPr>
        <w:t>s</w:t>
      </w:r>
      <w:r w:rsidRPr="005C1785">
        <w:rPr>
          <w:rFonts w:eastAsia="Times New Roman"/>
        </w:rPr>
        <w:t xml:space="preserve"> and key </w:t>
      </w:r>
      <w:r>
        <w:rPr>
          <w:rFonts w:eastAsia="Times New Roman"/>
        </w:rPr>
        <w:t>KPIs</w:t>
      </w:r>
      <w:r w:rsidRPr="005C1785">
        <w:rPr>
          <w:rFonts w:eastAsia="Times New Roman"/>
        </w:rPr>
        <w:t xml:space="preserve">, such as the </w:t>
      </w:r>
      <w:r w:rsidR="00536DEA">
        <w:rPr>
          <w:rFonts w:eastAsia="Times New Roman"/>
        </w:rPr>
        <w:t xml:space="preserve">system </w:t>
      </w:r>
      <w:r w:rsidRPr="005C1785">
        <w:rPr>
          <w:rFonts w:eastAsia="Times New Roman"/>
        </w:rPr>
        <w:t>cost, the quantities exported and the corresponding revenues</w:t>
      </w:r>
      <w:r>
        <w:rPr>
          <w:rFonts w:eastAsia="Times New Roman"/>
        </w:rPr>
        <w:t>, th</w:t>
      </w:r>
      <w:r w:rsidR="0066046F">
        <w:rPr>
          <w:rFonts w:eastAsia="Times New Roman"/>
        </w:rPr>
        <w:t>e emission reduction ambitions.</w:t>
      </w:r>
    </w:p>
    <w:p w14:paraId="40BA756F" w14:textId="77777777" w:rsidR="008A58CD" w:rsidRDefault="008A58CD" w:rsidP="0066046F">
      <w:pPr>
        <w:spacing w:before="100" w:beforeAutospacing="1" w:after="100" w:afterAutospacing="1" w:line="240" w:lineRule="auto"/>
        <w:jc w:val="both"/>
        <w:rPr>
          <w:rFonts w:eastAsia="Times New Roman"/>
        </w:rPr>
      </w:pPr>
    </w:p>
    <w:p w14:paraId="4C37F00D" w14:textId="77777777" w:rsidR="008A58CD" w:rsidRDefault="008A58CD" w:rsidP="0066046F">
      <w:pPr>
        <w:spacing w:before="100" w:beforeAutospacing="1" w:after="100" w:afterAutospacing="1" w:line="240" w:lineRule="auto"/>
        <w:jc w:val="both"/>
        <w:rPr>
          <w:rFonts w:eastAsia="Times New Roman"/>
        </w:rPr>
      </w:pPr>
    </w:p>
    <w:p w14:paraId="21D03CAD" w14:textId="77777777" w:rsidR="00C430E5" w:rsidRDefault="00C430E5" w:rsidP="0066046F">
      <w:pPr>
        <w:spacing w:before="100" w:beforeAutospacing="1" w:after="100" w:afterAutospacing="1" w:line="240" w:lineRule="auto"/>
        <w:jc w:val="both"/>
        <w:rPr>
          <w:rFonts w:eastAsia="Times New Roman"/>
        </w:rPr>
      </w:pPr>
    </w:p>
    <w:p w14:paraId="1900FC90" w14:textId="77777777" w:rsidR="008A58CD" w:rsidRDefault="008A58CD" w:rsidP="0066046F">
      <w:pPr>
        <w:spacing w:before="100" w:beforeAutospacing="1" w:after="100" w:afterAutospacing="1" w:line="240" w:lineRule="auto"/>
        <w:jc w:val="both"/>
        <w:rPr>
          <w:rFonts w:eastAsia="Times New Roman"/>
        </w:rPr>
      </w:pPr>
    </w:p>
    <w:p w14:paraId="0332AA6B" w14:textId="77777777" w:rsidR="008A58CD" w:rsidRDefault="008A58CD" w:rsidP="0066046F">
      <w:pPr>
        <w:spacing w:before="100" w:beforeAutospacing="1" w:after="100" w:afterAutospacing="1" w:line="240" w:lineRule="auto"/>
        <w:jc w:val="both"/>
        <w:rPr>
          <w:rFonts w:eastAsia="Times New Roman"/>
        </w:rPr>
      </w:pPr>
    </w:p>
    <w:p w14:paraId="698DC018" w14:textId="77777777" w:rsidR="00D57CBB" w:rsidRDefault="00D57CBB" w:rsidP="0066046F">
      <w:pPr>
        <w:spacing w:before="100" w:beforeAutospacing="1" w:after="100" w:afterAutospacing="1" w:line="240" w:lineRule="auto"/>
        <w:jc w:val="both"/>
        <w:rPr>
          <w:rFonts w:eastAsia="Times New Roman"/>
        </w:rPr>
      </w:pPr>
    </w:p>
    <w:p w14:paraId="493D640A" w14:textId="77777777" w:rsidR="00536DEA" w:rsidRDefault="00536DEA" w:rsidP="0066046F">
      <w:pPr>
        <w:spacing w:before="100" w:beforeAutospacing="1" w:after="100" w:afterAutospacing="1" w:line="240" w:lineRule="auto"/>
        <w:jc w:val="both"/>
        <w:rPr>
          <w:rFonts w:eastAsia="Times New Roman"/>
        </w:rPr>
      </w:pPr>
    </w:p>
    <w:p w14:paraId="769F8651" w14:textId="77777777" w:rsidR="008A58CD" w:rsidRPr="00DC427F" w:rsidRDefault="008A58CD" w:rsidP="0066046F">
      <w:pPr>
        <w:spacing w:before="100" w:beforeAutospacing="1" w:after="100" w:afterAutospacing="1" w:line="240" w:lineRule="auto"/>
        <w:jc w:val="both"/>
        <w:rPr>
          <w:rFonts w:eastAsia="Times New Roman"/>
        </w:rPr>
      </w:pPr>
    </w:p>
    <w:p w14:paraId="7ACB1BF5" w14:textId="5A370FDF" w:rsidR="009944A2" w:rsidRPr="00AA6C68" w:rsidRDefault="009944A2" w:rsidP="009944A2">
      <w:pPr>
        <w:pStyle w:val="ListParagraph"/>
        <w:numPr>
          <w:ilvl w:val="0"/>
          <w:numId w:val="1"/>
        </w:numPr>
        <w:spacing w:before="100" w:beforeAutospacing="1" w:after="100" w:afterAutospacing="1" w:line="240" w:lineRule="auto"/>
        <w:rPr>
          <w:rFonts w:eastAsia="Times New Roman"/>
          <w:b/>
          <w:u w:val="single"/>
        </w:rPr>
      </w:pPr>
      <w:r w:rsidRPr="00AA6C68">
        <w:rPr>
          <w:rFonts w:eastAsia="Times New Roman"/>
          <w:b/>
          <w:u w:val="single"/>
        </w:rPr>
        <w:lastRenderedPageBreak/>
        <w:t xml:space="preserve">Key features of the </w:t>
      </w:r>
      <w:r w:rsidR="0083737E">
        <w:rPr>
          <w:rFonts w:eastAsia="Times New Roman"/>
          <w:b/>
          <w:u w:val="single"/>
        </w:rPr>
        <w:t>T</w:t>
      </w:r>
      <w:r w:rsidR="0066046F">
        <w:rPr>
          <w:rFonts w:eastAsia="Times New Roman"/>
          <w:b/>
          <w:u w:val="single"/>
        </w:rPr>
        <w:t>IMES-CAC</w:t>
      </w:r>
      <w:r w:rsidR="0083737E">
        <w:rPr>
          <w:rFonts w:eastAsia="Times New Roman"/>
          <w:b/>
          <w:u w:val="single"/>
        </w:rPr>
        <w:t xml:space="preserve"> </w:t>
      </w:r>
      <w:r w:rsidRPr="00AA6C68">
        <w:rPr>
          <w:rFonts w:eastAsia="Times New Roman"/>
          <w:b/>
          <w:u w:val="single"/>
        </w:rPr>
        <w:t>model</w:t>
      </w:r>
    </w:p>
    <w:p w14:paraId="5CFC82D5" w14:textId="77777777" w:rsidR="009944A2" w:rsidRPr="00C322D3" w:rsidRDefault="009944A2" w:rsidP="009944A2">
      <w:pPr>
        <w:spacing w:before="100" w:beforeAutospacing="1" w:after="100" w:afterAutospacing="1" w:line="240" w:lineRule="auto"/>
        <w:rPr>
          <w:rFonts w:eastAsia="Times New Roman"/>
          <w:i/>
          <w:u w:val="single"/>
        </w:rPr>
      </w:pPr>
      <w:r w:rsidRPr="00C322D3">
        <w:rPr>
          <w:rFonts w:eastAsia="Times New Roman"/>
          <w:i/>
          <w:u w:val="single"/>
        </w:rPr>
        <w:t>2.1 Energy sectoral detail</w:t>
      </w:r>
    </w:p>
    <w:p w14:paraId="399952FD" w14:textId="7688D1FB" w:rsidR="00356488" w:rsidRDefault="00356488" w:rsidP="00356488">
      <w:pPr>
        <w:spacing w:before="100" w:beforeAutospacing="1" w:after="100" w:afterAutospacing="1" w:line="240" w:lineRule="auto"/>
        <w:jc w:val="both"/>
        <w:rPr>
          <w:rFonts w:cs="Times New Roman"/>
        </w:rPr>
      </w:pPr>
      <w:r w:rsidRPr="00356488">
        <w:rPr>
          <w:rFonts w:eastAsia="Times New Roman"/>
        </w:rPr>
        <w:t xml:space="preserve">The key-components of the </w:t>
      </w:r>
      <w:r w:rsidR="00610207">
        <w:rPr>
          <w:rFonts w:eastAsia="Times New Roman"/>
        </w:rPr>
        <w:t>TIMES-CAC</w:t>
      </w:r>
      <w:r w:rsidRPr="00356488">
        <w:rPr>
          <w:rFonts w:eastAsia="Times New Roman"/>
        </w:rPr>
        <w:t xml:space="preserve"> </w:t>
      </w:r>
      <w:r w:rsidR="00610207">
        <w:rPr>
          <w:rFonts w:eastAsia="Times New Roman"/>
        </w:rPr>
        <w:t>national tools</w:t>
      </w:r>
      <w:r w:rsidRPr="00356488">
        <w:rPr>
          <w:rFonts w:eastAsia="Times New Roman"/>
        </w:rPr>
        <w:t xml:space="preserve"> are the technologies </w:t>
      </w:r>
      <w:proofErr w:type="gramStart"/>
      <w:r w:rsidRPr="00356488">
        <w:rPr>
          <w:rFonts w:eastAsia="Times New Roman"/>
        </w:rPr>
        <w:t>for the production of</w:t>
      </w:r>
      <w:proofErr w:type="gramEnd"/>
      <w:r w:rsidRPr="00356488">
        <w:rPr>
          <w:rFonts w:eastAsia="Times New Roman"/>
        </w:rPr>
        <w:t xml:space="preserve"> primary and secondary commodities (mining </w:t>
      </w:r>
      <w:r w:rsidR="00610207">
        <w:rPr>
          <w:rFonts w:eastAsia="Times New Roman"/>
        </w:rPr>
        <w:t xml:space="preserve">&amp; extractions </w:t>
      </w:r>
      <w:r w:rsidRPr="00356488">
        <w:rPr>
          <w:rFonts w:eastAsia="Times New Roman"/>
        </w:rPr>
        <w:t>processes, power plants, refineries, etc.) together with the most representative appliances and devices of the demand sectors (boilers, lighting bulbs, road vehicles, etc.). The energy system development of each model region is driven by a set of demands for energy services in all sectors: agriculture, residential, commercial, industry, and</w:t>
      </w:r>
      <w:r w:rsidRPr="008B7F39">
        <w:rPr>
          <w:rFonts w:cs="Times New Roman"/>
        </w:rPr>
        <w:t xml:space="preserve"> transportation.</w:t>
      </w:r>
    </w:p>
    <w:p w14:paraId="0F5F3027" w14:textId="4A117925" w:rsidR="009944A2" w:rsidRDefault="009944A2" w:rsidP="00356488">
      <w:pPr>
        <w:spacing w:before="100" w:beforeAutospacing="1" w:after="100" w:afterAutospacing="1" w:line="240" w:lineRule="auto"/>
        <w:jc w:val="center"/>
        <w:rPr>
          <w:rFonts w:eastAsia="Times New Roman"/>
        </w:rPr>
      </w:pPr>
      <w:r w:rsidRPr="009944A2">
        <w:rPr>
          <w:noProof/>
          <w:lang w:val="en-GB" w:eastAsia="en-GB"/>
        </w:rPr>
        <w:drawing>
          <wp:inline distT="0" distB="0" distL="0" distR="0" wp14:anchorId="3D4748DA" wp14:editId="1210BDBA">
            <wp:extent cx="4699613" cy="29051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0402" cy="2911795"/>
                    </a:xfrm>
                    <a:prstGeom prst="rect">
                      <a:avLst/>
                    </a:prstGeom>
                  </pic:spPr>
                </pic:pic>
              </a:graphicData>
            </a:graphic>
          </wp:inline>
        </w:drawing>
      </w:r>
    </w:p>
    <w:p w14:paraId="51C6FD4B" w14:textId="50D27522" w:rsidR="00C322D3" w:rsidRPr="001A2186" w:rsidRDefault="001A2186" w:rsidP="009944A2">
      <w:pPr>
        <w:spacing w:before="100" w:beforeAutospacing="1" w:after="100" w:afterAutospacing="1" w:line="240" w:lineRule="auto"/>
        <w:rPr>
          <w:rFonts w:eastAsia="Times New Roman"/>
          <w:b/>
          <w:i/>
          <w:sz w:val="20"/>
        </w:rPr>
      </w:pPr>
      <w:r w:rsidRPr="001A2186">
        <w:rPr>
          <w:rFonts w:eastAsia="Times New Roman"/>
          <w:b/>
          <w:i/>
          <w:sz w:val="20"/>
        </w:rPr>
        <w:t>Figure 1 – Representation of the T</w:t>
      </w:r>
      <w:r w:rsidR="00174141">
        <w:rPr>
          <w:rFonts w:eastAsia="Times New Roman"/>
          <w:b/>
          <w:i/>
          <w:sz w:val="20"/>
        </w:rPr>
        <w:t>IMES-CAC</w:t>
      </w:r>
      <w:r w:rsidRPr="001A2186">
        <w:rPr>
          <w:rFonts w:eastAsia="Times New Roman"/>
          <w:b/>
          <w:i/>
          <w:sz w:val="20"/>
        </w:rPr>
        <w:t xml:space="preserve"> energy system for each region</w:t>
      </w:r>
      <w:r w:rsidR="00174141">
        <w:rPr>
          <w:rFonts w:eastAsia="Times New Roman"/>
          <w:b/>
          <w:i/>
          <w:sz w:val="20"/>
        </w:rPr>
        <w:t xml:space="preserve"> (equivalent to the TIAM model)</w:t>
      </w:r>
    </w:p>
    <w:p w14:paraId="30E06D71" w14:textId="0DE4B10E" w:rsidR="008A58CD" w:rsidRPr="00FA69DA" w:rsidRDefault="001A2186" w:rsidP="009944A2">
      <w:pPr>
        <w:spacing w:before="100" w:beforeAutospacing="1" w:after="100" w:afterAutospacing="1" w:line="240" w:lineRule="auto"/>
        <w:rPr>
          <w:rFonts w:eastAsia="Times New Roman"/>
          <w:sz w:val="20"/>
        </w:rPr>
      </w:pPr>
      <w:r w:rsidRPr="001A2186">
        <w:rPr>
          <w:rFonts w:eastAsia="Times New Roman"/>
          <w:sz w:val="20"/>
        </w:rPr>
        <w:t>Source: Authors, based on</w:t>
      </w:r>
      <w:r w:rsidR="00C9218F">
        <w:rPr>
          <w:rFonts w:eastAsia="Times New Roman"/>
          <w:sz w:val="20"/>
        </w:rPr>
        <w:t xml:space="preserve"> the original design of</w:t>
      </w:r>
      <w:r w:rsidRPr="001A2186">
        <w:rPr>
          <w:rFonts w:eastAsia="Times New Roman"/>
          <w:sz w:val="20"/>
        </w:rPr>
        <w:t xml:space="preserve"> Loulou and </w:t>
      </w:r>
      <w:proofErr w:type="spellStart"/>
      <w:r w:rsidRPr="001A2186">
        <w:rPr>
          <w:rFonts w:eastAsia="Times New Roman"/>
          <w:sz w:val="20"/>
        </w:rPr>
        <w:t>Labriet</w:t>
      </w:r>
      <w:proofErr w:type="spellEnd"/>
      <w:r w:rsidRPr="001A2186">
        <w:rPr>
          <w:rFonts w:eastAsia="Times New Roman"/>
          <w:sz w:val="20"/>
        </w:rPr>
        <w:t xml:space="preserve"> </w:t>
      </w:r>
      <w:r w:rsidRPr="001A2186">
        <w:rPr>
          <w:rFonts w:eastAsia="Times New Roman"/>
          <w:sz w:val="20"/>
        </w:rPr>
        <w:fldChar w:fldCharType="begin"/>
      </w:r>
      <w:r w:rsidRPr="001A2186">
        <w:rPr>
          <w:rFonts w:eastAsia="Times New Roman"/>
          <w:sz w:val="20"/>
        </w:rPr>
        <w:instrText xml:space="preserve"> ADDIN ZOTERO_ITEM CSL_CITATION {"citationID":"GGwIAyK4","properties":{"formattedCitation":"(2007)","plainCitation":"(2007)","noteIndex":0},"citationItems":[{"id":547,"uris":["http://zotero.org/users/655427/items/K3SNSF3F"],"uri":["http://zotero.org/users/655427/items/K3SNSF3F"],"itemData":{"id":547,"type":"article-journal","title":"ETSAP-TIAM: the TIMES integrated assessment model Part I: Model structure","container-title":"Computational Management Science","page":"7-40","volume":"5","issue":"1-2","source":"link.springer.com","abstract":"In this first part of a two-part article, the principal characteristics of the TIMES model and of its global incarnation as ETSAP-TIAM are presented and discussed. TIMES was conceived as a descendent of the MARKAL and EFOM paradigms, to which several new features were added to extend its functionalities and its applicability to the exploration of energy systems and the analysis of energy and environmental policies. The article stresses the technological nature of the model and its economic foundation and properties. The article stays at the conceptual and practical level, while a companion article is devoted to the more detailed formulation of TIMES equations. Special sections are devoted to the description of four optional features of TIMES: lumpy investments, endogenous technology learning, stochastic programming, and the climate module. The article ends with a brief description of recent applications of the ETSAP-TIAM model.","DOI":"10.1007/s10287-007-0046-z","ISSN":"1619-697X, 1619-6988","title-short":"ETSAP-TIAM","journalAbbreviation":"CMS","language":"en","author":[{"family":"Loulou","given":"Richard"},{"family":"Labriet","given":"Maryse"}],"issued":{"date-parts":[["2007",2,24]]}},"suppress-author":true}],"schema":"https://github.com/citation-style-language/schema/raw/master/csl-citation.json"} </w:instrText>
      </w:r>
      <w:r w:rsidRPr="001A2186">
        <w:rPr>
          <w:rFonts w:eastAsia="Times New Roman"/>
          <w:sz w:val="20"/>
        </w:rPr>
        <w:fldChar w:fldCharType="separate"/>
      </w:r>
      <w:r w:rsidRPr="001A2186">
        <w:rPr>
          <w:rFonts w:ascii="Calibri" w:hAnsi="Calibri" w:cs="Calibri"/>
          <w:sz w:val="20"/>
        </w:rPr>
        <w:t>(2007)</w:t>
      </w:r>
      <w:r w:rsidRPr="001A2186">
        <w:rPr>
          <w:rFonts w:eastAsia="Times New Roman"/>
          <w:sz w:val="20"/>
        </w:rPr>
        <w:fldChar w:fldCharType="end"/>
      </w:r>
    </w:p>
    <w:p w14:paraId="5136F248" w14:textId="2EE2F9F0" w:rsidR="00106C18" w:rsidRDefault="00C322D3" w:rsidP="009944A2">
      <w:pPr>
        <w:spacing w:before="100" w:beforeAutospacing="1" w:after="100" w:afterAutospacing="1" w:line="240" w:lineRule="auto"/>
        <w:rPr>
          <w:rFonts w:eastAsia="Times New Roman"/>
          <w:i/>
          <w:u w:val="single"/>
        </w:rPr>
      </w:pPr>
      <w:r>
        <w:rPr>
          <w:rFonts w:eastAsia="Times New Roman"/>
          <w:i/>
          <w:u w:val="single"/>
        </w:rPr>
        <w:t xml:space="preserve">2.2 </w:t>
      </w:r>
      <w:r w:rsidR="00D76D5A">
        <w:rPr>
          <w:rFonts w:eastAsia="Times New Roman"/>
          <w:i/>
          <w:u w:val="single"/>
        </w:rPr>
        <w:t>Geographic coverage</w:t>
      </w:r>
    </w:p>
    <w:p w14:paraId="4434F33A" w14:textId="5CC9E271" w:rsidR="002A3AFC" w:rsidRPr="009C751A" w:rsidRDefault="00174141" w:rsidP="009C751A">
      <w:pPr>
        <w:spacing w:before="100" w:beforeAutospacing="1" w:after="100" w:afterAutospacing="1" w:line="240" w:lineRule="auto"/>
        <w:jc w:val="both"/>
        <w:rPr>
          <w:rFonts w:eastAsia="Times New Roman"/>
        </w:rPr>
      </w:pPr>
      <w:r>
        <w:rPr>
          <w:rFonts w:eastAsia="Times New Roman"/>
        </w:rPr>
        <w:t>In its default version,</w:t>
      </w:r>
      <w:r w:rsidR="002B0624">
        <w:rPr>
          <w:rFonts w:eastAsia="Times New Roman"/>
        </w:rPr>
        <w:t xml:space="preserve"> the</w:t>
      </w:r>
      <w:r w:rsidR="00D76D5A">
        <w:rPr>
          <w:rFonts w:eastAsia="Times New Roman"/>
        </w:rPr>
        <w:t xml:space="preserve"> </w:t>
      </w:r>
      <w:r w:rsidR="004B34C4">
        <w:rPr>
          <w:rFonts w:eastAsia="Times New Roman"/>
        </w:rPr>
        <w:t>TIMES-CAC</w:t>
      </w:r>
      <w:r w:rsidR="00D76D5A">
        <w:rPr>
          <w:rFonts w:eastAsia="Times New Roman"/>
        </w:rPr>
        <w:t xml:space="preserve"> model covers </w:t>
      </w:r>
      <w:r>
        <w:rPr>
          <w:rFonts w:eastAsia="Times New Roman"/>
        </w:rPr>
        <w:t>four</w:t>
      </w:r>
      <w:r w:rsidR="00D76D5A">
        <w:rPr>
          <w:rFonts w:eastAsia="Times New Roman"/>
        </w:rPr>
        <w:t xml:space="preserve"> </w:t>
      </w:r>
      <w:r>
        <w:rPr>
          <w:rFonts w:eastAsia="Times New Roman"/>
        </w:rPr>
        <w:t>explicit regions</w:t>
      </w:r>
      <w:r w:rsidR="00997ACB">
        <w:rPr>
          <w:rFonts w:eastAsia="Times New Roman"/>
        </w:rPr>
        <w:t xml:space="preserve"> (countries)</w:t>
      </w:r>
      <w:r w:rsidR="00690B46">
        <w:rPr>
          <w:rFonts w:eastAsia="Times New Roman"/>
        </w:rPr>
        <w:t>.</w:t>
      </w:r>
      <w:r>
        <w:rPr>
          <w:rFonts w:eastAsia="Times New Roman"/>
        </w:rPr>
        <w:t xml:space="preserve"> </w:t>
      </w:r>
      <w:proofErr w:type="gramStart"/>
      <w:r w:rsidR="00690B46">
        <w:rPr>
          <w:rFonts w:eastAsia="Times New Roman"/>
        </w:rPr>
        <w:t>A</w:t>
      </w:r>
      <w:r>
        <w:rPr>
          <w:rFonts w:eastAsia="Times New Roman"/>
        </w:rPr>
        <w:t xml:space="preserve"> number of</w:t>
      </w:r>
      <w:proofErr w:type="gramEnd"/>
      <w:r>
        <w:rPr>
          <w:rFonts w:eastAsia="Times New Roman"/>
        </w:rPr>
        <w:t xml:space="preserve"> export routes</w:t>
      </w:r>
      <w:r w:rsidR="00D76D5A">
        <w:rPr>
          <w:rFonts w:eastAsia="Times New Roman"/>
        </w:rPr>
        <w:t xml:space="preserve"> </w:t>
      </w:r>
      <w:r>
        <w:rPr>
          <w:rFonts w:eastAsia="Times New Roman"/>
        </w:rPr>
        <w:t xml:space="preserve">(towards 3 </w:t>
      </w:r>
      <w:r w:rsidR="00997ACB">
        <w:rPr>
          <w:rFonts w:eastAsia="Times New Roman"/>
        </w:rPr>
        <w:t xml:space="preserve">key </w:t>
      </w:r>
      <w:r>
        <w:rPr>
          <w:rFonts w:eastAsia="Times New Roman"/>
        </w:rPr>
        <w:t>areas of energy transit/</w:t>
      </w:r>
      <w:r w:rsidR="00997ACB">
        <w:rPr>
          <w:rFonts w:eastAsia="Times New Roman"/>
        </w:rPr>
        <w:t xml:space="preserve">consumption, </w:t>
      </w:r>
      <w:r w:rsidR="009C751A">
        <w:rPr>
          <w:rFonts w:eastAsia="Times New Roman"/>
        </w:rPr>
        <w:t>namely Russia, Europe, China,</w:t>
      </w:r>
      <w:r w:rsidR="00B40FAE">
        <w:rPr>
          <w:rFonts w:eastAsia="Times New Roman"/>
        </w:rPr>
        <w:t xml:space="preserve"> which</w:t>
      </w:r>
      <w:r w:rsidR="009C751A">
        <w:rPr>
          <w:rFonts w:eastAsia="Times New Roman"/>
        </w:rPr>
        <w:t xml:space="preserve"> </w:t>
      </w:r>
      <w:r w:rsidR="00997ACB">
        <w:rPr>
          <w:rFonts w:eastAsia="Times New Roman"/>
        </w:rPr>
        <w:t xml:space="preserve">all well-represented in the </w:t>
      </w:r>
      <w:r w:rsidR="00997ACB" w:rsidRPr="00B40FAE">
        <w:rPr>
          <w:rFonts w:eastAsia="Times New Roman"/>
          <w:i/>
        </w:rPr>
        <w:t>Paris Reinforce</w:t>
      </w:r>
      <w:r w:rsidR="00997ACB">
        <w:rPr>
          <w:rFonts w:eastAsia="Times New Roman"/>
        </w:rPr>
        <w:t xml:space="preserve"> consortium</w:t>
      </w:r>
      <w:r>
        <w:rPr>
          <w:rFonts w:eastAsia="Times New Roman"/>
        </w:rPr>
        <w:t>)</w:t>
      </w:r>
      <w:r w:rsidR="00690B46">
        <w:rPr>
          <w:rFonts w:eastAsia="Times New Roman"/>
        </w:rPr>
        <w:t xml:space="preserve"> </w:t>
      </w:r>
      <w:r w:rsidR="009C751A">
        <w:rPr>
          <w:rFonts w:eastAsia="Times New Roman"/>
        </w:rPr>
        <w:t>are</w:t>
      </w:r>
      <w:r w:rsidR="00690B46">
        <w:rPr>
          <w:rFonts w:eastAsia="Times New Roman"/>
        </w:rPr>
        <w:t xml:space="preserve"> also simulated,</w:t>
      </w:r>
      <w:r>
        <w:rPr>
          <w:rFonts w:eastAsia="Times New Roman"/>
        </w:rPr>
        <w:t xml:space="preserve"> </w:t>
      </w:r>
      <w:r w:rsidR="00D76D5A">
        <w:rPr>
          <w:rFonts w:eastAsia="Times New Roman"/>
        </w:rPr>
        <w:t xml:space="preserve">as shown in </w:t>
      </w:r>
      <w:r>
        <w:rPr>
          <w:rFonts w:eastAsia="Times New Roman"/>
        </w:rPr>
        <w:t xml:space="preserve">following </w:t>
      </w:r>
      <w:r w:rsidR="00690B46">
        <w:rPr>
          <w:rFonts w:eastAsia="Times New Roman"/>
        </w:rPr>
        <w:t>figures</w:t>
      </w:r>
      <w:r w:rsidR="00B40FAE">
        <w:rPr>
          <w:rFonts w:eastAsia="Times New Roman"/>
        </w:rPr>
        <w:t>.</w:t>
      </w:r>
      <w:r w:rsidR="00AE3CA9">
        <w:rPr>
          <w:rFonts w:eastAsia="Times New Roman"/>
        </w:rPr>
        <w:t xml:space="preserve"> (</w:t>
      </w:r>
      <w:r w:rsidR="00B40FAE">
        <w:rPr>
          <w:rFonts w:eastAsia="Times New Roman"/>
        </w:rPr>
        <w:t>S</w:t>
      </w:r>
      <w:r w:rsidR="00AE3CA9">
        <w:rPr>
          <w:rFonts w:eastAsia="Times New Roman"/>
        </w:rPr>
        <w:t>tructure</w:t>
      </w:r>
      <w:r w:rsidR="00F608CE">
        <w:rPr>
          <w:rFonts w:eastAsia="Times New Roman"/>
        </w:rPr>
        <w:t xml:space="preserve"> and </w:t>
      </w:r>
      <w:r w:rsidR="00AE3CA9">
        <w:rPr>
          <w:rFonts w:eastAsia="Times New Roman"/>
        </w:rPr>
        <w:t>data as included in the</w:t>
      </w:r>
      <w:r w:rsidR="00690B46">
        <w:rPr>
          <w:rFonts w:eastAsia="Times New Roman"/>
        </w:rPr>
        <w:t xml:space="preserve"> current version of the</w:t>
      </w:r>
      <w:r w:rsidR="00AE3CA9">
        <w:rPr>
          <w:rFonts w:eastAsia="Times New Roman"/>
        </w:rPr>
        <w:t xml:space="preserve"> model)</w:t>
      </w:r>
      <w:r w:rsidR="009C751A">
        <w:rPr>
          <w:rFonts w:eastAsia="Times New Roman"/>
        </w:rPr>
        <w:t>.</w:t>
      </w:r>
    </w:p>
    <w:tbl>
      <w:tblPr>
        <w:tblStyle w:val="TableGrid"/>
        <w:tblW w:w="0" w:type="auto"/>
        <w:tblLook w:val="04A0" w:firstRow="1" w:lastRow="0" w:firstColumn="1" w:lastColumn="0" w:noHBand="0" w:noVBand="1"/>
      </w:tblPr>
      <w:tblGrid>
        <w:gridCol w:w="4675"/>
        <w:gridCol w:w="4675"/>
      </w:tblGrid>
      <w:tr w:rsidR="00997ACB" w14:paraId="14473F19" w14:textId="77777777" w:rsidTr="00511660">
        <w:tc>
          <w:tcPr>
            <w:tcW w:w="4675" w:type="dxa"/>
          </w:tcPr>
          <w:p w14:paraId="21E9B6A9" w14:textId="30D8B47F" w:rsidR="00997ACB" w:rsidRDefault="00997ACB" w:rsidP="00511660">
            <w:pPr>
              <w:spacing w:before="100" w:beforeAutospacing="1" w:after="100" w:afterAutospacing="1"/>
              <w:jc w:val="center"/>
              <w:rPr>
                <w:rFonts w:eastAsia="Times New Roman"/>
                <w:b/>
                <w:i/>
                <w:iCs/>
                <w:sz w:val="20"/>
                <w:szCs w:val="20"/>
              </w:rPr>
            </w:pPr>
            <w:r>
              <w:rPr>
                <w:rFonts w:eastAsia="Times New Roman"/>
                <w:b/>
                <w:i/>
                <w:iCs/>
                <w:noProof/>
                <w:sz w:val="20"/>
                <w:szCs w:val="20"/>
                <w:lang w:val="en-GB" w:eastAsia="en-GB"/>
              </w:rPr>
              <w:lastRenderedPageBreak/>
              <w:drawing>
                <wp:inline distT="0" distB="0" distL="0" distR="0" wp14:anchorId="64C7CF19" wp14:editId="53368500">
                  <wp:extent cx="2944368" cy="1737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4368" cy="1737360"/>
                          </a:xfrm>
                          <a:prstGeom prst="rect">
                            <a:avLst/>
                          </a:prstGeom>
                          <a:noFill/>
                        </pic:spPr>
                      </pic:pic>
                    </a:graphicData>
                  </a:graphic>
                </wp:inline>
              </w:drawing>
            </w:r>
          </w:p>
        </w:tc>
        <w:tc>
          <w:tcPr>
            <w:tcW w:w="4675" w:type="dxa"/>
          </w:tcPr>
          <w:p w14:paraId="1E112F10" w14:textId="313D997C" w:rsidR="00997ACB" w:rsidRDefault="00997ACB" w:rsidP="00511660">
            <w:pPr>
              <w:spacing w:before="100" w:beforeAutospacing="1" w:after="100" w:afterAutospacing="1"/>
              <w:jc w:val="center"/>
              <w:rPr>
                <w:rFonts w:eastAsia="Times New Roman"/>
                <w:b/>
                <w:i/>
                <w:iCs/>
                <w:sz w:val="20"/>
                <w:szCs w:val="20"/>
              </w:rPr>
            </w:pPr>
            <w:r>
              <w:rPr>
                <w:rFonts w:eastAsia="Times New Roman"/>
                <w:b/>
                <w:i/>
                <w:iCs/>
                <w:noProof/>
                <w:sz w:val="20"/>
                <w:szCs w:val="20"/>
                <w:lang w:val="en-GB" w:eastAsia="en-GB"/>
              </w:rPr>
              <w:drawing>
                <wp:anchor distT="0" distB="0" distL="114300" distR="114300" simplePos="0" relativeHeight="251660288" behindDoc="0" locked="0" layoutInCell="1" allowOverlap="1" wp14:anchorId="6794734F" wp14:editId="58CE025C">
                  <wp:simplePos x="3954780" y="922020"/>
                  <wp:positionH relativeFrom="margin">
                    <wp:align>center</wp:align>
                  </wp:positionH>
                  <wp:positionV relativeFrom="margin">
                    <wp:align>center</wp:align>
                  </wp:positionV>
                  <wp:extent cx="2944368" cy="1737360"/>
                  <wp:effectExtent l="0" t="0" r="889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4368" cy="1737360"/>
                          </a:xfrm>
                          <a:prstGeom prst="rect">
                            <a:avLst/>
                          </a:prstGeom>
                          <a:noFill/>
                        </pic:spPr>
                      </pic:pic>
                    </a:graphicData>
                  </a:graphic>
                </wp:anchor>
              </w:drawing>
            </w:r>
          </w:p>
        </w:tc>
      </w:tr>
      <w:tr w:rsidR="00997ACB" w14:paraId="0AFB8BF2" w14:textId="77777777" w:rsidTr="00511660">
        <w:tc>
          <w:tcPr>
            <w:tcW w:w="4675" w:type="dxa"/>
          </w:tcPr>
          <w:p w14:paraId="0C4C6419" w14:textId="7C9A05EE" w:rsidR="00997ACB" w:rsidRDefault="00997ACB" w:rsidP="00511660">
            <w:pPr>
              <w:spacing w:before="100" w:beforeAutospacing="1" w:after="100" w:afterAutospacing="1"/>
              <w:jc w:val="center"/>
              <w:rPr>
                <w:rFonts w:eastAsia="Times New Roman"/>
                <w:b/>
                <w:i/>
                <w:iCs/>
                <w:sz w:val="20"/>
                <w:szCs w:val="20"/>
              </w:rPr>
            </w:pPr>
            <w:r>
              <w:rPr>
                <w:rFonts w:eastAsia="Times New Roman"/>
                <w:b/>
                <w:i/>
                <w:iCs/>
                <w:noProof/>
                <w:sz w:val="20"/>
                <w:szCs w:val="20"/>
                <w:lang w:val="en-GB" w:eastAsia="en-GB"/>
              </w:rPr>
              <w:drawing>
                <wp:anchor distT="0" distB="0" distL="114300" distR="114300" simplePos="0" relativeHeight="251658240" behindDoc="0" locked="0" layoutInCell="1" allowOverlap="1" wp14:anchorId="205DA448" wp14:editId="59EA2F94">
                  <wp:simplePos x="982980" y="2667000"/>
                  <wp:positionH relativeFrom="margin">
                    <wp:align>center</wp:align>
                  </wp:positionH>
                  <wp:positionV relativeFrom="margin">
                    <wp:align>center</wp:align>
                  </wp:positionV>
                  <wp:extent cx="2944368" cy="1737360"/>
                  <wp:effectExtent l="0" t="0" r="889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4368" cy="1737360"/>
                          </a:xfrm>
                          <a:prstGeom prst="rect">
                            <a:avLst/>
                          </a:prstGeom>
                          <a:noFill/>
                        </pic:spPr>
                      </pic:pic>
                    </a:graphicData>
                  </a:graphic>
                  <wp14:sizeRelH relativeFrom="margin">
                    <wp14:pctWidth>0</wp14:pctWidth>
                  </wp14:sizeRelH>
                </wp:anchor>
              </w:drawing>
            </w:r>
          </w:p>
        </w:tc>
        <w:tc>
          <w:tcPr>
            <w:tcW w:w="4675" w:type="dxa"/>
          </w:tcPr>
          <w:p w14:paraId="69A8C788" w14:textId="2067CD64" w:rsidR="00997ACB" w:rsidRDefault="000111BA" w:rsidP="00511660">
            <w:pPr>
              <w:spacing w:before="100" w:beforeAutospacing="1" w:after="100" w:afterAutospacing="1"/>
              <w:jc w:val="center"/>
              <w:rPr>
                <w:rFonts w:eastAsia="Times New Roman"/>
                <w:b/>
                <w:i/>
                <w:iCs/>
                <w:sz w:val="20"/>
                <w:szCs w:val="20"/>
              </w:rPr>
            </w:pPr>
            <w:r>
              <w:rPr>
                <w:rFonts w:eastAsia="Times New Roman"/>
                <w:b/>
                <w:i/>
                <w:iCs/>
                <w:noProof/>
                <w:sz w:val="20"/>
                <w:szCs w:val="20"/>
                <w:lang w:val="en-GB" w:eastAsia="en-GB"/>
              </w:rPr>
              <w:drawing>
                <wp:anchor distT="0" distB="0" distL="114300" distR="114300" simplePos="0" relativeHeight="251659264" behindDoc="0" locked="0" layoutInCell="1" allowOverlap="1" wp14:anchorId="74F60236" wp14:editId="2BBA5640">
                  <wp:simplePos x="3970020" y="2667000"/>
                  <wp:positionH relativeFrom="margin">
                    <wp:align>center</wp:align>
                  </wp:positionH>
                  <wp:positionV relativeFrom="margin">
                    <wp:align>center</wp:align>
                  </wp:positionV>
                  <wp:extent cx="2944368" cy="1737360"/>
                  <wp:effectExtent l="0" t="0" r="889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4368" cy="173736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DC5D9EA" w14:textId="6A45ACD0" w:rsidR="009C751A" w:rsidRDefault="009C751A" w:rsidP="00610207">
      <w:pPr>
        <w:spacing w:before="100" w:beforeAutospacing="1" w:after="100" w:afterAutospacing="1" w:line="240" w:lineRule="auto"/>
        <w:jc w:val="both"/>
        <w:rPr>
          <w:rFonts w:eastAsia="Times New Roman"/>
          <w:sz w:val="20"/>
        </w:rPr>
      </w:pPr>
      <w:r>
        <w:rPr>
          <w:rFonts w:eastAsia="Times New Roman"/>
          <w:b/>
          <w:i/>
          <w:iCs/>
          <w:sz w:val="20"/>
          <w:szCs w:val="20"/>
        </w:rPr>
        <w:t>Figure 2</w:t>
      </w:r>
      <w:r w:rsidRPr="005657E5">
        <w:rPr>
          <w:rFonts w:eastAsia="Times New Roman"/>
          <w:b/>
          <w:i/>
          <w:iCs/>
          <w:sz w:val="20"/>
          <w:szCs w:val="20"/>
        </w:rPr>
        <w:t xml:space="preserve"> - Regional representation in T</w:t>
      </w:r>
      <w:r>
        <w:rPr>
          <w:rFonts w:eastAsia="Times New Roman"/>
          <w:b/>
          <w:i/>
          <w:iCs/>
          <w:sz w:val="20"/>
          <w:szCs w:val="20"/>
        </w:rPr>
        <w:t>IMES-CAC, connection with the rest of the world (</w:t>
      </w:r>
      <w:proofErr w:type="spellStart"/>
      <w:r>
        <w:rPr>
          <w:rFonts w:eastAsia="Times New Roman"/>
          <w:b/>
          <w:i/>
          <w:iCs/>
          <w:sz w:val="20"/>
          <w:szCs w:val="20"/>
        </w:rPr>
        <w:t>RoW</w:t>
      </w:r>
      <w:proofErr w:type="spellEnd"/>
      <w:r>
        <w:rPr>
          <w:rFonts w:eastAsia="Times New Roman"/>
          <w:b/>
          <w:i/>
          <w:iCs/>
          <w:sz w:val="20"/>
          <w:szCs w:val="20"/>
        </w:rPr>
        <w:t>), and key data</w:t>
      </w:r>
    </w:p>
    <w:p w14:paraId="658D8853" w14:textId="0308A698" w:rsidR="002A3AFC" w:rsidRPr="001A2186" w:rsidRDefault="002A3AFC" w:rsidP="00610207">
      <w:pPr>
        <w:spacing w:before="100" w:beforeAutospacing="1" w:after="100" w:afterAutospacing="1" w:line="240" w:lineRule="auto"/>
        <w:jc w:val="both"/>
        <w:rPr>
          <w:rFonts w:eastAsia="Times New Roman"/>
          <w:sz w:val="20"/>
        </w:rPr>
      </w:pPr>
      <w:r w:rsidRPr="001A2186">
        <w:rPr>
          <w:rFonts w:eastAsia="Times New Roman"/>
          <w:sz w:val="20"/>
        </w:rPr>
        <w:t>Source:</w:t>
      </w:r>
      <w:r w:rsidR="00682AD8">
        <w:rPr>
          <w:rFonts w:eastAsia="Times New Roman"/>
          <w:sz w:val="20"/>
        </w:rPr>
        <w:t xml:space="preserve"> Authors, elaborations</w:t>
      </w:r>
      <w:r w:rsidR="00FA69DA">
        <w:rPr>
          <w:rFonts w:eastAsia="Times New Roman"/>
          <w:sz w:val="20"/>
        </w:rPr>
        <w:t xml:space="preserve"> for internal reports and conferences</w:t>
      </w:r>
      <w:r w:rsidR="00F608CE">
        <w:rPr>
          <w:rFonts w:eastAsia="Times New Roman"/>
          <w:sz w:val="20"/>
        </w:rPr>
        <w:t>. Oil trade routes (red arrows) and gas trades routes (yellow arrows).</w:t>
      </w:r>
      <w:r w:rsidR="00E45F7E">
        <w:rPr>
          <w:rFonts w:eastAsia="Times New Roman"/>
          <w:sz w:val="20"/>
        </w:rPr>
        <w:t xml:space="preserve"> A Southern route </w:t>
      </w:r>
      <w:r w:rsidR="009F6225">
        <w:rPr>
          <w:rFonts w:eastAsia="Times New Roman"/>
          <w:sz w:val="20"/>
        </w:rPr>
        <w:t>“</w:t>
      </w:r>
      <w:r w:rsidR="00E45F7E">
        <w:rPr>
          <w:rFonts w:eastAsia="Times New Roman"/>
          <w:sz w:val="20"/>
        </w:rPr>
        <w:t>to India</w:t>
      </w:r>
      <w:r w:rsidR="009F6225">
        <w:rPr>
          <w:rFonts w:eastAsia="Times New Roman"/>
          <w:sz w:val="20"/>
        </w:rPr>
        <w:t>”</w:t>
      </w:r>
      <w:r w:rsidR="00E45F7E">
        <w:rPr>
          <w:rFonts w:eastAsia="Times New Roman"/>
          <w:sz w:val="20"/>
        </w:rPr>
        <w:t xml:space="preserve"> (through Afghanistan) can also be </w:t>
      </w:r>
      <w:proofErr w:type="spellStart"/>
      <w:r w:rsidR="0034470B">
        <w:rPr>
          <w:rFonts w:eastAsia="Times New Roman"/>
          <w:sz w:val="20"/>
        </w:rPr>
        <w:t>analysed</w:t>
      </w:r>
      <w:proofErr w:type="spellEnd"/>
      <w:r w:rsidR="00E45F7E">
        <w:rPr>
          <w:rFonts w:eastAsia="Times New Roman"/>
          <w:sz w:val="20"/>
        </w:rPr>
        <w:t>.</w:t>
      </w:r>
    </w:p>
    <w:p w14:paraId="2BEF71DC" w14:textId="72C31BC8" w:rsidR="00C322D3" w:rsidRPr="00C322D3" w:rsidRDefault="00C322D3" w:rsidP="009944A2">
      <w:pPr>
        <w:spacing w:before="100" w:beforeAutospacing="1" w:after="100" w:afterAutospacing="1" w:line="240" w:lineRule="auto"/>
        <w:rPr>
          <w:rFonts w:eastAsia="Times New Roman"/>
          <w:i/>
          <w:u w:val="single"/>
        </w:rPr>
      </w:pPr>
      <w:r w:rsidRPr="00C322D3">
        <w:rPr>
          <w:rFonts w:eastAsia="Times New Roman"/>
          <w:i/>
          <w:u w:val="single"/>
        </w:rPr>
        <w:t xml:space="preserve">2.3 </w:t>
      </w:r>
      <w:proofErr w:type="gramStart"/>
      <w:r w:rsidR="005657E5">
        <w:rPr>
          <w:rFonts w:eastAsia="Times New Roman"/>
          <w:i/>
          <w:u w:val="single"/>
        </w:rPr>
        <w:t>Multi-year</w:t>
      </w:r>
      <w:proofErr w:type="gramEnd"/>
      <w:r w:rsidR="005657E5">
        <w:rPr>
          <w:rFonts w:eastAsia="Times New Roman"/>
          <w:i/>
          <w:u w:val="single"/>
        </w:rPr>
        <w:t xml:space="preserve"> t</w:t>
      </w:r>
      <w:r w:rsidRPr="00C322D3">
        <w:rPr>
          <w:rFonts w:eastAsia="Times New Roman"/>
          <w:i/>
          <w:u w:val="single"/>
        </w:rPr>
        <w:t>ime periods</w:t>
      </w:r>
    </w:p>
    <w:p w14:paraId="75A77DD8" w14:textId="77777777" w:rsidR="001D7869" w:rsidRDefault="00C322D3" w:rsidP="00F300F3">
      <w:pPr>
        <w:spacing w:before="100" w:beforeAutospacing="1" w:after="100" w:afterAutospacing="1" w:line="240" w:lineRule="auto"/>
        <w:jc w:val="both"/>
        <w:rPr>
          <w:rFonts w:eastAsia="Times New Roman"/>
          <w:color w:val="000000" w:themeColor="text1"/>
        </w:rPr>
      </w:pPr>
      <w:r w:rsidRPr="0063686E">
        <w:rPr>
          <w:rFonts w:eastAsia="Times New Roman"/>
          <w:color w:val="000000" w:themeColor="text1"/>
        </w:rPr>
        <w:t>The time horizon</w:t>
      </w:r>
      <w:r w:rsidR="005657E5" w:rsidRPr="0063686E">
        <w:rPr>
          <w:rFonts w:eastAsia="Times New Roman"/>
          <w:color w:val="000000" w:themeColor="text1"/>
        </w:rPr>
        <w:t xml:space="preserve"> over which T</w:t>
      </w:r>
      <w:r w:rsidR="00A53AA1" w:rsidRPr="0063686E">
        <w:rPr>
          <w:rFonts w:eastAsia="Times New Roman"/>
          <w:color w:val="000000" w:themeColor="text1"/>
        </w:rPr>
        <w:t>IMES-CAC</w:t>
      </w:r>
      <w:r w:rsidRPr="0063686E">
        <w:rPr>
          <w:rFonts w:eastAsia="Times New Roman"/>
          <w:color w:val="000000" w:themeColor="text1"/>
        </w:rPr>
        <w:t xml:space="preserve"> </w:t>
      </w:r>
      <w:r w:rsidR="005657E5" w:rsidRPr="0063686E">
        <w:rPr>
          <w:rFonts w:eastAsia="Times New Roman"/>
          <w:color w:val="000000" w:themeColor="text1"/>
        </w:rPr>
        <w:t xml:space="preserve">simulates the evolution of the energy system </w:t>
      </w:r>
      <w:r w:rsidRPr="0063686E">
        <w:rPr>
          <w:rFonts w:eastAsia="Times New Roman"/>
          <w:color w:val="000000" w:themeColor="text1"/>
        </w:rPr>
        <w:t xml:space="preserve">is divided into a user-chosen number of time-periods. </w:t>
      </w:r>
      <w:r w:rsidR="00DB4F7D" w:rsidRPr="0063686E">
        <w:rPr>
          <w:rFonts w:eastAsia="Times New Roman"/>
          <w:color w:val="000000" w:themeColor="text1"/>
        </w:rPr>
        <w:t xml:space="preserve">In its </w:t>
      </w:r>
      <w:r w:rsidR="00F608CE" w:rsidRPr="0063686E">
        <w:rPr>
          <w:rFonts w:eastAsia="Times New Roman"/>
          <w:color w:val="000000" w:themeColor="text1"/>
        </w:rPr>
        <w:t>default (current)</w:t>
      </w:r>
      <w:r w:rsidR="00DB4F7D" w:rsidRPr="0063686E">
        <w:rPr>
          <w:rFonts w:eastAsia="Times New Roman"/>
          <w:color w:val="000000" w:themeColor="text1"/>
        </w:rPr>
        <w:t xml:space="preserve"> version</w:t>
      </w:r>
      <w:r w:rsidR="001D7869">
        <w:rPr>
          <w:rFonts w:eastAsia="Times New Roman"/>
          <w:color w:val="000000" w:themeColor="text1"/>
        </w:rPr>
        <w:t>,</w:t>
      </w:r>
      <w:r w:rsidR="00DB4F7D" w:rsidRPr="0063686E">
        <w:rPr>
          <w:rFonts w:eastAsia="Times New Roman"/>
          <w:color w:val="000000" w:themeColor="text1"/>
        </w:rPr>
        <w:t xml:space="preserve"> model runs</w:t>
      </w:r>
      <w:r w:rsidR="00F608CE" w:rsidRPr="0063686E">
        <w:rPr>
          <w:rFonts w:eastAsia="Times New Roman"/>
          <w:color w:val="000000" w:themeColor="text1"/>
        </w:rPr>
        <w:t xml:space="preserve"> </w:t>
      </w:r>
      <w:r w:rsidR="0063686E" w:rsidRPr="0063686E">
        <w:rPr>
          <w:rFonts w:eastAsia="Times New Roman"/>
          <w:color w:val="000000" w:themeColor="text1"/>
        </w:rPr>
        <w:t>from 2011 (base yea</w:t>
      </w:r>
      <w:r w:rsidR="001D7869">
        <w:rPr>
          <w:rFonts w:eastAsia="Times New Roman"/>
          <w:color w:val="000000" w:themeColor="text1"/>
        </w:rPr>
        <w:t>r) to the medium-to-long term through</w:t>
      </w:r>
      <w:r w:rsidR="0063686E" w:rsidRPr="0063686E">
        <w:rPr>
          <w:rFonts w:eastAsia="Times New Roman"/>
          <w:color w:val="000000" w:themeColor="text1"/>
        </w:rPr>
        <w:t xml:space="preserve"> 6 periods (the representative years of which are: 2011, 2013, 2020, 2030, 2040, 2050). All years </w:t>
      </w:r>
      <w:proofErr w:type="gramStart"/>
      <w:r w:rsidR="0063686E" w:rsidRPr="0063686E">
        <w:rPr>
          <w:rFonts w:eastAsia="Times New Roman"/>
          <w:color w:val="000000" w:themeColor="text1"/>
        </w:rPr>
        <w:t>in a given</w:t>
      </w:r>
      <w:proofErr w:type="gramEnd"/>
      <w:r w:rsidR="0063686E" w:rsidRPr="0063686E">
        <w:rPr>
          <w:rFonts w:eastAsia="Times New Roman"/>
          <w:color w:val="000000" w:themeColor="text1"/>
        </w:rPr>
        <w:t xml:space="preserve"> period are considered identical. For all quantities such as installed technology levels, power plant capacities and energy and emissions flows, any annual input quantity (</w:t>
      </w:r>
      <w:proofErr w:type="gramStart"/>
      <w:r w:rsidR="0063686E" w:rsidRPr="0063686E">
        <w:rPr>
          <w:rFonts w:eastAsia="Times New Roman"/>
          <w:color w:val="000000" w:themeColor="text1"/>
        </w:rPr>
        <w:t>e.g.</w:t>
      </w:r>
      <w:proofErr w:type="gramEnd"/>
      <w:r w:rsidR="0063686E" w:rsidRPr="0063686E">
        <w:rPr>
          <w:rFonts w:eastAsia="Times New Roman"/>
          <w:color w:val="000000" w:themeColor="text1"/>
        </w:rPr>
        <w:t xml:space="preserve"> coal used in a power plant per year) or output quantity (e.g. electricity generated from the coal plant per year) related to a given time period applies identically to each of the years in that period. </w:t>
      </w:r>
    </w:p>
    <w:p w14:paraId="795A6E08" w14:textId="024088E5" w:rsidR="00DB4F7D" w:rsidRPr="0063686E" w:rsidRDefault="0063686E" w:rsidP="00F300F3">
      <w:pPr>
        <w:spacing w:before="100" w:beforeAutospacing="1" w:after="100" w:afterAutospacing="1" w:line="240" w:lineRule="auto"/>
        <w:jc w:val="both"/>
        <w:rPr>
          <w:rFonts w:eastAsia="Times New Roman"/>
          <w:color w:val="000000" w:themeColor="text1"/>
        </w:rPr>
      </w:pPr>
      <w:r w:rsidRPr="0063686E">
        <w:rPr>
          <w:rFonts w:eastAsia="Times New Roman"/>
          <w:color w:val="000000" w:themeColor="text1"/>
        </w:rPr>
        <w:t>I</w:t>
      </w:r>
      <w:r w:rsidR="001D7869">
        <w:rPr>
          <w:rFonts w:eastAsia="Times New Roman"/>
          <w:color w:val="000000" w:themeColor="text1"/>
        </w:rPr>
        <w:t>n the framework of the project</w:t>
      </w:r>
      <w:r w:rsidR="00DB4F7D" w:rsidRPr="0063686E">
        <w:rPr>
          <w:rFonts w:eastAsia="Times New Roman"/>
          <w:color w:val="000000" w:themeColor="text1"/>
        </w:rPr>
        <w:t xml:space="preserve">, </w:t>
      </w:r>
      <w:proofErr w:type="gramStart"/>
      <w:r w:rsidR="00DB4F7D" w:rsidRPr="0063686E">
        <w:rPr>
          <w:rFonts w:eastAsia="Times New Roman"/>
          <w:color w:val="000000" w:themeColor="text1"/>
        </w:rPr>
        <w:t>model</w:t>
      </w:r>
      <w:proofErr w:type="gramEnd"/>
      <w:r w:rsidR="00DB4F7D" w:rsidRPr="0063686E">
        <w:rPr>
          <w:rFonts w:eastAsia="Times New Roman"/>
          <w:color w:val="000000" w:themeColor="text1"/>
        </w:rPr>
        <w:t xml:space="preserve"> can be further calibrated to different references years and run different horizon</w:t>
      </w:r>
      <w:r w:rsidRPr="0063686E">
        <w:rPr>
          <w:rFonts w:eastAsia="Times New Roman"/>
          <w:color w:val="000000" w:themeColor="text1"/>
        </w:rPr>
        <w:t>s</w:t>
      </w:r>
      <w:r w:rsidR="004743C8" w:rsidRPr="0063686E">
        <w:rPr>
          <w:rFonts w:eastAsia="Times New Roman"/>
          <w:color w:val="000000" w:themeColor="text1"/>
        </w:rPr>
        <w:t>/organization of periods</w:t>
      </w:r>
      <w:r w:rsidR="001D7869">
        <w:rPr>
          <w:rFonts w:eastAsia="Times New Roman"/>
          <w:color w:val="000000" w:themeColor="text1"/>
        </w:rPr>
        <w:t xml:space="preserve"> (if needed/helpful)</w:t>
      </w:r>
      <w:r w:rsidR="004743C8" w:rsidRPr="0063686E">
        <w:rPr>
          <w:rFonts w:eastAsia="Times New Roman"/>
          <w:color w:val="000000" w:themeColor="text1"/>
        </w:rPr>
        <w:t>.</w:t>
      </w:r>
    </w:p>
    <w:p w14:paraId="5BC61612" w14:textId="18FE0C06" w:rsidR="00C322D3" w:rsidRDefault="00C322D3" w:rsidP="009944A2">
      <w:pPr>
        <w:spacing w:before="100" w:beforeAutospacing="1" w:after="100" w:afterAutospacing="1" w:line="240" w:lineRule="auto"/>
        <w:rPr>
          <w:rFonts w:eastAsia="Times New Roman"/>
          <w:i/>
          <w:u w:val="single"/>
        </w:rPr>
      </w:pPr>
      <w:r w:rsidRPr="00C322D3">
        <w:rPr>
          <w:rFonts w:eastAsia="Times New Roman"/>
          <w:i/>
          <w:u w:val="single"/>
        </w:rPr>
        <w:t>2.</w:t>
      </w:r>
      <w:r w:rsidR="00162C5A">
        <w:rPr>
          <w:rFonts w:eastAsia="Times New Roman"/>
          <w:i/>
          <w:u w:val="single"/>
        </w:rPr>
        <w:t>4</w:t>
      </w:r>
      <w:r w:rsidRPr="00C322D3">
        <w:rPr>
          <w:rFonts w:eastAsia="Times New Roman"/>
          <w:i/>
          <w:u w:val="single"/>
        </w:rPr>
        <w:t xml:space="preserve"> Intra-year time </w:t>
      </w:r>
      <w:r w:rsidR="005657E5">
        <w:rPr>
          <w:rFonts w:eastAsia="Times New Roman"/>
          <w:i/>
          <w:u w:val="single"/>
        </w:rPr>
        <w:t>periods</w:t>
      </w:r>
      <w:r w:rsidR="00162C5A">
        <w:rPr>
          <w:rFonts w:eastAsia="Times New Roman"/>
          <w:i/>
          <w:u w:val="single"/>
        </w:rPr>
        <w:t xml:space="preserve"> (time slices)</w:t>
      </w:r>
    </w:p>
    <w:p w14:paraId="006D0706" w14:textId="33788BCD" w:rsidR="00F300F3" w:rsidRDefault="00C322D3" w:rsidP="00F300F3">
      <w:pPr>
        <w:spacing w:before="100" w:beforeAutospacing="1" w:after="100" w:afterAutospacing="1" w:line="240" w:lineRule="auto"/>
        <w:jc w:val="both"/>
        <w:rPr>
          <w:rFonts w:eastAsia="Times New Roman"/>
        </w:rPr>
      </w:pPr>
      <w:r w:rsidRPr="00C322D3">
        <w:rPr>
          <w:rFonts w:eastAsia="Times New Roman"/>
        </w:rPr>
        <w:t>In</w:t>
      </w:r>
      <w:r>
        <w:rPr>
          <w:rFonts w:eastAsia="Times New Roman"/>
        </w:rPr>
        <w:t xml:space="preserve"> </w:t>
      </w:r>
      <w:r w:rsidRPr="00C322D3">
        <w:rPr>
          <w:rFonts w:eastAsia="Times New Roman"/>
        </w:rPr>
        <w:t>addition</w:t>
      </w:r>
      <w:r>
        <w:rPr>
          <w:rFonts w:eastAsia="Times New Roman"/>
        </w:rPr>
        <w:t xml:space="preserve"> </w:t>
      </w:r>
      <w:r w:rsidRPr="00C322D3">
        <w:rPr>
          <w:rFonts w:eastAsia="Times New Roman"/>
        </w:rPr>
        <w:t>to</w:t>
      </w:r>
      <w:r>
        <w:rPr>
          <w:rFonts w:eastAsia="Times New Roman"/>
        </w:rPr>
        <w:t xml:space="preserve"> </w:t>
      </w:r>
      <w:r w:rsidR="005657E5">
        <w:rPr>
          <w:rFonts w:eastAsia="Times New Roman"/>
        </w:rPr>
        <w:t xml:space="preserve">the multi-year </w:t>
      </w:r>
      <w:r w:rsidRPr="00C322D3">
        <w:rPr>
          <w:rFonts w:eastAsia="Times New Roman"/>
        </w:rPr>
        <w:t>time</w:t>
      </w:r>
      <w:r w:rsidR="005657E5">
        <w:rPr>
          <w:rFonts w:eastAsia="Times New Roman"/>
        </w:rPr>
        <w:t xml:space="preserve"> </w:t>
      </w:r>
      <w:r w:rsidRPr="00C322D3">
        <w:rPr>
          <w:rFonts w:eastAsia="Times New Roman"/>
        </w:rPr>
        <w:t>periods</w:t>
      </w:r>
      <w:r w:rsidR="005657E5">
        <w:rPr>
          <w:rFonts w:eastAsia="Times New Roman"/>
        </w:rPr>
        <w:t xml:space="preserve"> described above</w:t>
      </w:r>
      <w:r w:rsidRPr="00C322D3">
        <w:rPr>
          <w:rFonts w:eastAsia="Times New Roman"/>
        </w:rPr>
        <w:t>,</w:t>
      </w:r>
      <w:r w:rsidR="0041777A">
        <w:rPr>
          <w:rFonts w:eastAsia="Times New Roman"/>
        </w:rPr>
        <w:t xml:space="preserve"> in </w:t>
      </w:r>
      <w:r w:rsidR="002B3056">
        <w:rPr>
          <w:rFonts w:eastAsia="Times New Roman"/>
        </w:rPr>
        <w:t>TIMES-CAC</w:t>
      </w:r>
      <w:r>
        <w:rPr>
          <w:rFonts w:eastAsia="Times New Roman"/>
        </w:rPr>
        <w:t xml:space="preserve"> </w:t>
      </w:r>
      <w:r w:rsidRPr="00C322D3">
        <w:rPr>
          <w:rFonts w:eastAsia="Times New Roman"/>
        </w:rPr>
        <w:t>there</w:t>
      </w:r>
      <w:r>
        <w:rPr>
          <w:rFonts w:eastAsia="Times New Roman"/>
        </w:rPr>
        <w:t xml:space="preserve"> </w:t>
      </w:r>
      <w:r w:rsidRPr="00C322D3">
        <w:rPr>
          <w:rFonts w:eastAsia="Times New Roman"/>
        </w:rPr>
        <w:t>are</w:t>
      </w:r>
      <w:r>
        <w:rPr>
          <w:rFonts w:eastAsia="Times New Roman"/>
        </w:rPr>
        <w:t xml:space="preserve"> </w:t>
      </w:r>
      <w:r w:rsidRPr="00C322D3">
        <w:rPr>
          <w:rFonts w:eastAsia="Times New Roman"/>
        </w:rPr>
        <w:t>time</w:t>
      </w:r>
      <w:r>
        <w:rPr>
          <w:rFonts w:eastAsia="Times New Roman"/>
        </w:rPr>
        <w:t xml:space="preserve"> </w:t>
      </w:r>
      <w:r w:rsidRPr="00C322D3">
        <w:rPr>
          <w:rFonts w:eastAsia="Times New Roman"/>
        </w:rPr>
        <w:t>divisions</w:t>
      </w:r>
      <w:r>
        <w:rPr>
          <w:rFonts w:eastAsia="Times New Roman"/>
        </w:rPr>
        <w:t xml:space="preserve"> </w:t>
      </w:r>
      <w:r w:rsidRPr="005657E5">
        <w:rPr>
          <w:rFonts w:eastAsia="Times New Roman"/>
          <w:b/>
          <w:bCs/>
          <w:i/>
          <w:iCs/>
        </w:rPr>
        <w:t>within</w:t>
      </w:r>
      <w:r>
        <w:rPr>
          <w:rFonts w:eastAsia="Times New Roman"/>
        </w:rPr>
        <w:t xml:space="preserve"> </w:t>
      </w:r>
      <w:r w:rsidRPr="00C322D3">
        <w:rPr>
          <w:rFonts w:eastAsia="Times New Roman"/>
        </w:rPr>
        <w:t>a</w:t>
      </w:r>
      <w:r>
        <w:rPr>
          <w:rFonts w:eastAsia="Times New Roman"/>
        </w:rPr>
        <w:t xml:space="preserve"> </w:t>
      </w:r>
      <w:r w:rsidRPr="00C322D3">
        <w:rPr>
          <w:rFonts w:eastAsia="Times New Roman"/>
        </w:rPr>
        <w:t>year,</w:t>
      </w:r>
      <w:r>
        <w:rPr>
          <w:rFonts w:eastAsia="Times New Roman"/>
        </w:rPr>
        <w:t xml:space="preserve"> </w:t>
      </w:r>
      <w:r w:rsidRPr="00C322D3">
        <w:rPr>
          <w:rFonts w:eastAsia="Times New Roman"/>
        </w:rPr>
        <w:t xml:space="preserve">called </w:t>
      </w:r>
      <w:r w:rsidR="005657E5">
        <w:rPr>
          <w:rFonts w:eastAsia="Times New Roman"/>
        </w:rPr>
        <w:t>“</w:t>
      </w:r>
      <w:r w:rsidRPr="00C322D3">
        <w:rPr>
          <w:rFonts w:eastAsia="Times New Roman"/>
        </w:rPr>
        <w:t>time</w:t>
      </w:r>
      <w:r w:rsidR="00162C5A">
        <w:rPr>
          <w:rFonts w:eastAsia="Times New Roman"/>
        </w:rPr>
        <w:t xml:space="preserve"> </w:t>
      </w:r>
      <w:r w:rsidRPr="00C322D3">
        <w:rPr>
          <w:rFonts w:eastAsia="Times New Roman"/>
        </w:rPr>
        <w:t>slices</w:t>
      </w:r>
      <w:r w:rsidR="005657E5">
        <w:rPr>
          <w:rFonts w:eastAsia="Times New Roman"/>
        </w:rPr>
        <w:t>”</w:t>
      </w:r>
      <w:r w:rsidRPr="00C322D3">
        <w:rPr>
          <w:rFonts w:eastAsia="Times New Roman"/>
        </w:rPr>
        <w:t>, which may be deﬁned by the user</w:t>
      </w:r>
      <w:r w:rsidR="005657E5">
        <w:rPr>
          <w:rFonts w:eastAsia="Times New Roman"/>
        </w:rPr>
        <w:t xml:space="preserve">, </w:t>
      </w:r>
      <w:proofErr w:type="gramStart"/>
      <w:r w:rsidR="005657E5">
        <w:rPr>
          <w:rFonts w:eastAsia="Times New Roman"/>
        </w:rPr>
        <w:t>so as to</w:t>
      </w:r>
      <w:proofErr w:type="gramEnd"/>
      <w:r w:rsidR="005657E5">
        <w:rPr>
          <w:rFonts w:eastAsia="Times New Roman"/>
        </w:rPr>
        <w:t xml:space="preserve"> capture different weather</w:t>
      </w:r>
      <w:r w:rsidR="00EC3337">
        <w:rPr>
          <w:rFonts w:eastAsia="Times New Roman"/>
        </w:rPr>
        <w:t xml:space="preserve">, consumer </w:t>
      </w:r>
      <w:proofErr w:type="spellStart"/>
      <w:r w:rsidR="00EC3337">
        <w:rPr>
          <w:rFonts w:eastAsia="Times New Roman"/>
        </w:rPr>
        <w:t>behaviours</w:t>
      </w:r>
      <w:proofErr w:type="spellEnd"/>
      <w:r w:rsidR="00EC3337">
        <w:rPr>
          <w:rFonts w:eastAsia="Times New Roman"/>
        </w:rPr>
        <w:t>,</w:t>
      </w:r>
      <w:r w:rsidR="005657E5">
        <w:rPr>
          <w:rFonts w:eastAsia="Times New Roman"/>
        </w:rPr>
        <w:t xml:space="preserve"> and energy demand conditions at different times of the year</w:t>
      </w:r>
      <w:r w:rsidRPr="00C322D3">
        <w:rPr>
          <w:rFonts w:eastAsia="Times New Roman"/>
        </w:rPr>
        <w:t xml:space="preserve">. </w:t>
      </w:r>
      <w:r>
        <w:rPr>
          <w:rFonts w:eastAsia="Times New Roman"/>
        </w:rPr>
        <w:t xml:space="preserve">There are currently </w:t>
      </w:r>
      <w:r w:rsidR="00657C4F">
        <w:rPr>
          <w:rFonts w:eastAsia="Times New Roman"/>
        </w:rPr>
        <w:t>9</w:t>
      </w:r>
      <w:r>
        <w:rPr>
          <w:rFonts w:eastAsia="Times New Roman"/>
        </w:rPr>
        <w:t xml:space="preserve"> time-slices </w:t>
      </w:r>
      <w:r w:rsidR="005657E5">
        <w:rPr>
          <w:rFonts w:eastAsia="Times New Roman"/>
        </w:rPr>
        <w:t xml:space="preserve">representing summer daytime, summer </w:t>
      </w:r>
      <w:proofErr w:type="gramStart"/>
      <w:r w:rsidR="005657E5">
        <w:rPr>
          <w:rFonts w:eastAsia="Times New Roman"/>
        </w:rPr>
        <w:t>night time</w:t>
      </w:r>
      <w:proofErr w:type="gramEnd"/>
      <w:r w:rsidR="005657E5">
        <w:rPr>
          <w:rFonts w:eastAsia="Times New Roman"/>
        </w:rPr>
        <w:t>,</w:t>
      </w:r>
      <w:r w:rsidR="00F300F3">
        <w:rPr>
          <w:rFonts w:eastAsia="Times New Roman"/>
        </w:rPr>
        <w:t xml:space="preserve"> and a peak moment in summer,</w:t>
      </w:r>
      <w:r w:rsidR="005657E5">
        <w:rPr>
          <w:rFonts w:eastAsia="Times New Roman"/>
        </w:rPr>
        <w:t xml:space="preserve"> winter </w:t>
      </w:r>
      <w:r w:rsidR="005657E5">
        <w:rPr>
          <w:rFonts w:eastAsia="Times New Roman"/>
        </w:rPr>
        <w:lastRenderedPageBreak/>
        <w:t xml:space="preserve">daytime, winter night time, </w:t>
      </w:r>
      <w:r w:rsidR="00F300F3">
        <w:rPr>
          <w:rFonts w:eastAsia="Times New Roman"/>
        </w:rPr>
        <w:t xml:space="preserve">and a peak moment in winter, </w:t>
      </w:r>
      <w:r w:rsidR="005657E5">
        <w:rPr>
          <w:rFonts w:eastAsia="Times New Roman"/>
        </w:rPr>
        <w:t xml:space="preserve">and </w:t>
      </w:r>
      <w:r w:rsidR="00F300F3">
        <w:rPr>
          <w:rFonts w:eastAsia="Times New Roman"/>
        </w:rPr>
        <w:t>an intermediate season</w:t>
      </w:r>
      <w:r w:rsidR="005657E5">
        <w:rPr>
          <w:rFonts w:eastAsia="Times New Roman"/>
        </w:rPr>
        <w:t xml:space="preserve"> day time and night time</w:t>
      </w:r>
      <w:r w:rsidR="00F300F3">
        <w:rPr>
          <w:rFonts w:eastAsia="Times New Roman"/>
        </w:rPr>
        <w:t xml:space="preserve"> and peak moment</w:t>
      </w:r>
      <w:r w:rsidR="00610207">
        <w:rPr>
          <w:rFonts w:eastAsia="Times New Roman"/>
        </w:rPr>
        <w:t xml:space="preserve"> in the intermediate season</w:t>
      </w:r>
      <w:r w:rsidR="00EC3337">
        <w:rPr>
          <w:rFonts w:eastAsia="Times New Roman"/>
        </w:rPr>
        <w:t>.</w:t>
      </w:r>
    </w:p>
    <w:p w14:paraId="0CAF9C08" w14:textId="4B94BC5B" w:rsidR="00F300F3" w:rsidRDefault="00C322D3" w:rsidP="00F300F3">
      <w:pPr>
        <w:spacing w:before="100" w:beforeAutospacing="1" w:after="100" w:afterAutospacing="1" w:line="240" w:lineRule="auto"/>
        <w:jc w:val="both"/>
        <w:rPr>
          <w:rFonts w:eastAsia="Times New Roman"/>
        </w:rPr>
      </w:pPr>
      <w:r w:rsidRPr="00C322D3">
        <w:rPr>
          <w:rFonts w:eastAsia="Times New Roman"/>
        </w:rPr>
        <w:t>Time-slices are especially important whenever the mode and cost of production of an energy carrier</w:t>
      </w:r>
      <w:r w:rsidR="00162C5A">
        <w:rPr>
          <w:rFonts w:eastAsia="Times New Roman"/>
        </w:rPr>
        <w:t xml:space="preserve"> </w:t>
      </w:r>
      <w:r w:rsidRPr="00C322D3">
        <w:rPr>
          <w:rFonts w:eastAsia="Times New Roman"/>
        </w:rPr>
        <w:t>at different times of the year are signiﬁcantly different</w:t>
      </w:r>
      <w:r w:rsidR="004B4DE9">
        <w:rPr>
          <w:rFonts w:eastAsia="Times New Roman"/>
        </w:rPr>
        <w:t xml:space="preserve"> </w:t>
      </w:r>
      <w:r w:rsidR="004B4DE9">
        <w:rPr>
          <w:rFonts w:eastAsia="Times New Roman"/>
        </w:rPr>
        <w:fldChar w:fldCharType="begin"/>
      </w:r>
      <w:r w:rsidR="00C874DB">
        <w:rPr>
          <w:rFonts w:eastAsia="Times New Roman"/>
        </w:rPr>
        <w:instrText xml:space="preserve"> ADDIN ZOTERO_ITEM CSL_CITATION {"citationID":"T5dnpnKd","properties":{"formattedCitation":"(Loulou and Labriet, 2007)","plainCitation":"(Loulou and Labriet, 2007)","noteIndex":0},"citationItems":[{"id":547,"uris":["http://zotero.org/users/655427/items/K3SNSF3F"],"uri":["http://zotero.org/users/655427/items/K3SNSF3F"],"itemData":{"id":547,"type":"article-journal","title":"ETSAP-TIAM: the TIMES integrated assessment model Part I: Model structure","container-title":"Computational Management Science","page":"7-40","volume":"5","issue":"1-2","source":"link.springer.com","abstract":"In this first part of a two-part article, the principal characteristics of the TIMES model and of its global incarnation as ETSAP-TIAM are presented and discussed. TIMES was conceived as a descendent of the MARKAL and EFOM paradigms, to which several new features were added to extend its functionalities and its applicability to the exploration of energy systems and the analysis of energy and environmental policies. The article stresses the technological nature of the model and its economic foundation and properties. The article stays at the conceptual and practical level, while a companion article is devoted to the more detailed formulation of TIMES equations. Special sections are devoted to the description of four optional features of TIMES: lumpy investments, endogenous technology learning, stochastic programming, and the climate module. The article ends with a brief description of recent applications of the ETSAP-TIAM model.","DOI":"10.1007/s10287-007-0046-z","ISSN":"1619-697X, 1619-6988","title-short":"ETSAP-TIAM","journalAbbreviation":"CMS","language":"en","author":[{"family":"Loulou","given":"Richard"},{"family":"Labriet","given":"Maryse"}],"issued":{"date-parts":[["2007",2,24]]}}}],"schema":"https://github.com/citation-style-language/schema/raw/master/csl-citation.json"} </w:instrText>
      </w:r>
      <w:r w:rsidR="004B4DE9">
        <w:rPr>
          <w:rFonts w:eastAsia="Times New Roman"/>
        </w:rPr>
        <w:fldChar w:fldCharType="separate"/>
      </w:r>
      <w:r w:rsidR="004B4DE9" w:rsidRPr="00DC427F">
        <w:rPr>
          <w:rFonts w:ascii="Calibri" w:hAnsi="Calibri" w:cs="Calibri"/>
        </w:rPr>
        <w:t>(Loulou and Labriet, 2007)</w:t>
      </w:r>
      <w:r w:rsidR="004B4DE9">
        <w:rPr>
          <w:rFonts w:eastAsia="Times New Roman"/>
        </w:rPr>
        <w:fldChar w:fldCharType="end"/>
      </w:r>
      <w:r w:rsidRPr="00C322D3">
        <w:rPr>
          <w:rFonts w:eastAsia="Times New Roman"/>
        </w:rPr>
        <w:t>. This is the case for instance when the demand for an e</w:t>
      </w:r>
      <w:r w:rsidR="00162C5A">
        <w:rPr>
          <w:rFonts w:eastAsia="Times New Roman"/>
        </w:rPr>
        <w:t xml:space="preserve">lectricity </w:t>
      </w:r>
      <w:r w:rsidRPr="00C322D3">
        <w:rPr>
          <w:rFonts w:eastAsia="Times New Roman"/>
        </w:rPr>
        <w:t>ﬂuctuates across the year and a variety of technologies may be chosen for its production</w:t>
      </w:r>
      <w:r w:rsidR="00162C5A">
        <w:rPr>
          <w:rFonts w:eastAsia="Times New Roman"/>
        </w:rPr>
        <w:t xml:space="preserve"> at given times of the year (such as wind power when wind resources are high, and solar photovoltaics when there is a high availability of solar radiation</w:t>
      </w:r>
      <w:r w:rsidRPr="00C322D3">
        <w:rPr>
          <w:rFonts w:eastAsia="Times New Roman"/>
        </w:rPr>
        <w:t xml:space="preserve">. In such cases, the matching of supply and demand requires that the activities of the technologies producing and consuming the </w:t>
      </w:r>
      <w:r w:rsidR="00162C5A">
        <w:rPr>
          <w:rFonts w:eastAsia="Times New Roman"/>
        </w:rPr>
        <w:t>electricity</w:t>
      </w:r>
      <w:r w:rsidRPr="00C322D3">
        <w:rPr>
          <w:rFonts w:eastAsia="Times New Roman"/>
        </w:rPr>
        <w:t xml:space="preserve"> be tracked </w:t>
      </w:r>
      <w:r w:rsidR="00162C5A">
        <w:rPr>
          <w:rFonts w:eastAsia="Times New Roman"/>
        </w:rPr>
        <w:t xml:space="preserve">– and matched - </w:t>
      </w:r>
      <w:r w:rsidRPr="00C322D3">
        <w:rPr>
          <w:rFonts w:eastAsia="Times New Roman"/>
        </w:rPr>
        <w:t>in each time s</w:t>
      </w:r>
      <w:r>
        <w:rPr>
          <w:rFonts w:eastAsia="Times New Roman"/>
        </w:rPr>
        <w:t>lice.</w:t>
      </w:r>
    </w:p>
    <w:p w14:paraId="78CC74B0" w14:textId="0A1EFC8A" w:rsidR="000E6215" w:rsidRPr="003C5688" w:rsidRDefault="000E6215" w:rsidP="003C5688">
      <w:pPr>
        <w:pStyle w:val="ListParagraph"/>
        <w:numPr>
          <w:ilvl w:val="0"/>
          <w:numId w:val="1"/>
        </w:numPr>
        <w:spacing w:before="100" w:beforeAutospacing="1" w:after="100" w:afterAutospacing="1" w:line="240" w:lineRule="auto"/>
        <w:rPr>
          <w:rFonts w:eastAsia="Times New Roman"/>
          <w:b/>
          <w:u w:val="single"/>
        </w:rPr>
      </w:pPr>
      <w:r w:rsidRPr="003C5688">
        <w:rPr>
          <w:rFonts w:eastAsia="Times New Roman"/>
          <w:b/>
          <w:u w:val="single"/>
        </w:rPr>
        <w:t>Climate module &amp; emissions</w:t>
      </w:r>
      <w:r w:rsidR="0061332A">
        <w:rPr>
          <w:rFonts w:eastAsia="Times New Roman"/>
          <w:b/>
          <w:u w:val="single"/>
        </w:rPr>
        <w:t xml:space="preserve"> granularity</w:t>
      </w:r>
    </w:p>
    <w:p w14:paraId="22CDF6FC" w14:textId="572DA207" w:rsidR="00FF3BF7" w:rsidRPr="0050732D" w:rsidRDefault="0050732D" w:rsidP="0050732D">
      <w:pPr>
        <w:spacing w:before="100" w:beforeAutospacing="1" w:after="100" w:afterAutospacing="1" w:line="240" w:lineRule="auto"/>
        <w:jc w:val="both"/>
        <w:rPr>
          <w:rFonts w:eastAsia="Times New Roman"/>
        </w:rPr>
      </w:pPr>
      <w:r w:rsidRPr="0050732D">
        <w:rPr>
          <w:rFonts w:eastAsia="Times New Roman"/>
        </w:rPr>
        <w:t>The model tracks the three main sources of greenhouse gases - carbon dioxide (CO</w:t>
      </w:r>
      <w:r w:rsidRPr="0050732D">
        <w:rPr>
          <w:rFonts w:eastAsia="Times New Roman"/>
          <w:vertAlign w:val="subscript"/>
        </w:rPr>
        <w:t>2</w:t>
      </w:r>
      <w:r w:rsidRPr="0050732D">
        <w:rPr>
          <w:rFonts w:eastAsia="Times New Roman"/>
        </w:rPr>
        <w:t>), methane (CH</w:t>
      </w:r>
      <w:r w:rsidRPr="0050732D">
        <w:rPr>
          <w:rFonts w:eastAsia="Times New Roman"/>
          <w:vertAlign w:val="subscript"/>
        </w:rPr>
        <w:t>4</w:t>
      </w:r>
      <w:r w:rsidRPr="0050732D">
        <w:rPr>
          <w:rFonts w:eastAsia="Times New Roman"/>
        </w:rPr>
        <w:t>) and nitrous oxide (N</w:t>
      </w:r>
      <w:r w:rsidRPr="0050732D">
        <w:rPr>
          <w:rFonts w:eastAsia="Times New Roman"/>
          <w:vertAlign w:val="subscript"/>
        </w:rPr>
        <w:t>2</w:t>
      </w:r>
      <w:r w:rsidRPr="0050732D">
        <w:rPr>
          <w:rFonts w:eastAsia="Times New Roman"/>
        </w:rPr>
        <w:t>0).</w:t>
      </w:r>
      <w:r>
        <w:rPr>
          <w:rFonts w:eastAsia="Times New Roman"/>
        </w:rPr>
        <w:t xml:space="preserve"> </w:t>
      </w:r>
      <w:r w:rsidRPr="0050732D">
        <w:rPr>
          <w:rFonts w:eastAsia="Times New Roman"/>
        </w:rPr>
        <w:t xml:space="preserve">A special module of the </w:t>
      </w:r>
      <w:r>
        <w:rPr>
          <w:rFonts w:eastAsia="Times New Roman"/>
        </w:rPr>
        <w:t>TIMES-CAC</w:t>
      </w:r>
      <w:r w:rsidRPr="0050732D">
        <w:rPr>
          <w:rFonts w:eastAsia="Times New Roman"/>
        </w:rPr>
        <w:t xml:space="preserve"> can be enabled to let other two countries</w:t>
      </w:r>
      <w:r w:rsidR="008121D3">
        <w:rPr>
          <w:rFonts w:eastAsia="Times New Roman"/>
        </w:rPr>
        <w:t xml:space="preserve"> of the Centra</w:t>
      </w:r>
      <w:r w:rsidR="0062244C">
        <w:rPr>
          <w:rFonts w:eastAsia="Times New Roman"/>
        </w:rPr>
        <w:t>l-</w:t>
      </w:r>
      <w:r w:rsidR="008121D3">
        <w:rPr>
          <w:rFonts w:eastAsia="Times New Roman"/>
        </w:rPr>
        <w:t>Asian region</w:t>
      </w:r>
      <w:r w:rsidRPr="0050732D">
        <w:rPr>
          <w:rFonts w:eastAsia="Times New Roman"/>
        </w:rPr>
        <w:t xml:space="preserve"> (virtually modelled)</w:t>
      </w:r>
      <w:r w:rsidR="00610207">
        <w:rPr>
          <w:rFonts w:eastAsia="Times New Roman"/>
        </w:rPr>
        <w:t>,</w:t>
      </w:r>
      <w:r w:rsidRPr="0050732D">
        <w:rPr>
          <w:rFonts w:eastAsia="Times New Roman"/>
        </w:rPr>
        <w:t xml:space="preserve"> to participate in the GHG emission reduction effort</w:t>
      </w:r>
      <w:r>
        <w:rPr>
          <w:rFonts w:eastAsia="Times New Roman"/>
        </w:rPr>
        <w:t xml:space="preserve"> (through a virtual market trading scheme</w:t>
      </w:r>
      <w:r w:rsidR="00070A45">
        <w:rPr>
          <w:rFonts w:eastAsia="Times New Roman"/>
        </w:rPr>
        <w:t xml:space="preserve"> extended to 4+2 regions of the area</w:t>
      </w:r>
      <w:r>
        <w:rPr>
          <w:rFonts w:eastAsia="Times New Roman"/>
        </w:rPr>
        <w:t>)</w:t>
      </w:r>
      <w:r w:rsidRPr="0050732D">
        <w:rPr>
          <w:rFonts w:eastAsia="Times New Roman"/>
        </w:rPr>
        <w:t>.</w:t>
      </w:r>
    </w:p>
    <w:p w14:paraId="2461268F" w14:textId="716D8358" w:rsidR="009163B3" w:rsidRDefault="003C5688" w:rsidP="003C5688">
      <w:pPr>
        <w:pStyle w:val="ListParagraph"/>
        <w:numPr>
          <w:ilvl w:val="0"/>
          <w:numId w:val="1"/>
        </w:numPr>
        <w:spacing w:before="100" w:beforeAutospacing="1" w:after="100" w:afterAutospacing="1" w:line="240" w:lineRule="auto"/>
        <w:rPr>
          <w:rFonts w:eastAsia="Times New Roman"/>
          <w:b/>
          <w:u w:val="single"/>
        </w:rPr>
      </w:pPr>
      <w:r>
        <w:rPr>
          <w:rFonts w:eastAsia="Times New Roman"/>
          <w:b/>
          <w:u w:val="single"/>
        </w:rPr>
        <w:t>S</w:t>
      </w:r>
      <w:r w:rsidR="000E6215" w:rsidRPr="003C5688">
        <w:rPr>
          <w:rFonts w:eastAsia="Times New Roman"/>
          <w:b/>
          <w:u w:val="single"/>
        </w:rPr>
        <w:t xml:space="preserve">ocioeconomic dimensions </w:t>
      </w:r>
      <w:r w:rsidR="009163B3" w:rsidRPr="003C5688">
        <w:rPr>
          <w:rFonts w:eastAsia="Times New Roman"/>
          <w:b/>
          <w:u w:val="single"/>
        </w:rPr>
        <w:t xml:space="preserve"> </w:t>
      </w:r>
    </w:p>
    <w:p w14:paraId="1154B318" w14:textId="75026A91" w:rsidR="00162C5A" w:rsidRDefault="00162C5A" w:rsidP="0098169A">
      <w:pPr>
        <w:spacing w:before="100" w:beforeAutospacing="1" w:after="100" w:afterAutospacing="1" w:line="240" w:lineRule="auto"/>
        <w:jc w:val="both"/>
        <w:rPr>
          <w:rFonts w:eastAsia="Times New Roman"/>
          <w:bCs/>
          <w:color w:val="000000" w:themeColor="text1"/>
        </w:rPr>
      </w:pPr>
      <w:r w:rsidRPr="00F133A6">
        <w:rPr>
          <w:rFonts w:eastAsia="Times New Roman"/>
          <w:bCs/>
          <w:color w:val="000000" w:themeColor="text1"/>
        </w:rPr>
        <w:t>The TI</w:t>
      </w:r>
      <w:r w:rsidR="00F133A6" w:rsidRPr="00F133A6">
        <w:rPr>
          <w:rFonts w:eastAsia="Times New Roman"/>
          <w:bCs/>
          <w:color w:val="000000" w:themeColor="text1"/>
        </w:rPr>
        <w:t>MES-CAC</w:t>
      </w:r>
      <w:r w:rsidRPr="00F133A6">
        <w:rPr>
          <w:rFonts w:eastAsia="Times New Roman"/>
          <w:bCs/>
          <w:color w:val="000000" w:themeColor="text1"/>
        </w:rPr>
        <w:t xml:space="preserve"> model requires inputs concer</w:t>
      </w:r>
      <w:r w:rsidR="00F133A6" w:rsidRPr="00F133A6">
        <w:rPr>
          <w:rFonts w:eastAsia="Times New Roman"/>
          <w:bCs/>
          <w:color w:val="000000" w:themeColor="text1"/>
        </w:rPr>
        <w:t>ning the degree to which energy service d</w:t>
      </w:r>
      <w:r w:rsidRPr="00F133A6">
        <w:rPr>
          <w:rFonts w:eastAsia="Times New Roman"/>
          <w:bCs/>
          <w:color w:val="000000" w:themeColor="text1"/>
        </w:rPr>
        <w:t>emand</w:t>
      </w:r>
      <w:r w:rsidR="00F133A6" w:rsidRPr="00F133A6">
        <w:rPr>
          <w:rFonts w:eastAsia="Times New Roman"/>
          <w:bCs/>
          <w:color w:val="000000" w:themeColor="text1"/>
        </w:rPr>
        <w:t>s</w:t>
      </w:r>
      <w:r w:rsidRPr="00F133A6">
        <w:rPr>
          <w:rFonts w:eastAsia="Times New Roman"/>
          <w:bCs/>
          <w:color w:val="000000" w:themeColor="text1"/>
        </w:rPr>
        <w:t>, as well as demand for other goods and services which result in greenhouse gas emissions (such as agricultural demand)</w:t>
      </w:r>
      <w:r w:rsidR="00F133A6" w:rsidRPr="00F133A6">
        <w:rPr>
          <w:rFonts w:eastAsia="Times New Roman"/>
          <w:bCs/>
          <w:color w:val="000000" w:themeColor="text1"/>
        </w:rPr>
        <w:t>,</w:t>
      </w:r>
      <w:r w:rsidRPr="00F133A6">
        <w:rPr>
          <w:rFonts w:eastAsia="Times New Roman"/>
          <w:bCs/>
          <w:color w:val="000000" w:themeColor="text1"/>
        </w:rPr>
        <w:t xml:space="preserve"> will grow over the course of </w:t>
      </w:r>
      <w:r w:rsidR="00F133A6" w:rsidRPr="00F133A6">
        <w:rPr>
          <w:rFonts w:eastAsia="Times New Roman"/>
          <w:bCs/>
          <w:color w:val="000000" w:themeColor="text1"/>
        </w:rPr>
        <w:t>next decades</w:t>
      </w:r>
      <w:r w:rsidR="00F133A6">
        <w:rPr>
          <w:rFonts w:eastAsia="Times New Roman"/>
          <w:bCs/>
          <w:color w:val="000000" w:themeColor="text1"/>
        </w:rPr>
        <w:t xml:space="preserve"> in the different countries</w:t>
      </w:r>
      <w:r w:rsidRPr="00F133A6">
        <w:rPr>
          <w:rFonts w:eastAsia="Times New Roman"/>
          <w:bCs/>
          <w:color w:val="000000" w:themeColor="text1"/>
        </w:rPr>
        <w:t>. It does this by using various socio-economic inputs, as described in th</w:t>
      </w:r>
      <w:r w:rsidR="00A00421">
        <w:rPr>
          <w:rFonts w:eastAsia="Times New Roman"/>
          <w:bCs/>
          <w:color w:val="000000" w:themeColor="text1"/>
        </w:rPr>
        <w:t>e following table (</w:t>
      </w:r>
      <w:r w:rsidR="004C537F">
        <w:rPr>
          <w:rFonts w:eastAsia="Times New Roman"/>
          <w:bCs/>
          <w:color w:val="000000" w:themeColor="text1"/>
        </w:rPr>
        <w:t xml:space="preserve">current </w:t>
      </w:r>
      <w:r w:rsidR="00A00421">
        <w:rPr>
          <w:rFonts w:eastAsia="Times New Roman"/>
          <w:bCs/>
          <w:color w:val="000000" w:themeColor="text1"/>
        </w:rPr>
        <w:t>default values) and sections</w:t>
      </w:r>
      <w:r w:rsidRPr="00F133A6">
        <w:rPr>
          <w:rFonts w:eastAsia="Times New Roman"/>
          <w:bCs/>
          <w:color w:val="000000" w:themeColor="text1"/>
        </w:rPr>
        <w:t>.</w:t>
      </w:r>
      <w:r w:rsidR="00A00421">
        <w:rPr>
          <w:rFonts w:eastAsia="Times New Roman"/>
          <w:bCs/>
          <w:color w:val="000000" w:themeColor="text1"/>
        </w:rPr>
        <w:t xml:space="preserve"> Data </w:t>
      </w:r>
      <w:r w:rsidR="004C537F">
        <w:rPr>
          <w:rFonts w:eastAsia="Times New Roman"/>
          <w:bCs/>
          <w:color w:val="000000" w:themeColor="text1"/>
        </w:rPr>
        <w:t xml:space="preserve">will be revised and updated before running the model </w:t>
      </w:r>
      <w:r w:rsidR="00696D67">
        <w:rPr>
          <w:rFonts w:eastAsia="Times New Roman"/>
          <w:bCs/>
          <w:color w:val="000000" w:themeColor="text1"/>
        </w:rPr>
        <w:t>under</w:t>
      </w:r>
      <w:r w:rsidR="004C537F">
        <w:rPr>
          <w:rFonts w:eastAsia="Times New Roman"/>
          <w:bCs/>
          <w:color w:val="000000" w:themeColor="text1"/>
        </w:rPr>
        <w:t xml:space="preserve"> the </w:t>
      </w:r>
      <w:r w:rsidR="004C537F" w:rsidRPr="00696D67">
        <w:rPr>
          <w:rFonts w:eastAsia="Times New Roman"/>
          <w:bCs/>
          <w:i/>
          <w:color w:val="000000" w:themeColor="text1"/>
        </w:rPr>
        <w:t>Paris Reinforce</w:t>
      </w:r>
      <w:r w:rsidR="004C537F">
        <w:rPr>
          <w:rFonts w:eastAsia="Times New Roman"/>
          <w:bCs/>
          <w:color w:val="000000" w:themeColor="text1"/>
        </w:rPr>
        <w:t xml:space="preserve"> project.</w:t>
      </w:r>
    </w:p>
    <w:p w14:paraId="0517A9BE" w14:textId="3532995F" w:rsidR="00590C0F" w:rsidRPr="00590C0F" w:rsidRDefault="00590C0F" w:rsidP="00590C0F">
      <w:pPr>
        <w:spacing w:before="100" w:beforeAutospacing="1" w:after="100" w:afterAutospacing="1" w:line="240" w:lineRule="auto"/>
        <w:rPr>
          <w:rFonts w:eastAsia="Times New Roman"/>
          <w:b/>
          <w:bCs/>
          <w:i/>
          <w:iCs/>
          <w:sz w:val="20"/>
          <w:szCs w:val="20"/>
        </w:rPr>
      </w:pPr>
      <w:r w:rsidRPr="00A9375E">
        <w:rPr>
          <w:rFonts w:eastAsia="Times New Roman"/>
          <w:b/>
          <w:bCs/>
          <w:i/>
          <w:iCs/>
          <w:sz w:val="20"/>
          <w:szCs w:val="20"/>
        </w:rPr>
        <w:t xml:space="preserve">Table </w:t>
      </w:r>
      <w:r>
        <w:rPr>
          <w:rFonts w:eastAsia="Times New Roman"/>
          <w:b/>
          <w:bCs/>
          <w:i/>
          <w:iCs/>
          <w:sz w:val="20"/>
          <w:szCs w:val="20"/>
        </w:rPr>
        <w:t>1</w:t>
      </w:r>
      <w:r w:rsidRPr="00A9375E">
        <w:rPr>
          <w:rFonts w:eastAsia="Times New Roman"/>
          <w:b/>
          <w:bCs/>
          <w:i/>
          <w:iCs/>
          <w:sz w:val="20"/>
          <w:szCs w:val="20"/>
        </w:rPr>
        <w:t xml:space="preserve"> </w:t>
      </w:r>
      <w:r>
        <w:rPr>
          <w:rFonts w:eastAsia="Times New Roman"/>
          <w:b/>
          <w:bCs/>
          <w:i/>
          <w:iCs/>
          <w:sz w:val="20"/>
          <w:szCs w:val="20"/>
        </w:rPr>
        <w:t>-</w:t>
      </w:r>
      <w:r w:rsidRPr="00A9375E">
        <w:rPr>
          <w:rFonts w:eastAsia="Times New Roman"/>
          <w:b/>
          <w:bCs/>
          <w:i/>
          <w:iCs/>
          <w:sz w:val="20"/>
          <w:szCs w:val="20"/>
        </w:rPr>
        <w:t xml:space="preserve"> </w:t>
      </w:r>
      <w:r>
        <w:rPr>
          <w:rFonts w:eastAsia="Times New Roman"/>
          <w:b/>
          <w:bCs/>
          <w:i/>
          <w:iCs/>
          <w:sz w:val="20"/>
          <w:szCs w:val="20"/>
        </w:rPr>
        <w:t xml:space="preserve">Key </w:t>
      </w:r>
      <w:proofErr w:type="gramStart"/>
      <w:r>
        <w:rPr>
          <w:rFonts w:eastAsia="Times New Roman"/>
          <w:b/>
          <w:bCs/>
          <w:i/>
          <w:iCs/>
          <w:sz w:val="20"/>
          <w:szCs w:val="20"/>
        </w:rPr>
        <w:t>socio economic</w:t>
      </w:r>
      <w:proofErr w:type="gramEnd"/>
      <w:r>
        <w:rPr>
          <w:rFonts w:eastAsia="Times New Roman"/>
          <w:b/>
          <w:bCs/>
          <w:i/>
          <w:iCs/>
          <w:sz w:val="20"/>
          <w:szCs w:val="20"/>
        </w:rPr>
        <w:t xml:space="preserve"> inputs</w:t>
      </w:r>
      <w:r w:rsidRPr="00A9375E">
        <w:rPr>
          <w:rFonts w:eastAsia="Times New Roman"/>
          <w:b/>
          <w:bCs/>
          <w:i/>
          <w:iCs/>
          <w:sz w:val="20"/>
          <w:szCs w:val="20"/>
        </w:rPr>
        <w:t xml:space="preserve"> in T</w:t>
      </w:r>
      <w:r>
        <w:rPr>
          <w:rFonts w:eastAsia="Times New Roman"/>
          <w:b/>
          <w:bCs/>
          <w:i/>
          <w:iCs/>
          <w:sz w:val="20"/>
          <w:szCs w:val="20"/>
        </w:rPr>
        <w:t>IMES-CAC</w:t>
      </w:r>
    </w:p>
    <w:tbl>
      <w:tblPr>
        <w:tblW w:w="9172" w:type="dxa"/>
        <w:jc w:val="center"/>
        <w:tblBorders>
          <w:top w:val="single" w:sz="12" w:space="0" w:color="auto"/>
          <w:bottom w:val="single" w:sz="12" w:space="0" w:color="auto"/>
        </w:tblBorders>
        <w:tblCellMar>
          <w:left w:w="57" w:type="dxa"/>
          <w:right w:w="57" w:type="dxa"/>
        </w:tblCellMar>
        <w:tblLook w:val="04A0" w:firstRow="1" w:lastRow="0" w:firstColumn="1" w:lastColumn="0" w:noHBand="0" w:noVBand="1"/>
      </w:tblPr>
      <w:tblGrid>
        <w:gridCol w:w="503"/>
        <w:gridCol w:w="3119"/>
        <w:gridCol w:w="1097"/>
        <w:gridCol w:w="698"/>
        <w:gridCol w:w="748"/>
        <w:gridCol w:w="16"/>
        <w:gridCol w:w="681"/>
        <w:gridCol w:w="52"/>
        <w:gridCol w:w="749"/>
        <w:gridCol w:w="1509"/>
      </w:tblGrid>
      <w:tr w:rsidR="00A00421" w:rsidRPr="007A5C63" w14:paraId="42E7EEEB" w14:textId="0229E52B" w:rsidTr="000E7968">
        <w:trPr>
          <w:trHeight w:val="227"/>
          <w:jc w:val="center"/>
        </w:trPr>
        <w:tc>
          <w:tcPr>
            <w:tcW w:w="503" w:type="dxa"/>
            <w:tcBorders>
              <w:top w:val="single" w:sz="12" w:space="0" w:color="auto"/>
              <w:left w:val="dotted" w:sz="6" w:space="0" w:color="auto"/>
              <w:bottom w:val="nil"/>
              <w:right w:val="nil"/>
            </w:tcBorders>
            <w:vAlign w:val="center"/>
          </w:tcPr>
          <w:p w14:paraId="5141BDC5" w14:textId="77777777" w:rsidR="00A00421" w:rsidRPr="00AD3F93" w:rsidRDefault="00A00421" w:rsidP="002B0624">
            <w:pPr>
              <w:tabs>
                <w:tab w:val="left" w:pos="2903"/>
              </w:tabs>
              <w:spacing w:after="0" w:line="240" w:lineRule="auto"/>
              <w:rPr>
                <w:rFonts w:eastAsia="Times New Roman" w:cs="Times New Roman"/>
                <w:b/>
                <w:color w:val="000000"/>
                <w:sz w:val="18"/>
                <w:szCs w:val="18"/>
                <w:lang w:eastAsia="en-GB"/>
              </w:rPr>
            </w:pPr>
          </w:p>
        </w:tc>
        <w:tc>
          <w:tcPr>
            <w:tcW w:w="3119" w:type="dxa"/>
            <w:tcBorders>
              <w:top w:val="single" w:sz="12" w:space="0" w:color="auto"/>
              <w:left w:val="nil"/>
              <w:bottom w:val="nil"/>
              <w:right w:val="nil"/>
            </w:tcBorders>
            <w:shd w:val="clear" w:color="auto" w:fill="auto"/>
            <w:noWrap/>
            <w:vAlign w:val="center"/>
          </w:tcPr>
          <w:p w14:paraId="621A015C" w14:textId="77777777" w:rsidR="00A00421" w:rsidRPr="00AD3F93" w:rsidRDefault="00A00421" w:rsidP="002B0624">
            <w:pPr>
              <w:tabs>
                <w:tab w:val="left" w:pos="2903"/>
              </w:tabs>
              <w:spacing w:after="0" w:line="240" w:lineRule="auto"/>
              <w:rPr>
                <w:rFonts w:eastAsia="Times New Roman" w:cs="Times New Roman"/>
                <w:b/>
                <w:color w:val="000000"/>
                <w:sz w:val="18"/>
                <w:szCs w:val="18"/>
                <w:lang w:eastAsia="en-GB"/>
              </w:rPr>
            </w:pPr>
            <w:r>
              <w:rPr>
                <w:rFonts w:eastAsia="Times New Roman" w:cs="Times New Roman"/>
                <w:b/>
                <w:color w:val="000000"/>
                <w:sz w:val="18"/>
                <w:szCs w:val="18"/>
                <w:lang w:eastAsia="en-GB"/>
              </w:rPr>
              <w:t>Indicator</w:t>
            </w:r>
          </w:p>
        </w:tc>
        <w:tc>
          <w:tcPr>
            <w:tcW w:w="1097" w:type="dxa"/>
            <w:tcBorders>
              <w:top w:val="single" w:sz="12" w:space="0" w:color="auto"/>
              <w:left w:val="nil"/>
              <w:bottom w:val="nil"/>
              <w:right w:val="nil"/>
            </w:tcBorders>
            <w:vAlign w:val="center"/>
          </w:tcPr>
          <w:p w14:paraId="1AB31B9D"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r w:rsidRPr="00AD3F93">
              <w:rPr>
                <w:rFonts w:eastAsia="Times New Roman" w:cs="Times New Roman"/>
                <w:b/>
                <w:color w:val="000000"/>
                <w:sz w:val="18"/>
                <w:szCs w:val="18"/>
                <w:lang w:eastAsia="en-GB"/>
              </w:rPr>
              <w:t>Values</w:t>
            </w:r>
          </w:p>
        </w:tc>
        <w:tc>
          <w:tcPr>
            <w:tcW w:w="698" w:type="dxa"/>
            <w:tcBorders>
              <w:top w:val="single" w:sz="12" w:space="0" w:color="auto"/>
              <w:left w:val="nil"/>
              <w:bottom w:val="nil"/>
              <w:right w:val="dotted" w:sz="6" w:space="0" w:color="auto"/>
            </w:tcBorders>
            <w:vAlign w:val="center"/>
          </w:tcPr>
          <w:p w14:paraId="64370CCE"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r w:rsidRPr="00AD3F93">
              <w:rPr>
                <w:rFonts w:eastAsia="Times New Roman" w:cs="Times New Roman"/>
                <w:b/>
                <w:color w:val="000000"/>
                <w:sz w:val="18"/>
                <w:szCs w:val="18"/>
                <w:lang w:eastAsia="en-GB"/>
              </w:rPr>
              <w:t>In 2009</w:t>
            </w:r>
          </w:p>
        </w:tc>
        <w:tc>
          <w:tcPr>
            <w:tcW w:w="2246" w:type="dxa"/>
            <w:gridSpan w:val="5"/>
            <w:tcBorders>
              <w:top w:val="single" w:sz="12" w:space="0" w:color="auto"/>
              <w:left w:val="dotted" w:sz="6" w:space="0" w:color="auto"/>
              <w:bottom w:val="nil"/>
              <w:right w:val="dotted" w:sz="6" w:space="0" w:color="auto"/>
            </w:tcBorders>
            <w:shd w:val="clear" w:color="auto" w:fill="auto"/>
            <w:noWrap/>
            <w:vAlign w:val="center"/>
          </w:tcPr>
          <w:p w14:paraId="2EF33293" w14:textId="77777777" w:rsidR="00A00421" w:rsidRDefault="00A00421" w:rsidP="002B0624">
            <w:pPr>
              <w:spacing w:after="0" w:line="240" w:lineRule="auto"/>
              <w:jc w:val="center"/>
              <w:rPr>
                <w:rFonts w:eastAsia="Times New Roman" w:cs="Times New Roman"/>
                <w:b/>
                <w:color w:val="000000"/>
                <w:sz w:val="18"/>
                <w:szCs w:val="18"/>
                <w:lang w:eastAsia="en-GB"/>
              </w:rPr>
            </w:pPr>
            <w:r>
              <w:rPr>
                <w:rFonts w:eastAsia="Times New Roman" w:cs="Times New Roman"/>
                <w:b/>
                <w:color w:val="000000"/>
                <w:sz w:val="18"/>
                <w:szCs w:val="18"/>
                <w:lang w:eastAsia="en-GB"/>
              </w:rPr>
              <w:t>Growth index (2009=100)</w:t>
            </w:r>
          </w:p>
        </w:tc>
        <w:tc>
          <w:tcPr>
            <w:tcW w:w="1509" w:type="dxa"/>
            <w:tcBorders>
              <w:top w:val="single" w:sz="12" w:space="0" w:color="auto"/>
              <w:left w:val="dotted" w:sz="6" w:space="0" w:color="auto"/>
              <w:bottom w:val="nil"/>
              <w:right w:val="dotted" w:sz="6" w:space="0" w:color="auto"/>
            </w:tcBorders>
          </w:tcPr>
          <w:p w14:paraId="1C4961A3" w14:textId="77777777" w:rsidR="00A00421" w:rsidRDefault="00A00421" w:rsidP="002B0624">
            <w:pPr>
              <w:spacing w:after="0" w:line="240" w:lineRule="auto"/>
              <w:jc w:val="center"/>
              <w:rPr>
                <w:rFonts w:eastAsia="Times New Roman" w:cs="Times New Roman"/>
                <w:b/>
                <w:color w:val="000000"/>
                <w:sz w:val="18"/>
                <w:szCs w:val="18"/>
                <w:lang w:eastAsia="en-GB"/>
              </w:rPr>
            </w:pPr>
          </w:p>
        </w:tc>
      </w:tr>
      <w:tr w:rsidR="00A00421" w:rsidRPr="007A5C63" w14:paraId="4A1A8593" w14:textId="46337AD7" w:rsidTr="000E7968">
        <w:trPr>
          <w:trHeight w:val="227"/>
          <w:jc w:val="center"/>
        </w:trPr>
        <w:tc>
          <w:tcPr>
            <w:tcW w:w="503" w:type="dxa"/>
            <w:tcBorders>
              <w:top w:val="nil"/>
              <w:left w:val="dotted" w:sz="6" w:space="0" w:color="auto"/>
              <w:bottom w:val="nil"/>
            </w:tcBorders>
            <w:vAlign w:val="center"/>
          </w:tcPr>
          <w:p w14:paraId="56C58C14" w14:textId="77777777" w:rsidR="00A00421" w:rsidRPr="00AD3F93" w:rsidRDefault="00A00421" w:rsidP="002B0624">
            <w:pPr>
              <w:tabs>
                <w:tab w:val="left" w:pos="2903"/>
              </w:tabs>
              <w:spacing w:after="0" w:line="240" w:lineRule="auto"/>
              <w:rPr>
                <w:rFonts w:eastAsia="Times New Roman" w:cs="Times New Roman"/>
                <w:b/>
                <w:color w:val="000000"/>
                <w:sz w:val="18"/>
                <w:szCs w:val="18"/>
                <w:lang w:eastAsia="en-GB"/>
              </w:rPr>
            </w:pPr>
          </w:p>
        </w:tc>
        <w:tc>
          <w:tcPr>
            <w:tcW w:w="3119" w:type="dxa"/>
            <w:tcBorders>
              <w:top w:val="nil"/>
              <w:bottom w:val="nil"/>
            </w:tcBorders>
            <w:shd w:val="clear" w:color="auto" w:fill="auto"/>
            <w:noWrap/>
            <w:vAlign w:val="center"/>
          </w:tcPr>
          <w:p w14:paraId="739BCBE1" w14:textId="77777777" w:rsidR="00A00421" w:rsidRPr="00AD3F93" w:rsidRDefault="00A00421" w:rsidP="002B0624">
            <w:pPr>
              <w:tabs>
                <w:tab w:val="left" w:pos="2903"/>
              </w:tabs>
              <w:spacing w:after="0" w:line="240" w:lineRule="auto"/>
              <w:rPr>
                <w:rFonts w:eastAsia="Times New Roman" w:cs="Times New Roman"/>
                <w:b/>
                <w:color w:val="000000"/>
                <w:sz w:val="18"/>
                <w:szCs w:val="18"/>
                <w:lang w:eastAsia="en-GB"/>
              </w:rPr>
            </w:pPr>
          </w:p>
        </w:tc>
        <w:tc>
          <w:tcPr>
            <w:tcW w:w="1097" w:type="dxa"/>
            <w:tcBorders>
              <w:top w:val="nil"/>
              <w:bottom w:val="nil"/>
            </w:tcBorders>
            <w:vAlign w:val="center"/>
          </w:tcPr>
          <w:p w14:paraId="3AE9772B"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p>
        </w:tc>
        <w:tc>
          <w:tcPr>
            <w:tcW w:w="698" w:type="dxa"/>
            <w:tcBorders>
              <w:top w:val="nil"/>
              <w:bottom w:val="nil"/>
              <w:right w:val="dotted" w:sz="6" w:space="0" w:color="auto"/>
            </w:tcBorders>
            <w:vAlign w:val="center"/>
          </w:tcPr>
          <w:p w14:paraId="298D6CFC"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p>
        </w:tc>
        <w:tc>
          <w:tcPr>
            <w:tcW w:w="748" w:type="dxa"/>
            <w:tcBorders>
              <w:top w:val="nil"/>
              <w:left w:val="dotted" w:sz="6" w:space="0" w:color="auto"/>
              <w:bottom w:val="nil"/>
              <w:right w:val="dotted" w:sz="6" w:space="0" w:color="auto"/>
            </w:tcBorders>
            <w:shd w:val="clear" w:color="auto" w:fill="auto"/>
            <w:noWrap/>
            <w:vAlign w:val="center"/>
          </w:tcPr>
          <w:p w14:paraId="319ADA83"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r w:rsidRPr="00AD3F93">
              <w:rPr>
                <w:rFonts w:eastAsia="Times New Roman" w:cs="Times New Roman"/>
                <w:b/>
                <w:color w:val="000000"/>
                <w:sz w:val="18"/>
                <w:szCs w:val="18"/>
                <w:lang w:eastAsia="en-GB"/>
              </w:rPr>
              <w:t>2020</w:t>
            </w:r>
          </w:p>
        </w:tc>
        <w:tc>
          <w:tcPr>
            <w:tcW w:w="749" w:type="dxa"/>
            <w:gridSpan w:val="3"/>
            <w:tcBorders>
              <w:top w:val="nil"/>
              <w:left w:val="dotted" w:sz="6" w:space="0" w:color="auto"/>
              <w:bottom w:val="nil"/>
              <w:right w:val="dotted" w:sz="6" w:space="0" w:color="auto"/>
            </w:tcBorders>
            <w:shd w:val="clear" w:color="auto" w:fill="auto"/>
            <w:vAlign w:val="center"/>
          </w:tcPr>
          <w:p w14:paraId="1CBD9AB3"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r w:rsidRPr="00AD3F93">
              <w:rPr>
                <w:rFonts w:eastAsia="Times New Roman" w:cs="Times New Roman"/>
                <w:b/>
                <w:color w:val="000000"/>
                <w:sz w:val="18"/>
                <w:szCs w:val="18"/>
                <w:lang w:eastAsia="en-GB"/>
              </w:rPr>
              <w:t>2025</w:t>
            </w:r>
          </w:p>
        </w:tc>
        <w:tc>
          <w:tcPr>
            <w:tcW w:w="749" w:type="dxa"/>
            <w:tcBorders>
              <w:top w:val="nil"/>
              <w:left w:val="dotted" w:sz="6" w:space="0" w:color="auto"/>
              <w:bottom w:val="nil"/>
              <w:right w:val="dotted" w:sz="6" w:space="0" w:color="auto"/>
            </w:tcBorders>
            <w:shd w:val="clear" w:color="auto" w:fill="auto"/>
            <w:vAlign w:val="center"/>
          </w:tcPr>
          <w:p w14:paraId="30E486F7" w14:textId="77777777" w:rsidR="00A00421" w:rsidRPr="00AD3F93" w:rsidRDefault="00A00421" w:rsidP="002B0624">
            <w:pPr>
              <w:spacing w:after="0" w:line="240" w:lineRule="auto"/>
              <w:jc w:val="right"/>
              <w:rPr>
                <w:rFonts w:eastAsia="Times New Roman" w:cs="Times New Roman"/>
                <w:b/>
                <w:color w:val="000000"/>
                <w:sz w:val="18"/>
                <w:szCs w:val="18"/>
                <w:lang w:eastAsia="en-GB"/>
              </w:rPr>
            </w:pPr>
            <w:r w:rsidRPr="00AD3F93">
              <w:rPr>
                <w:rFonts w:eastAsia="Times New Roman" w:cs="Times New Roman"/>
                <w:b/>
                <w:color w:val="000000"/>
                <w:sz w:val="18"/>
                <w:szCs w:val="18"/>
                <w:lang w:eastAsia="en-GB"/>
              </w:rPr>
              <w:t>2030</w:t>
            </w:r>
          </w:p>
        </w:tc>
        <w:tc>
          <w:tcPr>
            <w:tcW w:w="1509" w:type="dxa"/>
            <w:tcBorders>
              <w:top w:val="nil"/>
              <w:left w:val="dotted" w:sz="6" w:space="0" w:color="auto"/>
              <w:bottom w:val="nil"/>
              <w:right w:val="dotted" w:sz="6" w:space="0" w:color="auto"/>
            </w:tcBorders>
          </w:tcPr>
          <w:p w14:paraId="3FFC65AB" w14:textId="1B6EB575" w:rsidR="00A00421" w:rsidRPr="00AD3F93" w:rsidRDefault="00A00421" w:rsidP="000E7968">
            <w:pPr>
              <w:spacing w:after="0" w:line="240" w:lineRule="auto"/>
              <w:jc w:val="center"/>
              <w:rPr>
                <w:rFonts w:eastAsia="Times New Roman" w:cs="Times New Roman"/>
                <w:b/>
                <w:color w:val="000000"/>
                <w:sz w:val="18"/>
                <w:szCs w:val="18"/>
                <w:lang w:eastAsia="en-GB"/>
              </w:rPr>
            </w:pPr>
            <w:r w:rsidRPr="00AD3F93">
              <w:rPr>
                <w:rFonts w:eastAsia="Times New Roman" w:cs="Times New Roman"/>
                <w:b/>
                <w:color w:val="000000"/>
                <w:sz w:val="18"/>
                <w:szCs w:val="18"/>
                <w:lang w:eastAsia="en-GB"/>
              </w:rPr>
              <w:t>20</w:t>
            </w:r>
            <w:r>
              <w:rPr>
                <w:rFonts w:eastAsia="Times New Roman" w:cs="Times New Roman"/>
                <w:b/>
                <w:color w:val="000000"/>
                <w:sz w:val="18"/>
                <w:szCs w:val="18"/>
                <w:lang w:eastAsia="en-GB"/>
              </w:rPr>
              <w:t>5</w:t>
            </w:r>
            <w:r w:rsidRPr="00AD3F93">
              <w:rPr>
                <w:rFonts w:eastAsia="Times New Roman" w:cs="Times New Roman"/>
                <w:b/>
                <w:color w:val="000000"/>
                <w:sz w:val="18"/>
                <w:szCs w:val="18"/>
                <w:lang w:eastAsia="en-GB"/>
              </w:rPr>
              <w:t>0</w:t>
            </w:r>
          </w:p>
        </w:tc>
      </w:tr>
      <w:tr w:rsidR="00A00421" w:rsidRPr="008318B9" w14:paraId="4DA02E53" w14:textId="50D5299C" w:rsidTr="000E7968">
        <w:trPr>
          <w:trHeight w:val="227"/>
          <w:jc w:val="center"/>
        </w:trPr>
        <w:tc>
          <w:tcPr>
            <w:tcW w:w="503" w:type="dxa"/>
            <w:vMerge w:val="restart"/>
            <w:tcBorders>
              <w:top w:val="single" w:sz="6" w:space="0" w:color="auto"/>
              <w:left w:val="dotted" w:sz="6" w:space="0" w:color="auto"/>
            </w:tcBorders>
            <w:vAlign w:val="center"/>
          </w:tcPr>
          <w:p w14:paraId="76833C0E" w14:textId="77777777" w:rsidR="00A00421" w:rsidRPr="00593178" w:rsidRDefault="00A00421" w:rsidP="002B0624">
            <w:pPr>
              <w:tabs>
                <w:tab w:val="left" w:pos="2903"/>
              </w:tabs>
              <w:spacing w:after="0" w:line="240" w:lineRule="auto"/>
              <w:rPr>
                <w:rFonts w:eastAsia="Times New Roman" w:cs="Times New Roman"/>
                <w:color w:val="000000"/>
                <w:sz w:val="18"/>
                <w:szCs w:val="18"/>
                <w:lang w:eastAsia="en-GB"/>
              </w:rPr>
            </w:pPr>
            <w:r w:rsidRPr="00593178">
              <w:rPr>
                <w:rFonts w:eastAsia="Times New Roman" w:cs="Times New Roman"/>
                <w:color w:val="000000"/>
                <w:sz w:val="18"/>
                <w:szCs w:val="18"/>
                <w:lang w:eastAsia="en-GB"/>
              </w:rPr>
              <w:t>AZJ</w:t>
            </w:r>
          </w:p>
        </w:tc>
        <w:tc>
          <w:tcPr>
            <w:tcW w:w="3119" w:type="dxa"/>
            <w:tcBorders>
              <w:top w:val="single" w:sz="6" w:space="0" w:color="auto"/>
            </w:tcBorders>
            <w:shd w:val="clear" w:color="auto" w:fill="auto"/>
            <w:noWrap/>
            <w:vAlign w:val="center"/>
          </w:tcPr>
          <w:p w14:paraId="23A3D541"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Population</w:t>
            </w:r>
          </w:p>
        </w:tc>
        <w:tc>
          <w:tcPr>
            <w:tcW w:w="1097" w:type="dxa"/>
            <w:tcBorders>
              <w:top w:val="single" w:sz="6" w:space="0" w:color="auto"/>
            </w:tcBorders>
            <w:vAlign w:val="center"/>
          </w:tcPr>
          <w:p w14:paraId="5F38F54E"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Million</w:t>
            </w:r>
          </w:p>
        </w:tc>
        <w:tc>
          <w:tcPr>
            <w:tcW w:w="698" w:type="dxa"/>
            <w:tcBorders>
              <w:top w:val="single" w:sz="6" w:space="0" w:color="auto"/>
              <w:right w:val="dotted" w:sz="6" w:space="0" w:color="auto"/>
            </w:tcBorders>
            <w:vAlign w:val="center"/>
          </w:tcPr>
          <w:p w14:paraId="2727913F"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8.8</w:t>
            </w:r>
          </w:p>
        </w:tc>
        <w:tc>
          <w:tcPr>
            <w:tcW w:w="764" w:type="dxa"/>
            <w:gridSpan w:val="2"/>
            <w:tcBorders>
              <w:top w:val="single" w:sz="6" w:space="0" w:color="auto"/>
              <w:left w:val="dotted" w:sz="6" w:space="0" w:color="auto"/>
            </w:tcBorders>
            <w:shd w:val="clear" w:color="auto" w:fill="auto"/>
            <w:noWrap/>
            <w:vAlign w:val="center"/>
          </w:tcPr>
          <w:p w14:paraId="33FBE48C" w14:textId="77777777" w:rsidR="00A00421" w:rsidRPr="008318B9" w:rsidRDefault="00A00421" w:rsidP="002B0624">
            <w:pPr>
              <w:spacing w:after="0" w:line="240" w:lineRule="auto"/>
              <w:jc w:val="right"/>
              <w:rPr>
                <w:color w:val="000000"/>
                <w:sz w:val="18"/>
                <w:szCs w:val="18"/>
              </w:rPr>
            </w:pPr>
            <w:r w:rsidRPr="008318B9">
              <w:rPr>
                <w:color w:val="000000"/>
                <w:sz w:val="18"/>
                <w:szCs w:val="18"/>
              </w:rPr>
              <w:t>118</w:t>
            </w:r>
          </w:p>
        </w:tc>
        <w:tc>
          <w:tcPr>
            <w:tcW w:w="681" w:type="dxa"/>
            <w:tcBorders>
              <w:top w:val="single" w:sz="6" w:space="0" w:color="auto"/>
            </w:tcBorders>
            <w:shd w:val="clear" w:color="auto" w:fill="auto"/>
            <w:noWrap/>
            <w:vAlign w:val="center"/>
          </w:tcPr>
          <w:p w14:paraId="617B8D59" w14:textId="77777777" w:rsidR="00A00421" w:rsidRPr="008318B9" w:rsidRDefault="00A00421" w:rsidP="002B0624">
            <w:pPr>
              <w:spacing w:after="0" w:line="240" w:lineRule="auto"/>
              <w:jc w:val="right"/>
              <w:rPr>
                <w:color w:val="000000"/>
                <w:sz w:val="18"/>
                <w:szCs w:val="18"/>
              </w:rPr>
            </w:pPr>
            <w:r w:rsidRPr="008318B9">
              <w:rPr>
                <w:color w:val="000000"/>
                <w:sz w:val="18"/>
                <w:szCs w:val="18"/>
              </w:rPr>
              <w:t>124</w:t>
            </w:r>
          </w:p>
        </w:tc>
        <w:tc>
          <w:tcPr>
            <w:tcW w:w="801" w:type="dxa"/>
            <w:gridSpan w:val="2"/>
            <w:tcBorders>
              <w:top w:val="single" w:sz="6" w:space="0" w:color="auto"/>
              <w:bottom w:val="nil"/>
              <w:right w:val="dotted" w:sz="6" w:space="0" w:color="auto"/>
            </w:tcBorders>
            <w:shd w:val="clear" w:color="auto" w:fill="auto"/>
            <w:noWrap/>
            <w:vAlign w:val="center"/>
          </w:tcPr>
          <w:p w14:paraId="5BEA7BE7" w14:textId="77777777" w:rsidR="00A00421" w:rsidRPr="008318B9" w:rsidRDefault="00A00421" w:rsidP="002B0624">
            <w:pPr>
              <w:spacing w:after="0" w:line="240" w:lineRule="auto"/>
              <w:jc w:val="right"/>
              <w:rPr>
                <w:color w:val="000000"/>
                <w:sz w:val="18"/>
                <w:szCs w:val="18"/>
              </w:rPr>
            </w:pPr>
            <w:r w:rsidRPr="008318B9">
              <w:rPr>
                <w:color w:val="000000"/>
                <w:sz w:val="18"/>
                <w:szCs w:val="18"/>
              </w:rPr>
              <w:t>130</w:t>
            </w:r>
          </w:p>
        </w:tc>
        <w:tc>
          <w:tcPr>
            <w:tcW w:w="1509" w:type="dxa"/>
            <w:tcBorders>
              <w:top w:val="single" w:sz="6" w:space="0" w:color="auto"/>
              <w:bottom w:val="nil"/>
              <w:right w:val="dotted" w:sz="6" w:space="0" w:color="auto"/>
            </w:tcBorders>
          </w:tcPr>
          <w:p w14:paraId="1CAA335F" w14:textId="59289330" w:rsidR="00A00421" w:rsidRPr="008318B9" w:rsidRDefault="000E7968" w:rsidP="002B0624">
            <w:pPr>
              <w:spacing w:after="0" w:line="240" w:lineRule="auto"/>
              <w:jc w:val="right"/>
              <w:rPr>
                <w:color w:val="000000"/>
                <w:sz w:val="18"/>
                <w:szCs w:val="18"/>
              </w:rPr>
            </w:pPr>
            <w:r>
              <w:rPr>
                <w:color w:val="000000"/>
                <w:sz w:val="18"/>
                <w:szCs w:val="18"/>
              </w:rPr>
              <w:t xml:space="preserve">*1.5 </w:t>
            </w:r>
            <w:proofErr w:type="spellStart"/>
            <w:r>
              <w:rPr>
                <w:color w:val="000000"/>
                <w:sz w:val="18"/>
                <w:szCs w:val="18"/>
              </w:rPr>
              <w:t>wrt</w:t>
            </w:r>
            <w:proofErr w:type="spellEnd"/>
            <w:r>
              <w:rPr>
                <w:color w:val="000000"/>
                <w:sz w:val="18"/>
                <w:szCs w:val="18"/>
              </w:rPr>
              <w:t xml:space="preserve"> the BY</w:t>
            </w:r>
          </w:p>
        </w:tc>
      </w:tr>
      <w:tr w:rsidR="00A00421" w:rsidRPr="008318B9" w14:paraId="62D5F367" w14:textId="488173FD" w:rsidTr="000E7968">
        <w:trPr>
          <w:trHeight w:val="227"/>
          <w:jc w:val="center"/>
        </w:trPr>
        <w:tc>
          <w:tcPr>
            <w:tcW w:w="503" w:type="dxa"/>
            <w:vMerge/>
            <w:tcBorders>
              <w:left w:val="dotted" w:sz="6" w:space="0" w:color="auto"/>
            </w:tcBorders>
            <w:vAlign w:val="center"/>
          </w:tcPr>
          <w:p w14:paraId="151E0517" w14:textId="77777777" w:rsidR="00A00421" w:rsidRPr="00593178"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bottom w:val="nil"/>
            </w:tcBorders>
            <w:shd w:val="clear" w:color="auto" w:fill="auto"/>
            <w:noWrap/>
            <w:vAlign w:val="center"/>
          </w:tcPr>
          <w:p w14:paraId="3BB5FC27"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GDP per capita</w:t>
            </w:r>
            <w:r>
              <w:rPr>
                <w:rFonts w:eastAsia="Times New Roman" w:cs="Times New Roman"/>
                <w:color w:val="000000"/>
                <w:sz w:val="18"/>
                <w:szCs w:val="18"/>
                <w:lang w:eastAsia="en-GB"/>
              </w:rPr>
              <w:t xml:space="preserve"> (&amp;)</w:t>
            </w:r>
          </w:p>
        </w:tc>
        <w:tc>
          <w:tcPr>
            <w:tcW w:w="1097" w:type="dxa"/>
            <w:tcBorders>
              <w:bottom w:val="nil"/>
            </w:tcBorders>
            <w:vAlign w:val="center"/>
          </w:tcPr>
          <w:p w14:paraId="4F9731DE" w14:textId="77777777" w:rsidR="00A00421" w:rsidRPr="008318B9" w:rsidRDefault="00A00421" w:rsidP="002B0624">
            <w:pPr>
              <w:spacing w:after="0" w:line="240" w:lineRule="auto"/>
              <w:ind w:hanging="239"/>
              <w:jc w:val="right"/>
              <w:rPr>
                <w:color w:val="000000"/>
                <w:sz w:val="18"/>
                <w:szCs w:val="18"/>
              </w:rPr>
            </w:pPr>
            <w:r w:rsidRPr="008318B9">
              <w:rPr>
                <w:color w:val="000000"/>
                <w:sz w:val="18"/>
                <w:szCs w:val="18"/>
              </w:rPr>
              <w:t>US$’2000ppp</w:t>
            </w:r>
          </w:p>
        </w:tc>
        <w:tc>
          <w:tcPr>
            <w:tcW w:w="698" w:type="dxa"/>
            <w:tcBorders>
              <w:bottom w:val="nil"/>
              <w:right w:val="dotted" w:sz="6" w:space="0" w:color="auto"/>
            </w:tcBorders>
            <w:vAlign w:val="center"/>
          </w:tcPr>
          <w:p w14:paraId="7660F959" w14:textId="77777777" w:rsidR="00A00421" w:rsidRPr="008318B9" w:rsidRDefault="00A00421" w:rsidP="002B0624">
            <w:pPr>
              <w:spacing w:after="0" w:line="240" w:lineRule="auto"/>
              <w:jc w:val="right"/>
              <w:rPr>
                <w:color w:val="000000"/>
                <w:sz w:val="18"/>
                <w:szCs w:val="18"/>
              </w:rPr>
            </w:pPr>
            <w:r w:rsidRPr="008318B9">
              <w:rPr>
                <w:color w:val="000000"/>
                <w:sz w:val="18"/>
                <w:szCs w:val="18"/>
              </w:rPr>
              <w:t>8702</w:t>
            </w:r>
          </w:p>
        </w:tc>
        <w:tc>
          <w:tcPr>
            <w:tcW w:w="764" w:type="dxa"/>
            <w:gridSpan w:val="2"/>
            <w:tcBorders>
              <w:left w:val="dotted" w:sz="6" w:space="0" w:color="auto"/>
              <w:bottom w:val="nil"/>
            </w:tcBorders>
            <w:shd w:val="clear" w:color="auto" w:fill="auto"/>
            <w:noWrap/>
            <w:vAlign w:val="center"/>
          </w:tcPr>
          <w:p w14:paraId="014AB429"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75</w:t>
            </w:r>
          </w:p>
        </w:tc>
        <w:tc>
          <w:tcPr>
            <w:tcW w:w="681" w:type="dxa"/>
            <w:tcBorders>
              <w:bottom w:val="nil"/>
              <w:right w:val="nil"/>
            </w:tcBorders>
            <w:shd w:val="clear" w:color="auto" w:fill="auto"/>
            <w:noWrap/>
            <w:vAlign w:val="center"/>
          </w:tcPr>
          <w:p w14:paraId="29EE40DE"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17</w:t>
            </w:r>
          </w:p>
        </w:tc>
        <w:tc>
          <w:tcPr>
            <w:tcW w:w="801" w:type="dxa"/>
            <w:gridSpan w:val="2"/>
            <w:tcBorders>
              <w:top w:val="nil"/>
              <w:left w:val="nil"/>
              <w:bottom w:val="nil"/>
              <w:right w:val="dotted" w:sz="6" w:space="0" w:color="auto"/>
            </w:tcBorders>
            <w:shd w:val="clear" w:color="auto" w:fill="auto"/>
            <w:noWrap/>
            <w:vAlign w:val="center"/>
          </w:tcPr>
          <w:p w14:paraId="343B526D"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51</w:t>
            </w:r>
          </w:p>
        </w:tc>
        <w:tc>
          <w:tcPr>
            <w:tcW w:w="1509" w:type="dxa"/>
            <w:tcBorders>
              <w:top w:val="nil"/>
              <w:left w:val="nil"/>
              <w:bottom w:val="nil"/>
              <w:right w:val="dotted" w:sz="6" w:space="0" w:color="auto"/>
            </w:tcBorders>
          </w:tcPr>
          <w:p w14:paraId="294B9EC2" w14:textId="27BECE2B" w:rsidR="00A00421"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0A95CD8D" w14:textId="551636E4" w:rsidTr="000E7968">
        <w:trPr>
          <w:trHeight w:val="227"/>
          <w:jc w:val="center"/>
        </w:trPr>
        <w:tc>
          <w:tcPr>
            <w:tcW w:w="503" w:type="dxa"/>
            <w:vMerge/>
            <w:tcBorders>
              <w:left w:val="dotted" w:sz="6" w:space="0" w:color="auto"/>
              <w:bottom w:val="dotted" w:sz="6" w:space="0" w:color="auto"/>
            </w:tcBorders>
            <w:vAlign w:val="center"/>
          </w:tcPr>
          <w:p w14:paraId="44E7A9C5" w14:textId="77777777" w:rsidR="00A00421" w:rsidRPr="00593178"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top w:val="nil"/>
              <w:bottom w:val="dotted" w:sz="6" w:space="0" w:color="auto"/>
            </w:tcBorders>
            <w:shd w:val="clear" w:color="auto" w:fill="auto"/>
            <w:noWrap/>
            <w:vAlign w:val="center"/>
          </w:tcPr>
          <w:p w14:paraId="0668C994"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Aggregate demand for energy services</w:t>
            </w:r>
          </w:p>
        </w:tc>
        <w:tc>
          <w:tcPr>
            <w:tcW w:w="1097" w:type="dxa"/>
            <w:tcBorders>
              <w:top w:val="nil"/>
              <w:bottom w:val="dotted" w:sz="6" w:space="0" w:color="auto"/>
            </w:tcBorders>
            <w:vAlign w:val="center"/>
          </w:tcPr>
          <w:p w14:paraId="7D09F287" w14:textId="77777777" w:rsidR="00A00421" w:rsidRPr="008318B9" w:rsidRDefault="00A00421" w:rsidP="002B0624">
            <w:pPr>
              <w:spacing w:after="0" w:line="240" w:lineRule="auto"/>
              <w:jc w:val="right"/>
              <w:rPr>
                <w:color w:val="000000"/>
                <w:sz w:val="18"/>
                <w:szCs w:val="18"/>
              </w:rPr>
            </w:pPr>
            <w:r w:rsidRPr="008318B9">
              <w:rPr>
                <w:color w:val="000000"/>
                <w:sz w:val="18"/>
                <w:szCs w:val="18"/>
              </w:rPr>
              <w:t>Index</w:t>
            </w:r>
            <w:r>
              <w:rPr>
                <w:color w:val="000000"/>
                <w:sz w:val="18"/>
                <w:szCs w:val="18"/>
              </w:rPr>
              <w:t xml:space="preserve"> (+)</w:t>
            </w:r>
          </w:p>
        </w:tc>
        <w:tc>
          <w:tcPr>
            <w:tcW w:w="698" w:type="dxa"/>
            <w:tcBorders>
              <w:top w:val="nil"/>
              <w:bottom w:val="dotted" w:sz="6" w:space="0" w:color="auto"/>
              <w:right w:val="dotted" w:sz="6" w:space="0" w:color="auto"/>
            </w:tcBorders>
            <w:vAlign w:val="center"/>
          </w:tcPr>
          <w:p w14:paraId="01AA14FD" w14:textId="77777777" w:rsidR="00A00421" w:rsidRPr="008318B9" w:rsidRDefault="00A00421" w:rsidP="002B0624">
            <w:pPr>
              <w:spacing w:after="0" w:line="240" w:lineRule="auto"/>
              <w:jc w:val="right"/>
              <w:rPr>
                <w:color w:val="000000"/>
                <w:sz w:val="18"/>
                <w:szCs w:val="18"/>
              </w:rPr>
            </w:pPr>
            <w:r w:rsidRPr="008318B9">
              <w:rPr>
                <w:color w:val="000000"/>
                <w:sz w:val="18"/>
                <w:szCs w:val="18"/>
              </w:rPr>
              <w:t>100</w:t>
            </w:r>
          </w:p>
        </w:tc>
        <w:tc>
          <w:tcPr>
            <w:tcW w:w="764" w:type="dxa"/>
            <w:gridSpan w:val="2"/>
            <w:tcBorders>
              <w:top w:val="nil"/>
              <w:left w:val="dotted" w:sz="6" w:space="0" w:color="auto"/>
              <w:bottom w:val="dotted" w:sz="6" w:space="0" w:color="auto"/>
            </w:tcBorders>
            <w:shd w:val="clear" w:color="auto" w:fill="auto"/>
            <w:noWrap/>
            <w:vAlign w:val="center"/>
          </w:tcPr>
          <w:p w14:paraId="74F3EFC5" w14:textId="77777777" w:rsidR="00A00421" w:rsidRPr="008318B9" w:rsidRDefault="00A00421" w:rsidP="002B0624">
            <w:pPr>
              <w:spacing w:after="0" w:line="240" w:lineRule="auto"/>
              <w:jc w:val="right"/>
              <w:rPr>
                <w:color w:val="000000"/>
                <w:sz w:val="18"/>
                <w:szCs w:val="18"/>
              </w:rPr>
            </w:pPr>
            <w:r w:rsidRPr="008318B9">
              <w:rPr>
                <w:color w:val="000000"/>
                <w:sz w:val="18"/>
                <w:szCs w:val="18"/>
              </w:rPr>
              <w:t>199</w:t>
            </w:r>
          </w:p>
        </w:tc>
        <w:tc>
          <w:tcPr>
            <w:tcW w:w="681" w:type="dxa"/>
            <w:tcBorders>
              <w:top w:val="nil"/>
              <w:bottom w:val="dotted" w:sz="6" w:space="0" w:color="auto"/>
              <w:right w:val="nil"/>
            </w:tcBorders>
            <w:shd w:val="clear" w:color="auto" w:fill="auto"/>
            <w:noWrap/>
            <w:vAlign w:val="center"/>
          </w:tcPr>
          <w:p w14:paraId="4D424BCF" w14:textId="77777777" w:rsidR="00A00421" w:rsidRPr="008318B9" w:rsidRDefault="00A00421" w:rsidP="002B0624">
            <w:pPr>
              <w:spacing w:after="0" w:line="240" w:lineRule="auto"/>
              <w:jc w:val="right"/>
              <w:rPr>
                <w:color w:val="000000"/>
                <w:sz w:val="18"/>
                <w:szCs w:val="18"/>
              </w:rPr>
            </w:pPr>
            <w:r w:rsidRPr="008318B9">
              <w:rPr>
                <w:color w:val="000000"/>
                <w:sz w:val="18"/>
                <w:szCs w:val="18"/>
              </w:rPr>
              <w:t>265</w:t>
            </w:r>
          </w:p>
        </w:tc>
        <w:tc>
          <w:tcPr>
            <w:tcW w:w="801" w:type="dxa"/>
            <w:gridSpan w:val="2"/>
            <w:tcBorders>
              <w:top w:val="nil"/>
              <w:left w:val="nil"/>
              <w:bottom w:val="dotted" w:sz="6" w:space="0" w:color="auto"/>
              <w:right w:val="dotted" w:sz="6" w:space="0" w:color="auto"/>
            </w:tcBorders>
            <w:shd w:val="clear" w:color="auto" w:fill="auto"/>
            <w:noWrap/>
            <w:vAlign w:val="center"/>
          </w:tcPr>
          <w:p w14:paraId="03631128" w14:textId="77777777" w:rsidR="00A00421" w:rsidRPr="008318B9" w:rsidRDefault="00A00421" w:rsidP="002B0624">
            <w:pPr>
              <w:spacing w:after="0" w:line="240" w:lineRule="auto"/>
              <w:jc w:val="right"/>
              <w:rPr>
                <w:color w:val="000000"/>
                <w:sz w:val="18"/>
                <w:szCs w:val="18"/>
              </w:rPr>
            </w:pPr>
            <w:r w:rsidRPr="008318B9">
              <w:rPr>
                <w:color w:val="000000"/>
                <w:sz w:val="18"/>
                <w:szCs w:val="18"/>
              </w:rPr>
              <w:t>328</w:t>
            </w:r>
          </w:p>
        </w:tc>
        <w:tc>
          <w:tcPr>
            <w:tcW w:w="1509" w:type="dxa"/>
            <w:tcBorders>
              <w:top w:val="nil"/>
              <w:left w:val="nil"/>
              <w:bottom w:val="dotted" w:sz="6" w:space="0" w:color="auto"/>
              <w:right w:val="dotted" w:sz="6" w:space="0" w:color="auto"/>
            </w:tcBorders>
          </w:tcPr>
          <w:p w14:paraId="5044AE6E" w14:textId="4C8D51C6" w:rsidR="00A00421" w:rsidRPr="008318B9"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239A8DCA" w14:textId="75E4977C" w:rsidTr="000E7968">
        <w:trPr>
          <w:trHeight w:val="227"/>
          <w:jc w:val="center"/>
        </w:trPr>
        <w:tc>
          <w:tcPr>
            <w:tcW w:w="503" w:type="dxa"/>
            <w:vMerge w:val="restart"/>
            <w:tcBorders>
              <w:top w:val="dotted" w:sz="6" w:space="0" w:color="auto"/>
              <w:left w:val="dotted" w:sz="6" w:space="0" w:color="auto"/>
            </w:tcBorders>
            <w:vAlign w:val="center"/>
          </w:tcPr>
          <w:p w14:paraId="2FFB5F88"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r>
              <w:rPr>
                <w:rFonts w:eastAsia="Times New Roman" w:cs="Times New Roman"/>
                <w:color w:val="000000"/>
                <w:sz w:val="18"/>
                <w:szCs w:val="18"/>
                <w:lang w:eastAsia="en-GB"/>
              </w:rPr>
              <w:t>KZK</w:t>
            </w:r>
          </w:p>
        </w:tc>
        <w:tc>
          <w:tcPr>
            <w:tcW w:w="3119" w:type="dxa"/>
            <w:tcBorders>
              <w:top w:val="dotted" w:sz="6" w:space="0" w:color="auto"/>
            </w:tcBorders>
            <w:shd w:val="clear" w:color="auto" w:fill="auto"/>
            <w:noWrap/>
            <w:vAlign w:val="center"/>
          </w:tcPr>
          <w:p w14:paraId="598CBEEB"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Population</w:t>
            </w:r>
          </w:p>
        </w:tc>
        <w:tc>
          <w:tcPr>
            <w:tcW w:w="1097" w:type="dxa"/>
            <w:tcBorders>
              <w:top w:val="dotted" w:sz="6" w:space="0" w:color="auto"/>
            </w:tcBorders>
            <w:vAlign w:val="center"/>
          </w:tcPr>
          <w:p w14:paraId="07852766"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Million</w:t>
            </w:r>
          </w:p>
        </w:tc>
        <w:tc>
          <w:tcPr>
            <w:tcW w:w="698" w:type="dxa"/>
            <w:tcBorders>
              <w:top w:val="dotted" w:sz="6" w:space="0" w:color="auto"/>
              <w:right w:val="dotted" w:sz="6" w:space="0" w:color="auto"/>
            </w:tcBorders>
            <w:vAlign w:val="center"/>
          </w:tcPr>
          <w:p w14:paraId="1A45285B"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15.9</w:t>
            </w:r>
          </w:p>
        </w:tc>
        <w:tc>
          <w:tcPr>
            <w:tcW w:w="764" w:type="dxa"/>
            <w:gridSpan w:val="2"/>
            <w:tcBorders>
              <w:top w:val="dotted" w:sz="6" w:space="0" w:color="auto"/>
              <w:left w:val="dotted" w:sz="6" w:space="0" w:color="auto"/>
            </w:tcBorders>
            <w:shd w:val="clear" w:color="auto" w:fill="auto"/>
            <w:noWrap/>
            <w:vAlign w:val="center"/>
          </w:tcPr>
          <w:p w14:paraId="6A29FCA7"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18</w:t>
            </w:r>
          </w:p>
        </w:tc>
        <w:tc>
          <w:tcPr>
            <w:tcW w:w="681" w:type="dxa"/>
            <w:tcBorders>
              <w:top w:val="dotted" w:sz="6" w:space="0" w:color="auto"/>
            </w:tcBorders>
            <w:shd w:val="clear" w:color="auto" w:fill="auto"/>
            <w:noWrap/>
            <w:vAlign w:val="center"/>
          </w:tcPr>
          <w:p w14:paraId="67CE8B73"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24</w:t>
            </w:r>
          </w:p>
        </w:tc>
        <w:tc>
          <w:tcPr>
            <w:tcW w:w="801" w:type="dxa"/>
            <w:gridSpan w:val="2"/>
            <w:tcBorders>
              <w:top w:val="dotted" w:sz="6" w:space="0" w:color="auto"/>
              <w:bottom w:val="nil"/>
              <w:right w:val="dotted" w:sz="6" w:space="0" w:color="auto"/>
            </w:tcBorders>
            <w:shd w:val="clear" w:color="auto" w:fill="auto"/>
            <w:noWrap/>
            <w:vAlign w:val="center"/>
          </w:tcPr>
          <w:p w14:paraId="79C8B37C"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30</w:t>
            </w:r>
          </w:p>
        </w:tc>
        <w:tc>
          <w:tcPr>
            <w:tcW w:w="1509" w:type="dxa"/>
            <w:tcBorders>
              <w:top w:val="dotted" w:sz="6" w:space="0" w:color="auto"/>
              <w:bottom w:val="nil"/>
              <w:right w:val="dotted" w:sz="6" w:space="0" w:color="auto"/>
            </w:tcBorders>
          </w:tcPr>
          <w:p w14:paraId="5D9474F8" w14:textId="59D099F4" w:rsidR="00A00421" w:rsidRDefault="000E7968" w:rsidP="002B0624">
            <w:pPr>
              <w:spacing w:after="0" w:line="240" w:lineRule="auto"/>
              <w:jc w:val="right"/>
              <w:rPr>
                <w:color w:val="000000"/>
                <w:sz w:val="18"/>
                <w:szCs w:val="18"/>
              </w:rPr>
            </w:pPr>
            <w:r>
              <w:rPr>
                <w:color w:val="000000"/>
                <w:sz w:val="18"/>
                <w:szCs w:val="18"/>
              </w:rPr>
              <w:t xml:space="preserve">*1.5 </w:t>
            </w:r>
            <w:proofErr w:type="spellStart"/>
            <w:r>
              <w:rPr>
                <w:color w:val="000000"/>
                <w:sz w:val="18"/>
                <w:szCs w:val="18"/>
              </w:rPr>
              <w:t>wrt</w:t>
            </w:r>
            <w:proofErr w:type="spellEnd"/>
            <w:r>
              <w:rPr>
                <w:color w:val="000000"/>
                <w:sz w:val="18"/>
                <w:szCs w:val="18"/>
              </w:rPr>
              <w:t xml:space="preserve"> the BY</w:t>
            </w:r>
          </w:p>
        </w:tc>
      </w:tr>
      <w:tr w:rsidR="00A00421" w:rsidRPr="008318B9" w14:paraId="27D849C3" w14:textId="235830ED" w:rsidTr="000E7968">
        <w:trPr>
          <w:trHeight w:val="227"/>
          <w:jc w:val="center"/>
        </w:trPr>
        <w:tc>
          <w:tcPr>
            <w:tcW w:w="503" w:type="dxa"/>
            <w:vMerge/>
            <w:tcBorders>
              <w:left w:val="dotted" w:sz="6" w:space="0" w:color="auto"/>
            </w:tcBorders>
            <w:vAlign w:val="center"/>
          </w:tcPr>
          <w:p w14:paraId="7B3E4E07"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bottom w:val="nil"/>
            </w:tcBorders>
            <w:shd w:val="clear" w:color="auto" w:fill="auto"/>
            <w:noWrap/>
            <w:vAlign w:val="center"/>
          </w:tcPr>
          <w:p w14:paraId="204465F8"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GDP per capita</w:t>
            </w:r>
            <w:r>
              <w:rPr>
                <w:rFonts w:eastAsia="Times New Roman" w:cs="Times New Roman"/>
                <w:color w:val="000000"/>
                <w:sz w:val="18"/>
                <w:szCs w:val="18"/>
                <w:lang w:eastAsia="en-GB"/>
              </w:rPr>
              <w:t xml:space="preserve"> (&amp;)</w:t>
            </w:r>
          </w:p>
        </w:tc>
        <w:tc>
          <w:tcPr>
            <w:tcW w:w="1097" w:type="dxa"/>
            <w:tcBorders>
              <w:bottom w:val="nil"/>
            </w:tcBorders>
            <w:vAlign w:val="center"/>
          </w:tcPr>
          <w:p w14:paraId="7B08A5A5" w14:textId="77777777" w:rsidR="00A00421" w:rsidRPr="008318B9" w:rsidRDefault="00A00421" w:rsidP="002B0624">
            <w:pPr>
              <w:spacing w:after="0" w:line="240" w:lineRule="auto"/>
              <w:jc w:val="right"/>
              <w:rPr>
                <w:color w:val="000000"/>
                <w:sz w:val="18"/>
                <w:szCs w:val="18"/>
              </w:rPr>
            </w:pPr>
            <w:r w:rsidRPr="008318B9">
              <w:rPr>
                <w:color w:val="000000"/>
                <w:sz w:val="18"/>
                <w:szCs w:val="18"/>
              </w:rPr>
              <w:t>US$’2000ppp</w:t>
            </w:r>
          </w:p>
        </w:tc>
        <w:tc>
          <w:tcPr>
            <w:tcW w:w="698" w:type="dxa"/>
            <w:tcBorders>
              <w:bottom w:val="nil"/>
              <w:right w:val="dotted" w:sz="6" w:space="0" w:color="auto"/>
            </w:tcBorders>
            <w:vAlign w:val="center"/>
          </w:tcPr>
          <w:p w14:paraId="15C7A0E2" w14:textId="77777777" w:rsidR="00A00421" w:rsidRPr="008318B9" w:rsidRDefault="00A00421" w:rsidP="002B0624">
            <w:pPr>
              <w:spacing w:after="0" w:line="240" w:lineRule="auto"/>
              <w:jc w:val="right"/>
              <w:rPr>
                <w:color w:val="000000"/>
                <w:sz w:val="18"/>
                <w:szCs w:val="18"/>
              </w:rPr>
            </w:pPr>
            <w:r w:rsidRPr="008318B9">
              <w:rPr>
                <w:color w:val="000000"/>
                <w:sz w:val="18"/>
                <w:szCs w:val="18"/>
              </w:rPr>
              <w:t>8400</w:t>
            </w:r>
          </w:p>
        </w:tc>
        <w:tc>
          <w:tcPr>
            <w:tcW w:w="764" w:type="dxa"/>
            <w:gridSpan w:val="2"/>
            <w:tcBorders>
              <w:left w:val="dotted" w:sz="6" w:space="0" w:color="auto"/>
              <w:bottom w:val="nil"/>
            </w:tcBorders>
            <w:shd w:val="clear" w:color="auto" w:fill="auto"/>
            <w:noWrap/>
            <w:vAlign w:val="center"/>
          </w:tcPr>
          <w:p w14:paraId="2673ADFC"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61</w:t>
            </w:r>
          </w:p>
        </w:tc>
        <w:tc>
          <w:tcPr>
            <w:tcW w:w="681" w:type="dxa"/>
            <w:tcBorders>
              <w:bottom w:val="nil"/>
            </w:tcBorders>
            <w:shd w:val="clear" w:color="auto" w:fill="auto"/>
            <w:noWrap/>
            <w:vAlign w:val="center"/>
          </w:tcPr>
          <w:p w14:paraId="3EE652A5"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96</w:t>
            </w:r>
          </w:p>
        </w:tc>
        <w:tc>
          <w:tcPr>
            <w:tcW w:w="801" w:type="dxa"/>
            <w:gridSpan w:val="2"/>
            <w:tcBorders>
              <w:top w:val="nil"/>
              <w:bottom w:val="nil"/>
              <w:right w:val="dotted" w:sz="6" w:space="0" w:color="auto"/>
            </w:tcBorders>
            <w:shd w:val="clear" w:color="auto" w:fill="auto"/>
            <w:noWrap/>
            <w:vAlign w:val="center"/>
          </w:tcPr>
          <w:p w14:paraId="24FD6354"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38</w:t>
            </w:r>
          </w:p>
        </w:tc>
        <w:tc>
          <w:tcPr>
            <w:tcW w:w="1509" w:type="dxa"/>
            <w:tcBorders>
              <w:top w:val="nil"/>
              <w:bottom w:val="nil"/>
              <w:right w:val="dotted" w:sz="6" w:space="0" w:color="auto"/>
            </w:tcBorders>
          </w:tcPr>
          <w:p w14:paraId="0959BDFB" w14:textId="298950D1" w:rsidR="00A00421"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70A4FA83" w14:textId="52D9FD68" w:rsidTr="000E7968">
        <w:trPr>
          <w:trHeight w:val="227"/>
          <w:jc w:val="center"/>
        </w:trPr>
        <w:tc>
          <w:tcPr>
            <w:tcW w:w="503" w:type="dxa"/>
            <w:vMerge/>
            <w:tcBorders>
              <w:left w:val="dotted" w:sz="6" w:space="0" w:color="auto"/>
              <w:bottom w:val="dotted" w:sz="6" w:space="0" w:color="auto"/>
            </w:tcBorders>
            <w:vAlign w:val="center"/>
          </w:tcPr>
          <w:p w14:paraId="2F9272D1"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top w:val="nil"/>
              <w:bottom w:val="dotted" w:sz="6" w:space="0" w:color="auto"/>
            </w:tcBorders>
            <w:shd w:val="clear" w:color="auto" w:fill="auto"/>
            <w:noWrap/>
            <w:vAlign w:val="center"/>
          </w:tcPr>
          <w:p w14:paraId="204B7F83"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Aggregate demand for energy services</w:t>
            </w:r>
          </w:p>
        </w:tc>
        <w:tc>
          <w:tcPr>
            <w:tcW w:w="1097" w:type="dxa"/>
            <w:tcBorders>
              <w:top w:val="nil"/>
              <w:bottom w:val="dotted" w:sz="6" w:space="0" w:color="auto"/>
            </w:tcBorders>
            <w:vAlign w:val="center"/>
          </w:tcPr>
          <w:p w14:paraId="0B67984A" w14:textId="77777777" w:rsidR="00A00421" w:rsidRPr="008318B9" w:rsidRDefault="00A00421" w:rsidP="002B0624">
            <w:pPr>
              <w:spacing w:after="0" w:line="240" w:lineRule="auto"/>
              <w:jc w:val="right"/>
              <w:rPr>
                <w:color w:val="000000"/>
                <w:sz w:val="18"/>
                <w:szCs w:val="18"/>
              </w:rPr>
            </w:pPr>
            <w:r w:rsidRPr="008318B9">
              <w:rPr>
                <w:color w:val="000000"/>
                <w:sz w:val="18"/>
                <w:szCs w:val="18"/>
              </w:rPr>
              <w:t>Index</w:t>
            </w:r>
            <w:r>
              <w:rPr>
                <w:color w:val="000000"/>
                <w:sz w:val="18"/>
                <w:szCs w:val="18"/>
              </w:rPr>
              <w:t xml:space="preserve"> (+)</w:t>
            </w:r>
          </w:p>
        </w:tc>
        <w:tc>
          <w:tcPr>
            <w:tcW w:w="698" w:type="dxa"/>
            <w:tcBorders>
              <w:top w:val="nil"/>
              <w:bottom w:val="dotted" w:sz="6" w:space="0" w:color="auto"/>
              <w:right w:val="dotted" w:sz="6" w:space="0" w:color="auto"/>
            </w:tcBorders>
            <w:vAlign w:val="center"/>
          </w:tcPr>
          <w:p w14:paraId="2049FE3D" w14:textId="77777777" w:rsidR="00A00421" w:rsidRPr="008318B9" w:rsidRDefault="00A00421" w:rsidP="002B0624">
            <w:pPr>
              <w:spacing w:after="0" w:line="240" w:lineRule="auto"/>
              <w:jc w:val="right"/>
              <w:rPr>
                <w:color w:val="000000"/>
                <w:sz w:val="18"/>
                <w:szCs w:val="18"/>
              </w:rPr>
            </w:pPr>
            <w:r w:rsidRPr="008318B9">
              <w:rPr>
                <w:color w:val="000000"/>
                <w:sz w:val="18"/>
                <w:szCs w:val="18"/>
              </w:rPr>
              <w:t>100</w:t>
            </w:r>
          </w:p>
        </w:tc>
        <w:tc>
          <w:tcPr>
            <w:tcW w:w="764" w:type="dxa"/>
            <w:gridSpan w:val="2"/>
            <w:tcBorders>
              <w:top w:val="nil"/>
              <w:left w:val="dotted" w:sz="6" w:space="0" w:color="auto"/>
              <w:bottom w:val="dotted" w:sz="6" w:space="0" w:color="auto"/>
            </w:tcBorders>
            <w:shd w:val="clear" w:color="auto" w:fill="auto"/>
            <w:noWrap/>
            <w:vAlign w:val="center"/>
          </w:tcPr>
          <w:p w14:paraId="51AB3C35"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67</w:t>
            </w:r>
          </w:p>
        </w:tc>
        <w:tc>
          <w:tcPr>
            <w:tcW w:w="681" w:type="dxa"/>
            <w:tcBorders>
              <w:top w:val="nil"/>
              <w:bottom w:val="dotted" w:sz="6" w:space="0" w:color="auto"/>
              <w:right w:val="nil"/>
            </w:tcBorders>
            <w:shd w:val="clear" w:color="auto" w:fill="auto"/>
            <w:noWrap/>
            <w:vAlign w:val="center"/>
          </w:tcPr>
          <w:p w14:paraId="3131931F"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09</w:t>
            </w:r>
          </w:p>
        </w:tc>
        <w:tc>
          <w:tcPr>
            <w:tcW w:w="801" w:type="dxa"/>
            <w:gridSpan w:val="2"/>
            <w:tcBorders>
              <w:top w:val="nil"/>
              <w:left w:val="nil"/>
              <w:bottom w:val="dotted" w:sz="6" w:space="0" w:color="auto"/>
              <w:right w:val="dotted" w:sz="6" w:space="0" w:color="auto"/>
            </w:tcBorders>
            <w:shd w:val="clear" w:color="auto" w:fill="auto"/>
            <w:noWrap/>
            <w:vAlign w:val="center"/>
          </w:tcPr>
          <w:p w14:paraId="55E5EC3E"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64</w:t>
            </w:r>
          </w:p>
        </w:tc>
        <w:tc>
          <w:tcPr>
            <w:tcW w:w="1509" w:type="dxa"/>
            <w:tcBorders>
              <w:top w:val="nil"/>
              <w:left w:val="nil"/>
              <w:bottom w:val="dotted" w:sz="6" w:space="0" w:color="auto"/>
              <w:right w:val="dotted" w:sz="6" w:space="0" w:color="auto"/>
            </w:tcBorders>
          </w:tcPr>
          <w:p w14:paraId="0FDB539A" w14:textId="13EE22AB" w:rsidR="00A00421"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58195E82" w14:textId="6C230619" w:rsidTr="000E7968">
        <w:trPr>
          <w:trHeight w:val="227"/>
          <w:jc w:val="center"/>
        </w:trPr>
        <w:tc>
          <w:tcPr>
            <w:tcW w:w="503" w:type="dxa"/>
            <w:vMerge w:val="restart"/>
            <w:tcBorders>
              <w:top w:val="dotted" w:sz="6" w:space="0" w:color="auto"/>
              <w:left w:val="dotted" w:sz="6" w:space="0" w:color="auto"/>
            </w:tcBorders>
            <w:vAlign w:val="center"/>
          </w:tcPr>
          <w:p w14:paraId="042B5454"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r>
              <w:rPr>
                <w:rFonts w:eastAsia="Times New Roman" w:cs="Times New Roman"/>
                <w:color w:val="000000"/>
                <w:sz w:val="18"/>
                <w:szCs w:val="18"/>
                <w:lang w:eastAsia="en-GB"/>
              </w:rPr>
              <w:t>TKM</w:t>
            </w:r>
          </w:p>
        </w:tc>
        <w:tc>
          <w:tcPr>
            <w:tcW w:w="3119" w:type="dxa"/>
            <w:tcBorders>
              <w:top w:val="dotted" w:sz="6" w:space="0" w:color="auto"/>
            </w:tcBorders>
            <w:shd w:val="clear" w:color="auto" w:fill="auto"/>
            <w:noWrap/>
            <w:vAlign w:val="center"/>
          </w:tcPr>
          <w:p w14:paraId="0D4EBAD0"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Population</w:t>
            </w:r>
          </w:p>
        </w:tc>
        <w:tc>
          <w:tcPr>
            <w:tcW w:w="1097" w:type="dxa"/>
            <w:tcBorders>
              <w:top w:val="dotted" w:sz="6" w:space="0" w:color="auto"/>
            </w:tcBorders>
            <w:vAlign w:val="center"/>
          </w:tcPr>
          <w:p w14:paraId="20617C0E"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Million</w:t>
            </w:r>
          </w:p>
        </w:tc>
        <w:tc>
          <w:tcPr>
            <w:tcW w:w="698" w:type="dxa"/>
            <w:tcBorders>
              <w:top w:val="dotted" w:sz="6" w:space="0" w:color="auto"/>
              <w:right w:val="dotted" w:sz="6" w:space="0" w:color="auto"/>
            </w:tcBorders>
            <w:vAlign w:val="center"/>
          </w:tcPr>
          <w:p w14:paraId="56E0EB4B"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5.1</w:t>
            </w:r>
          </w:p>
        </w:tc>
        <w:tc>
          <w:tcPr>
            <w:tcW w:w="764" w:type="dxa"/>
            <w:gridSpan w:val="2"/>
            <w:tcBorders>
              <w:top w:val="dotted" w:sz="6" w:space="0" w:color="auto"/>
              <w:left w:val="dotted" w:sz="6" w:space="0" w:color="auto"/>
            </w:tcBorders>
            <w:shd w:val="clear" w:color="auto" w:fill="auto"/>
            <w:noWrap/>
            <w:vAlign w:val="center"/>
          </w:tcPr>
          <w:p w14:paraId="0DAF7DA8"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18</w:t>
            </w:r>
          </w:p>
        </w:tc>
        <w:tc>
          <w:tcPr>
            <w:tcW w:w="681" w:type="dxa"/>
            <w:tcBorders>
              <w:top w:val="dotted" w:sz="6" w:space="0" w:color="auto"/>
            </w:tcBorders>
            <w:shd w:val="clear" w:color="auto" w:fill="auto"/>
            <w:noWrap/>
            <w:vAlign w:val="center"/>
          </w:tcPr>
          <w:p w14:paraId="20744E9B"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24</w:t>
            </w:r>
          </w:p>
        </w:tc>
        <w:tc>
          <w:tcPr>
            <w:tcW w:w="801" w:type="dxa"/>
            <w:gridSpan w:val="2"/>
            <w:tcBorders>
              <w:top w:val="dotted" w:sz="6" w:space="0" w:color="auto"/>
              <w:bottom w:val="nil"/>
              <w:right w:val="dotted" w:sz="6" w:space="0" w:color="auto"/>
            </w:tcBorders>
            <w:shd w:val="clear" w:color="auto" w:fill="auto"/>
            <w:noWrap/>
            <w:vAlign w:val="center"/>
          </w:tcPr>
          <w:p w14:paraId="28F8491B"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30</w:t>
            </w:r>
          </w:p>
        </w:tc>
        <w:tc>
          <w:tcPr>
            <w:tcW w:w="1509" w:type="dxa"/>
            <w:tcBorders>
              <w:top w:val="dotted" w:sz="6" w:space="0" w:color="auto"/>
              <w:bottom w:val="nil"/>
              <w:right w:val="dotted" w:sz="6" w:space="0" w:color="auto"/>
            </w:tcBorders>
          </w:tcPr>
          <w:p w14:paraId="16ADCE0B" w14:textId="00FBA74C" w:rsidR="00A00421" w:rsidRDefault="000E7968" w:rsidP="002B0624">
            <w:pPr>
              <w:spacing w:after="0" w:line="240" w:lineRule="auto"/>
              <w:jc w:val="right"/>
              <w:rPr>
                <w:color w:val="000000"/>
                <w:sz w:val="18"/>
                <w:szCs w:val="18"/>
              </w:rPr>
            </w:pPr>
            <w:r>
              <w:rPr>
                <w:color w:val="000000"/>
                <w:sz w:val="18"/>
                <w:szCs w:val="18"/>
              </w:rPr>
              <w:t xml:space="preserve">*1.5 </w:t>
            </w:r>
            <w:proofErr w:type="spellStart"/>
            <w:r>
              <w:rPr>
                <w:color w:val="000000"/>
                <w:sz w:val="18"/>
                <w:szCs w:val="18"/>
              </w:rPr>
              <w:t>wrt</w:t>
            </w:r>
            <w:proofErr w:type="spellEnd"/>
            <w:r>
              <w:rPr>
                <w:color w:val="000000"/>
                <w:sz w:val="18"/>
                <w:szCs w:val="18"/>
              </w:rPr>
              <w:t xml:space="preserve"> the BY</w:t>
            </w:r>
          </w:p>
        </w:tc>
      </w:tr>
      <w:tr w:rsidR="00A00421" w:rsidRPr="008318B9" w14:paraId="49607802" w14:textId="24C63146" w:rsidTr="000E7968">
        <w:trPr>
          <w:trHeight w:val="227"/>
          <w:jc w:val="center"/>
        </w:trPr>
        <w:tc>
          <w:tcPr>
            <w:tcW w:w="503" w:type="dxa"/>
            <w:vMerge/>
            <w:tcBorders>
              <w:left w:val="dotted" w:sz="6" w:space="0" w:color="auto"/>
            </w:tcBorders>
            <w:vAlign w:val="center"/>
          </w:tcPr>
          <w:p w14:paraId="604B88ED"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bottom w:val="nil"/>
            </w:tcBorders>
            <w:shd w:val="clear" w:color="auto" w:fill="auto"/>
            <w:noWrap/>
            <w:vAlign w:val="center"/>
          </w:tcPr>
          <w:p w14:paraId="4CD0D4EC"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GDP per capita</w:t>
            </w:r>
            <w:r>
              <w:rPr>
                <w:rFonts w:eastAsia="Times New Roman" w:cs="Times New Roman"/>
                <w:color w:val="000000"/>
                <w:sz w:val="18"/>
                <w:szCs w:val="18"/>
                <w:lang w:eastAsia="en-GB"/>
              </w:rPr>
              <w:t xml:space="preserve"> (&amp;)</w:t>
            </w:r>
          </w:p>
        </w:tc>
        <w:tc>
          <w:tcPr>
            <w:tcW w:w="1097" w:type="dxa"/>
            <w:tcBorders>
              <w:bottom w:val="nil"/>
            </w:tcBorders>
            <w:vAlign w:val="center"/>
          </w:tcPr>
          <w:p w14:paraId="02854000" w14:textId="77777777" w:rsidR="00A00421" w:rsidRPr="008318B9" w:rsidRDefault="00A00421" w:rsidP="002B0624">
            <w:pPr>
              <w:spacing w:after="0" w:line="240" w:lineRule="auto"/>
              <w:jc w:val="right"/>
              <w:rPr>
                <w:color w:val="000000"/>
                <w:sz w:val="18"/>
                <w:szCs w:val="18"/>
              </w:rPr>
            </w:pPr>
            <w:r w:rsidRPr="008318B9">
              <w:rPr>
                <w:color w:val="000000"/>
                <w:sz w:val="18"/>
                <w:szCs w:val="18"/>
              </w:rPr>
              <w:t>US$’2000ppp</w:t>
            </w:r>
          </w:p>
        </w:tc>
        <w:tc>
          <w:tcPr>
            <w:tcW w:w="698" w:type="dxa"/>
            <w:tcBorders>
              <w:bottom w:val="nil"/>
              <w:right w:val="dotted" w:sz="6" w:space="0" w:color="auto"/>
            </w:tcBorders>
            <w:vAlign w:val="center"/>
          </w:tcPr>
          <w:p w14:paraId="4CF4E072" w14:textId="77777777" w:rsidR="00A00421" w:rsidRPr="008318B9" w:rsidRDefault="00A00421" w:rsidP="002B0624">
            <w:pPr>
              <w:spacing w:after="0" w:line="240" w:lineRule="auto"/>
              <w:jc w:val="right"/>
              <w:rPr>
                <w:color w:val="000000"/>
                <w:sz w:val="18"/>
                <w:szCs w:val="18"/>
              </w:rPr>
            </w:pPr>
            <w:r w:rsidRPr="008318B9">
              <w:rPr>
                <w:color w:val="000000"/>
                <w:sz w:val="18"/>
                <w:szCs w:val="18"/>
              </w:rPr>
              <w:t>9859</w:t>
            </w:r>
          </w:p>
        </w:tc>
        <w:tc>
          <w:tcPr>
            <w:tcW w:w="764" w:type="dxa"/>
            <w:gridSpan w:val="2"/>
            <w:tcBorders>
              <w:left w:val="dotted" w:sz="6" w:space="0" w:color="auto"/>
              <w:bottom w:val="nil"/>
            </w:tcBorders>
            <w:shd w:val="clear" w:color="auto" w:fill="auto"/>
            <w:noWrap/>
            <w:vAlign w:val="center"/>
          </w:tcPr>
          <w:p w14:paraId="695341D7"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75</w:t>
            </w:r>
          </w:p>
        </w:tc>
        <w:tc>
          <w:tcPr>
            <w:tcW w:w="681" w:type="dxa"/>
            <w:tcBorders>
              <w:bottom w:val="nil"/>
            </w:tcBorders>
            <w:shd w:val="clear" w:color="auto" w:fill="auto"/>
            <w:noWrap/>
            <w:vAlign w:val="center"/>
          </w:tcPr>
          <w:p w14:paraId="3A11D070"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17</w:t>
            </w:r>
          </w:p>
        </w:tc>
        <w:tc>
          <w:tcPr>
            <w:tcW w:w="801" w:type="dxa"/>
            <w:gridSpan w:val="2"/>
            <w:tcBorders>
              <w:top w:val="nil"/>
              <w:bottom w:val="nil"/>
              <w:right w:val="dotted" w:sz="6" w:space="0" w:color="auto"/>
            </w:tcBorders>
            <w:shd w:val="clear" w:color="auto" w:fill="auto"/>
            <w:noWrap/>
            <w:vAlign w:val="center"/>
          </w:tcPr>
          <w:p w14:paraId="587631C7" w14:textId="77777777" w:rsidR="00A00421" w:rsidRPr="008318B9" w:rsidRDefault="00A00421" w:rsidP="002B0624">
            <w:pPr>
              <w:spacing w:after="0" w:line="240" w:lineRule="auto"/>
              <w:jc w:val="right"/>
              <w:rPr>
                <w:color w:val="000000"/>
                <w:sz w:val="18"/>
                <w:szCs w:val="18"/>
              </w:rPr>
            </w:pPr>
            <w:r w:rsidRPr="008318B9">
              <w:rPr>
                <w:color w:val="000000"/>
                <w:sz w:val="18"/>
                <w:szCs w:val="18"/>
              </w:rPr>
              <w:t>251</w:t>
            </w:r>
          </w:p>
        </w:tc>
        <w:tc>
          <w:tcPr>
            <w:tcW w:w="1509" w:type="dxa"/>
            <w:tcBorders>
              <w:top w:val="nil"/>
              <w:bottom w:val="nil"/>
              <w:right w:val="dotted" w:sz="6" w:space="0" w:color="auto"/>
            </w:tcBorders>
          </w:tcPr>
          <w:p w14:paraId="625D0386" w14:textId="7B189C64" w:rsidR="00A00421" w:rsidRPr="008318B9"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474C2BD7" w14:textId="255D1541" w:rsidTr="000E7968">
        <w:trPr>
          <w:trHeight w:val="227"/>
          <w:jc w:val="center"/>
        </w:trPr>
        <w:tc>
          <w:tcPr>
            <w:tcW w:w="503" w:type="dxa"/>
            <w:vMerge/>
            <w:tcBorders>
              <w:left w:val="dotted" w:sz="6" w:space="0" w:color="auto"/>
              <w:bottom w:val="dotted" w:sz="6" w:space="0" w:color="auto"/>
            </w:tcBorders>
            <w:vAlign w:val="center"/>
          </w:tcPr>
          <w:p w14:paraId="14E8C0F7"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top w:val="nil"/>
              <w:bottom w:val="dotted" w:sz="6" w:space="0" w:color="auto"/>
            </w:tcBorders>
            <w:shd w:val="clear" w:color="auto" w:fill="auto"/>
            <w:noWrap/>
            <w:vAlign w:val="center"/>
          </w:tcPr>
          <w:p w14:paraId="403F8E36"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Aggregate demand for energy services</w:t>
            </w:r>
          </w:p>
        </w:tc>
        <w:tc>
          <w:tcPr>
            <w:tcW w:w="1097" w:type="dxa"/>
            <w:tcBorders>
              <w:top w:val="nil"/>
              <w:bottom w:val="dotted" w:sz="6" w:space="0" w:color="auto"/>
            </w:tcBorders>
            <w:vAlign w:val="center"/>
          </w:tcPr>
          <w:p w14:paraId="613F7639" w14:textId="77777777" w:rsidR="00A00421" w:rsidRPr="008318B9" w:rsidRDefault="00A00421" w:rsidP="002B0624">
            <w:pPr>
              <w:spacing w:after="0" w:line="240" w:lineRule="auto"/>
              <w:jc w:val="right"/>
              <w:rPr>
                <w:color w:val="000000"/>
                <w:sz w:val="18"/>
                <w:szCs w:val="18"/>
              </w:rPr>
            </w:pPr>
            <w:r w:rsidRPr="008318B9">
              <w:rPr>
                <w:color w:val="000000"/>
                <w:sz w:val="18"/>
                <w:szCs w:val="18"/>
              </w:rPr>
              <w:t>Index</w:t>
            </w:r>
            <w:r>
              <w:rPr>
                <w:color w:val="000000"/>
                <w:sz w:val="18"/>
                <w:szCs w:val="18"/>
              </w:rPr>
              <w:t xml:space="preserve"> (+)</w:t>
            </w:r>
          </w:p>
        </w:tc>
        <w:tc>
          <w:tcPr>
            <w:tcW w:w="698" w:type="dxa"/>
            <w:tcBorders>
              <w:top w:val="nil"/>
              <w:bottom w:val="dotted" w:sz="6" w:space="0" w:color="auto"/>
              <w:right w:val="dotted" w:sz="6" w:space="0" w:color="auto"/>
            </w:tcBorders>
            <w:vAlign w:val="center"/>
          </w:tcPr>
          <w:p w14:paraId="5AA742EB" w14:textId="77777777" w:rsidR="00A00421" w:rsidRPr="008318B9" w:rsidRDefault="00A00421" w:rsidP="002B0624">
            <w:pPr>
              <w:spacing w:after="0" w:line="240" w:lineRule="auto"/>
              <w:jc w:val="right"/>
              <w:rPr>
                <w:color w:val="000000"/>
                <w:sz w:val="18"/>
                <w:szCs w:val="18"/>
              </w:rPr>
            </w:pPr>
            <w:r w:rsidRPr="008318B9">
              <w:rPr>
                <w:color w:val="000000"/>
                <w:sz w:val="18"/>
                <w:szCs w:val="18"/>
              </w:rPr>
              <w:t>100</w:t>
            </w:r>
          </w:p>
        </w:tc>
        <w:tc>
          <w:tcPr>
            <w:tcW w:w="764" w:type="dxa"/>
            <w:gridSpan w:val="2"/>
            <w:tcBorders>
              <w:top w:val="nil"/>
              <w:left w:val="dotted" w:sz="6" w:space="0" w:color="auto"/>
              <w:bottom w:val="dotted" w:sz="6" w:space="0" w:color="auto"/>
            </w:tcBorders>
            <w:shd w:val="clear" w:color="auto" w:fill="auto"/>
            <w:noWrap/>
            <w:vAlign w:val="center"/>
          </w:tcPr>
          <w:p w14:paraId="5DBF25E2"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79</w:t>
            </w:r>
          </w:p>
        </w:tc>
        <w:tc>
          <w:tcPr>
            <w:tcW w:w="681" w:type="dxa"/>
            <w:tcBorders>
              <w:top w:val="nil"/>
              <w:bottom w:val="dotted" w:sz="6" w:space="0" w:color="auto"/>
              <w:right w:val="nil"/>
            </w:tcBorders>
            <w:shd w:val="clear" w:color="auto" w:fill="auto"/>
            <w:noWrap/>
            <w:vAlign w:val="center"/>
          </w:tcPr>
          <w:p w14:paraId="091D3A41"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26</w:t>
            </w:r>
          </w:p>
        </w:tc>
        <w:tc>
          <w:tcPr>
            <w:tcW w:w="801" w:type="dxa"/>
            <w:gridSpan w:val="2"/>
            <w:tcBorders>
              <w:top w:val="nil"/>
              <w:left w:val="nil"/>
              <w:bottom w:val="dotted" w:sz="6" w:space="0" w:color="auto"/>
              <w:right w:val="dotted" w:sz="6" w:space="0" w:color="auto"/>
            </w:tcBorders>
            <w:shd w:val="clear" w:color="auto" w:fill="auto"/>
            <w:noWrap/>
            <w:vAlign w:val="center"/>
          </w:tcPr>
          <w:p w14:paraId="41507959"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69</w:t>
            </w:r>
          </w:p>
        </w:tc>
        <w:tc>
          <w:tcPr>
            <w:tcW w:w="1509" w:type="dxa"/>
            <w:tcBorders>
              <w:top w:val="nil"/>
              <w:left w:val="nil"/>
              <w:bottom w:val="dotted" w:sz="6" w:space="0" w:color="auto"/>
              <w:right w:val="dotted" w:sz="6" w:space="0" w:color="auto"/>
            </w:tcBorders>
          </w:tcPr>
          <w:p w14:paraId="7F0535D4" w14:textId="7A349280" w:rsidR="00A00421"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43840079" w14:textId="05EEF058" w:rsidTr="000E7968">
        <w:trPr>
          <w:trHeight w:val="227"/>
          <w:jc w:val="center"/>
        </w:trPr>
        <w:tc>
          <w:tcPr>
            <w:tcW w:w="503" w:type="dxa"/>
            <w:vMerge w:val="restart"/>
            <w:tcBorders>
              <w:top w:val="dotted" w:sz="6" w:space="0" w:color="auto"/>
              <w:left w:val="dotted" w:sz="6" w:space="0" w:color="auto"/>
            </w:tcBorders>
            <w:vAlign w:val="center"/>
          </w:tcPr>
          <w:p w14:paraId="503AAF25"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r>
              <w:rPr>
                <w:rFonts w:eastAsia="Times New Roman" w:cs="Times New Roman"/>
                <w:color w:val="000000"/>
                <w:sz w:val="18"/>
                <w:szCs w:val="18"/>
                <w:lang w:eastAsia="en-GB"/>
              </w:rPr>
              <w:t>UZB</w:t>
            </w:r>
          </w:p>
        </w:tc>
        <w:tc>
          <w:tcPr>
            <w:tcW w:w="3119" w:type="dxa"/>
            <w:tcBorders>
              <w:top w:val="dotted" w:sz="6" w:space="0" w:color="auto"/>
              <w:bottom w:val="nil"/>
            </w:tcBorders>
            <w:shd w:val="clear" w:color="auto" w:fill="auto"/>
            <w:noWrap/>
            <w:vAlign w:val="center"/>
          </w:tcPr>
          <w:p w14:paraId="765E08B0"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Population</w:t>
            </w:r>
          </w:p>
        </w:tc>
        <w:tc>
          <w:tcPr>
            <w:tcW w:w="1097" w:type="dxa"/>
            <w:tcBorders>
              <w:top w:val="dotted" w:sz="6" w:space="0" w:color="auto"/>
              <w:bottom w:val="nil"/>
            </w:tcBorders>
            <w:vAlign w:val="center"/>
          </w:tcPr>
          <w:p w14:paraId="10803782"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Million</w:t>
            </w:r>
          </w:p>
        </w:tc>
        <w:tc>
          <w:tcPr>
            <w:tcW w:w="698" w:type="dxa"/>
            <w:tcBorders>
              <w:top w:val="dotted" w:sz="6" w:space="0" w:color="auto"/>
              <w:bottom w:val="nil"/>
              <w:right w:val="dotted" w:sz="6" w:space="0" w:color="auto"/>
            </w:tcBorders>
            <w:vAlign w:val="center"/>
          </w:tcPr>
          <w:p w14:paraId="21DE3B8A" w14:textId="77777777" w:rsidR="00A00421" w:rsidRPr="008318B9" w:rsidRDefault="00A00421" w:rsidP="002B0624">
            <w:pPr>
              <w:spacing w:after="0" w:line="240" w:lineRule="auto"/>
              <w:jc w:val="right"/>
              <w:rPr>
                <w:rFonts w:eastAsia="Times New Roman" w:cs="Times New Roman"/>
                <w:color w:val="000000"/>
                <w:sz w:val="18"/>
                <w:szCs w:val="18"/>
                <w:lang w:eastAsia="en-GB"/>
              </w:rPr>
            </w:pPr>
            <w:r w:rsidRPr="008318B9">
              <w:rPr>
                <w:rFonts w:eastAsia="Times New Roman" w:cs="Times New Roman"/>
                <w:color w:val="000000"/>
                <w:sz w:val="18"/>
                <w:szCs w:val="18"/>
                <w:lang w:eastAsia="en-GB"/>
              </w:rPr>
              <w:t>27.8</w:t>
            </w:r>
          </w:p>
        </w:tc>
        <w:tc>
          <w:tcPr>
            <w:tcW w:w="764" w:type="dxa"/>
            <w:gridSpan w:val="2"/>
            <w:tcBorders>
              <w:top w:val="dotted" w:sz="6" w:space="0" w:color="auto"/>
              <w:left w:val="dotted" w:sz="6" w:space="0" w:color="auto"/>
              <w:bottom w:val="nil"/>
            </w:tcBorders>
            <w:shd w:val="clear" w:color="auto" w:fill="auto"/>
            <w:noWrap/>
            <w:vAlign w:val="center"/>
          </w:tcPr>
          <w:p w14:paraId="659ED148"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18</w:t>
            </w:r>
          </w:p>
        </w:tc>
        <w:tc>
          <w:tcPr>
            <w:tcW w:w="681" w:type="dxa"/>
            <w:tcBorders>
              <w:top w:val="dotted" w:sz="6" w:space="0" w:color="auto"/>
              <w:bottom w:val="nil"/>
            </w:tcBorders>
            <w:shd w:val="clear" w:color="auto" w:fill="auto"/>
            <w:noWrap/>
            <w:vAlign w:val="center"/>
          </w:tcPr>
          <w:p w14:paraId="18CFA12F"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24</w:t>
            </w:r>
          </w:p>
        </w:tc>
        <w:tc>
          <w:tcPr>
            <w:tcW w:w="801" w:type="dxa"/>
            <w:gridSpan w:val="2"/>
            <w:tcBorders>
              <w:top w:val="dotted" w:sz="6" w:space="0" w:color="auto"/>
              <w:bottom w:val="nil"/>
              <w:right w:val="dotted" w:sz="6" w:space="0" w:color="auto"/>
            </w:tcBorders>
            <w:shd w:val="clear" w:color="auto" w:fill="auto"/>
            <w:noWrap/>
            <w:vAlign w:val="center"/>
          </w:tcPr>
          <w:p w14:paraId="70673C5F"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30</w:t>
            </w:r>
          </w:p>
        </w:tc>
        <w:tc>
          <w:tcPr>
            <w:tcW w:w="1509" w:type="dxa"/>
            <w:tcBorders>
              <w:top w:val="dotted" w:sz="6" w:space="0" w:color="auto"/>
              <w:bottom w:val="nil"/>
              <w:right w:val="dotted" w:sz="6" w:space="0" w:color="auto"/>
            </w:tcBorders>
          </w:tcPr>
          <w:p w14:paraId="3A8709DB" w14:textId="2D414D01" w:rsidR="00A00421" w:rsidRDefault="000E7968" w:rsidP="002B0624">
            <w:pPr>
              <w:spacing w:after="0" w:line="240" w:lineRule="auto"/>
              <w:jc w:val="right"/>
              <w:rPr>
                <w:color w:val="000000"/>
                <w:sz w:val="18"/>
                <w:szCs w:val="18"/>
              </w:rPr>
            </w:pPr>
            <w:r>
              <w:rPr>
                <w:color w:val="000000"/>
                <w:sz w:val="18"/>
                <w:szCs w:val="18"/>
              </w:rPr>
              <w:t xml:space="preserve">*1.5 </w:t>
            </w:r>
            <w:proofErr w:type="spellStart"/>
            <w:r>
              <w:rPr>
                <w:color w:val="000000"/>
                <w:sz w:val="18"/>
                <w:szCs w:val="18"/>
              </w:rPr>
              <w:t>wrt</w:t>
            </w:r>
            <w:proofErr w:type="spellEnd"/>
            <w:r>
              <w:rPr>
                <w:color w:val="000000"/>
                <w:sz w:val="18"/>
                <w:szCs w:val="18"/>
              </w:rPr>
              <w:t xml:space="preserve"> the BY</w:t>
            </w:r>
          </w:p>
        </w:tc>
      </w:tr>
      <w:tr w:rsidR="00A00421" w:rsidRPr="008318B9" w14:paraId="4F3296AD" w14:textId="6991DEA3" w:rsidTr="000E7968">
        <w:trPr>
          <w:trHeight w:val="227"/>
          <w:jc w:val="center"/>
        </w:trPr>
        <w:tc>
          <w:tcPr>
            <w:tcW w:w="503" w:type="dxa"/>
            <w:vMerge/>
            <w:tcBorders>
              <w:left w:val="dotted" w:sz="6" w:space="0" w:color="auto"/>
            </w:tcBorders>
            <w:vAlign w:val="center"/>
          </w:tcPr>
          <w:p w14:paraId="3A12F474"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top w:val="nil"/>
              <w:bottom w:val="nil"/>
            </w:tcBorders>
            <w:shd w:val="clear" w:color="auto" w:fill="auto"/>
            <w:noWrap/>
            <w:vAlign w:val="center"/>
          </w:tcPr>
          <w:p w14:paraId="0438DF76" w14:textId="77777777" w:rsidR="00A00421" w:rsidRPr="008318B9" w:rsidRDefault="00A00421" w:rsidP="002B0624">
            <w:pPr>
              <w:tabs>
                <w:tab w:val="left" w:pos="2903"/>
              </w:tabs>
              <w:spacing w:after="0" w:line="240" w:lineRule="auto"/>
              <w:rPr>
                <w:rFonts w:eastAsia="Times New Roman" w:cs="Times New Roman"/>
                <w:color w:val="000000"/>
                <w:sz w:val="18"/>
                <w:szCs w:val="18"/>
                <w:lang w:eastAsia="en-GB"/>
              </w:rPr>
            </w:pPr>
            <w:r w:rsidRPr="008318B9">
              <w:rPr>
                <w:rFonts w:eastAsia="Times New Roman" w:cs="Times New Roman"/>
                <w:color w:val="000000"/>
                <w:sz w:val="18"/>
                <w:szCs w:val="18"/>
                <w:lang w:eastAsia="en-GB"/>
              </w:rPr>
              <w:t>GDP per capita</w:t>
            </w:r>
            <w:r>
              <w:rPr>
                <w:rFonts w:eastAsia="Times New Roman" w:cs="Times New Roman"/>
                <w:color w:val="000000"/>
                <w:sz w:val="18"/>
                <w:szCs w:val="18"/>
                <w:lang w:eastAsia="en-GB"/>
              </w:rPr>
              <w:t xml:space="preserve"> (&amp;)</w:t>
            </w:r>
          </w:p>
        </w:tc>
        <w:tc>
          <w:tcPr>
            <w:tcW w:w="1097" w:type="dxa"/>
            <w:tcBorders>
              <w:top w:val="nil"/>
              <w:bottom w:val="nil"/>
            </w:tcBorders>
            <w:vAlign w:val="center"/>
          </w:tcPr>
          <w:p w14:paraId="14E152C3" w14:textId="77777777" w:rsidR="00A00421" w:rsidRPr="008318B9" w:rsidRDefault="00A00421" w:rsidP="002B0624">
            <w:pPr>
              <w:spacing w:after="0" w:line="240" w:lineRule="auto"/>
              <w:jc w:val="right"/>
              <w:rPr>
                <w:color w:val="000000"/>
                <w:sz w:val="18"/>
                <w:szCs w:val="18"/>
              </w:rPr>
            </w:pPr>
            <w:r w:rsidRPr="008318B9">
              <w:rPr>
                <w:color w:val="000000"/>
                <w:sz w:val="18"/>
                <w:szCs w:val="18"/>
              </w:rPr>
              <w:t>US$’2000ppp</w:t>
            </w:r>
          </w:p>
        </w:tc>
        <w:tc>
          <w:tcPr>
            <w:tcW w:w="698" w:type="dxa"/>
            <w:tcBorders>
              <w:top w:val="nil"/>
              <w:bottom w:val="nil"/>
              <w:right w:val="dotted" w:sz="6" w:space="0" w:color="auto"/>
            </w:tcBorders>
            <w:vAlign w:val="center"/>
          </w:tcPr>
          <w:p w14:paraId="2330D2B7" w14:textId="77777777" w:rsidR="00A00421" w:rsidRPr="008318B9" w:rsidRDefault="00A00421" w:rsidP="002B0624">
            <w:pPr>
              <w:spacing w:after="0" w:line="240" w:lineRule="auto"/>
              <w:jc w:val="right"/>
              <w:rPr>
                <w:color w:val="000000"/>
                <w:sz w:val="18"/>
                <w:szCs w:val="18"/>
              </w:rPr>
            </w:pPr>
            <w:r w:rsidRPr="008318B9">
              <w:rPr>
                <w:color w:val="000000"/>
                <w:sz w:val="18"/>
                <w:szCs w:val="18"/>
              </w:rPr>
              <w:t>2395</w:t>
            </w:r>
          </w:p>
        </w:tc>
        <w:tc>
          <w:tcPr>
            <w:tcW w:w="764" w:type="dxa"/>
            <w:gridSpan w:val="2"/>
            <w:tcBorders>
              <w:top w:val="nil"/>
              <w:left w:val="dotted" w:sz="6" w:space="0" w:color="auto"/>
              <w:bottom w:val="nil"/>
            </w:tcBorders>
            <w:shd w:val="clear" w:color="auto" w:fill="auto"/>
            <w:noWrap/>
            <w:vAlign w:val="center"/>
          </w:tcPr>
          <w:p w14:paraId="23108216" w14:textId="77777777" w:rsidR="00A00421" w:rsidRPr="008318B9" w:rsidRDefault="00A00421" w:rsidP="002B0624">
            <w:pPr>
              <w:spacing w:after="0" w:line="240" w:lineRule="auto"/>
              <w:jc w:val="right"/>
              <w:rPr>
                <w:color w:val="000000"/>
                <w:sz w:val="18"/>
                <w:szCs w:val="18"/>
              </w:rPr>
            </w:pPr>
            <w:r>
              <w:rPr>
                <w:color w:val="000000"/>
                <w:sz w:val="18"/>
                <w:szCs w:val="18"/>
              </w:rPr>
              <w:t>1</w:t>
            </w:r>
            <w:r w:rsidRPr="008318B9">
              <w:rPr>
                <w:color w:val="000000"/>
                <w:sz w:val="18"/>
                <w:szCs w:val="18"/>
              </w:rPr>
              <w:t>75</w:t>
            </w:r>
          </w:p>
        </w:tc>
        <w:tc>
          <w:tcPr>
            <w:tcW w:w="681" w:type="dxa"/>
            <w:tcBorders>
              <w:top w:val="nil"/>
              <w:bottom w:val="nil"/>
            </w:tcBorders>
            <w:shd w:val="clear" w:color="auto" w:fill="auto"/>
            <w:noWrap/>
            <w:vAlign w:val="center"/>
          </w:tcPr>
          <w:p w14:paraId="4B5B4408"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17</w:t>
            </w:r>
          </w:p>
        </w:tc>
        <w:tc>
          <w:tcPr>
            <w:tcW w:w="801" w:type="dxa"/>
            <w:gridSpan w:val="2"/>
            <w:tcBorders>
              <w:top w:val="nil"/>
              <w:bottom w:val="nil"/>
              <w:right w:val="dotted" w:sz="6" w:space="0" w:color="auto"/>
            </w:tcBorders>
            <w:shd w:val="clear" w:color="auto" w:fill="auto"/>
            <w:noWrap/>
            <w:vAlign w:val="center"/>
          </w:tcPr>
          <w:p w14:paraId="074DD009" w14:textId="77777777" w:rsidR="00A00421" w:rsidRPr="008318B9" w:rsidRDefault="00A00421" w:rsidP="002B0624">
            <w:pPr>
              <w:spacing w:after="0" w:line="240" w:lineRule="auto"/>
              <w:jc w:val="right"/>
              <w:rPr>
                <w:color w:val="000000"/>
                <w:sz w:val="18"/>
                <w:szCs w:val="18"/>
              </w:rPr>
            </w:pPr>
            <w:r>
              <w:rPr>
                <w:color w:val="000000"/>
                <w:sz w:val="18"/>
                <w:szCs w:val="18"/>
              </w:rPr>
              <w:t>2</w:t>
            </w:r>
            <w:r w:rsidRPr="008318B9">
              <w:rPr>
                <w:color w:val="000000"/>
                <w:sz w:val="18"/>
                <w:szCs w:val="18"/>
              </w:rPr>
              <w:t>51</w:t>
            </w:r>
          </w:p>
        </w:tc>
        <w:tc>
          <w:tcPr>
            <w:tcW w:w="1509" w:type="dxa"/>
            <w:tcBorders>
              <w:top w:val="nil"/>
              <w:bottom w:val="nil"/>
              <w:right w:val="dotted" w:sz="6" w:space="0" w:color="auto"/>
            </w:tcBorders>
          </w:tcPr>
          <w:p w14:paraId="1C170961" w14:textId="6A368BBE" w:rsidR="00A00421" w:rsidRDefault="00A00421" w:rsidP="002B0624">
            <w:pPr>
              <w:spacing w:after="0" w:line="240" w:lineRule="auto"/>
              <w:jc w:val="right"/>
              <w:rPr>
                <w:color w:val="000000"/>
                <w:sz w:val="18"/>
                <w:szCs w:val="18"/>
              </w:rPr>
            </w:pPr>
            <w:r>
              <w:rPr>
                <w:color w:val="000000"/>
                <w:sz w:val="18"/>
                <w:szCs w:val="18"/>
              </w:rPr>
              <w:t>Study-specific</w:t>
            </w:r>
          </w:p>
        </w:tc>
      </w:tr>
      <w:tr w:rsidR="00A00421" w:rsidRPr="008318B9" w14:paraId="496C14AF" w14:textId="3ACF92E0" w:rsidTr="000E7968">
        <w:trPr>
          <w:trHeight w:val="227"/>
          <w:jc w:val="center"/>
        </w:trPr>
        <w:tc>
          <w:tcPr>
            <w:tcW w:w="503" w:type="dxa"/>
            <w:vMerge/>
            <w:tcBorders>
              <w:left w:val="dotted" w:sz="6" w:space="0" w:color="auto"/>
              <w:bottom w:val="dotted" w:sz="6" w:space="0" w:color="auto"/>
            </w:tcBorders>
            <w:vAlign w:val="center"/>
          </w:tcPr>
          <w:p w14:paraId="62CB4788"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top w:val="nil"/>
              <w:bottom w:val="dotted" w:sz="6" w:space="0" w:color="auto"/>
            </w:tcBorders>
            <w:shd w:val="clear" w:color="auto" w:fill="auto"/>
            <w:noWrap/>
            <w:vAlign w:val="center"/>
          </w:tcPr>
          <w:p w14:paraId="2B8420B2"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r>
              <w:rPr>
                <w:rFonts w:eastAsia="Times New Roman" w:cs="Times New Roman"/>
                <w:color w:val="000000"/>
                <w:sz w:val="18"/>
                <w:szCs w:val="18"/>
                <w:lang w:eastAsia="en-GB"/>
              </w:rPr>
              <w:t>Aggregate demand for energy services</w:t>
            </w:r>
          </w:p>
        </w:tc>
        <w:tc>
          <w:tcPr>
            <w:tcW w:w="1097" w:type="dxa"/>
            <w:tcBorders>
              <w:top w:val="nil"/>
              <w:bottom w:val="dotted" w:sz="6" w:space="0" w:color="auto"/>
            </w:tcBorders>
            <w:vAlign w:val="center"/>
          </w:tcPr>
          <w:p w14:paraId="06E722E9" w14:textId="77777777" w:rsidR="00A00421" w:rsidRDefault="00A00421" w:rsidP="002B0624">
            <w:pPr>
              <w:spacing w:after="0" w:line="240" w:lineRule="auto"/>
              <w:jc w:val="right"/>
              <w:rPr>
                <w:rFonts w:ascii="Calibri" w:hAnsi="Calibri"/>
                <w:color w:val="000000"/>
                <w:sz w:val="18"/>
                <w:szCs w:val="18"/>
              </w:rPr>
            </w:pPr>
            <w:r w:rsidRPr="008318B9">
              <w:rPr>
                <w:color w:val="000000"/>
                <w:sz w:val="18"/>
                <w:szCs w:val="18"/>
              </w:rPr>
              <w:t>Index</w:t>
            </w:r>
            <w:r>
              <w:rPr>
                <w:color w:val="000000"/>
                <w:sz w:val="18"/>
                <w:szCs w:val="18"/>
              </w:rPr>
              <w:t xml:space="preserve"> (+)</w:t>
            </w:r>
          </w:p>
        </w:tc>
        <w:tc>
          <w:tcPr>
            <w:tcW w:w="698" w:type="dxa"/>
            <w:tcBorders>
              <w:top w:val="nil"/>
              <w:bottom w:val="dotted" w:sz="6" w:space="0" w:color="auto"/>
              <w:right w:val="dotted" w:sz="6" w:space="0" w:color="auto"/>
            </w:tcBorders>
            <w:vAlign w:val="center"/>
          </w:tcPr>
          <w:p w14:paraId="6C32FABE" w14:textId="77777777" w:rsidR="00A00421" w:rsidRDefault="00A00421" w:rsidP="002B0624">
            <w:pPr>
              <w:spacing w:after="0" w:line="240" w:lineRule="auto"/>
              <w:jc w:val="right"/>
              <w:rPr>
                <w:rFonts w:ascii="Calibri" w:hAnsi="Calibri"/>
                <w:color w:val="000000"/>
                <w:sz w:val="18"/>
                <w:szCs w:val="18"/>
              </w:rPr>
            </w:pPr>
            <w:r>
              <w:rPr>
                <w:rFonts w:ascii="Calibri" w:hAnsi="Calibri"/>
                <w:color w:val="000000"/>
                <w:sz w:val="18"/>
                <w:szCs w:val="18"/>
              </w:rPr>
              <w:t>100</w:t>
            </w:r>
          </w:p>
        </w:tc>
        <w:tc>
          <w:tcPr>
            <w:tcW w:w="764" w:type="dxa"/>
            <w:gridSpan w:val="2"/>
            <w:tcBorders>
              <w:top w:val="nil"/>
              <w:left w:val="dotted" w:sz="6" w:space="0" w:color="auto"/>
              <w:bottom w:val="dotted" w:sz="6" w:space="0" w:color="auto"/>
            </w:tcBorders>
            <w:shd w:val="clear" w:color="auto" w:fill="auto"/>
            <w:noWrap/>
            <w:vAlign w:val="center"/>
          </w:tcPr>
          <w:p w14:paraId="7ACA2A67" w14:textId="77777777" w:rsidR="00A00421" w:rsidRPr="008318B9" w:rsidRDefault="00A00421" w:rsidP="002B0624">
            <w:pPr>
              <w:spacing w:after="0" w:line="240" w:lineRule="auto"/>
              <w:jc w:val="right"/>
              <w:rPr>
                <w:rFonts w:ascii="Calibri" w:hAnsi="Calibri"/>
                <w:color w:val="000000"/>
                <w:sz w:val="18"/>
                <w:szCs w:val="18"/>
              </w:rPr>
            </w:pPr>
            <w:r>
              <w:rPr>
                <w:rFonts w:ascii="Calibri" w:hAnsi="Calibri"/>
                <w:color w:val="000000"/>
                <w:sz w:val="18"/>
                <w:szCs w:val="18"/>
              </w:rPr>
              <w:t>1</w:t>
            </w:r>
            <w:r w:rsidRPr="008318B9">
              <w:rPr>
                <w:rFonts w:ascii="Calibri" w:hAnsi="Calibri"/>
                <w:color w:val="000000"/>
                <w:sz w:val="18"/>
                <w:szCs w:val="18"/>
              </w:rPr>
              <w:t>85</w:t>
            </w:r>
          </w:p>
        </w:tc>
        <w:tc>
          <w:tcPr>
            <w:tcW w:w="681" w:type="dxa"/>
            <w:tcBorders>
              <w:top w:val="nil"/>
              <w:bottom w:val="dotted" w:sz="6" w:space="0" w:color="auto"/>
              <w:right w:val="nil"/>
            </w:tcBorders>
            <w:shd w:val="clear" w:color="auto" w:fill="auto"/>
            <w:noWrap/>
            <w:vAlign w:val="center"/>
          </w:tcPr>
          <w:p w14:paraId="38C9BA76" w14:textId="77777777" w:rsidR="00A00421" w:rsidRPr="008318B9" w:rsidRDefault="00A00421" w:rsidP="002B0624">
            <w:pPr>
              <w:spacing w:after="0" w:line="240" w:lineRule="auto"/>
              <w:jc w:val="right"/>
              <w:rPr>
                <w:rFonts w:ascii="Calibri" w:hAnsi="Calibri"/>
                <w:color w:val="000000"/>
                <w:sz w:val="18"/>
                <w:szCs w:val="18"/>
              </w:rPr>
            </w:pPr>
            <w:r>
              <w:rPr>
                <w:rFonts w:ascii="Calibri" w:hAnsi="Calibri"/>
                <w:color w:val="000000"/>
                <w:sz w:val="18"/>
                <w:szCs w:val="18"/>
              </w:rPr>
              <w:t>2</w:t>
            </w:r>
            <w:r w:rsidRPr="008318B9">
              <w:rPr>
                <w:rFonts w:ascii="Calibri" w:hAnsi="Calibri"/>
                <w:color w:val="000000"/>
                <w:sz w:val="18"/>
                <w:szCs w:val="18"/>
              </w:rPr>
              <w:t>38</w:t>
            </w:r>
          </w:p>
        </w:tc>
        <w:tc>
          <w:tcPr>
            <w:tcW w:w="801" w:type="dxa"/>
            <w:gridSpan w:val="2"/>
            <w:tcBorders>
              <w:top w:val="nil"/>
              <w:left w:val="nil"/>
              <w:bottom w:val="dotted" w:sz="6" w:space="0" w:color="auto"/>
              <w:right w:val="dotted" w:sz="6" w:space="0" w:color="auto"/>
            </w:tcBorders>
            <w:shd w:val="clear" w:color="auto" w:fill="auto"/>
            <w:noWrap/>
            <w:vAlign w:val="center"/>
          </w:tcPr>
          <w:p w14:paraId="2E032340" w14:textId="77777777" w:rsidR="00A00421" w:rsidRPr="008318B9" w:rsidRDefault="00A00421" w:rsidP="002B0624">
            <w:pPr>
              <w:spacing w:after="0" w:line="240" w:lineRule="auto"/>
              <w:jc w:val="right"/>
              <w:rPr>
                <w:rFonts w:ascii="Calibri" w:hAnsi="Calibri"/>
                <w:color w:val="000000"/>
                <w:sz w:val="18"/>
                <w:szCs w:val="18"/>
              </w:rPr>
            </w:pPr>
            <w:r>
              <w:rPr>
                <w:rFonts w:ascii="Calibri" w:hAnsi="Calibri"/>
                <w:color w:val="000000"/>
                <w:sz w:val="18"/>
                <w:szCs w:val="18"/>
              </w:rPr>
              <w:t>2</w:t>
            </w:r>
            <w:r w:rsidRPr="008318B9">
              <w:rPr>
                <w:rFonts w:ascii="Calibri" w:hAnsi="Calibri"/>
                <w:color w:val="000000"/>
                <w:sz w:val="18"/>
                <w:szCs w:val="18"/>
              </w:rPr>
              <w:t>83</w:t>
            </w:r>
          </w:p>
        </w:tc>
        <w:tc>
          <w:tcPr>
            <w:tcW w:w="1509" w:type="dxa"/>
            <w:tcBorders>
              <w:top w:val="nil"/>
              <w:left w:val="nil"/>
              <w:bottom w:val="dotted" w:sz="6" w:space="0" w:color="auto"/>
              <w:right w:val="dotted" w:sz="6" w:space="0" w:color="auto"/>
            </w:tcBorders>
          </w:tcPr>
          <w:p w14:paraId="48425D89" w14:textId="499BF467" w:rsidR="00A00421" w:rsidRDefault="00A00421" w:rsidP="002B0624">
            <w:pPr>
              <w:spacing w:after="0" w:line="240" w:lineRule="auto"/>
              <w:jc w:val="right"/>
              <w:rPr>
                <w:rFonts w:ascii="Calibri" w:hAnsi="Calibri"/>
                <w:color w:val="000000"/>
                <w:sz w:val="18"/>
                <w:szCs w:val="18"/>
              </w:rPr>
            </w:pPr>
            <w:r>
              <w:rPr>
                <w:color w:val="000000"/>
                <w:sz w:val="18"/>
                <w:szCs w:val="18"/>
              </w:rPr>
              <w:t>Study-specific</w:t>
            </w:r>
          </w:p>
        </w:tc>
      </w:tr>
      <w:tr w:rsidR="00A00421" w:rsidRPr="00AB5DB5" w14:paraId="6FE5E540" w14:textId="350B3985" w:rsidTr="000E7968">
        <w:trPr>
          <w:trHeight w:val="227"/>
          <w:jc w:val="center"/>
        </w:trPr>
        <w:tc>
          <w:tcPr>
            <w:tcW w:w="503" w:type="dxa"/>
            <w:vMerge w:val="restart"/>
            <w:tcBorders>
              <w:top w:val="dotted" w:sz="6" w:space="0" w:color="auto"/>
              <w:left w:val="dotted" w:sz="6" w:space="0" w:color="auto"/>
            </w:tcBorders>
            <w:vAlign w:val="center"/>
          </w:tcPr>
          <w:p w14:paraId="52624D86" w14:textId="645DB146"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r>
              <w:rPr>
                <w:rFonts w:eastAsia="Times New Roman" w:cs="Times New Roman"/>
                <w:color w:val="000000"/>
                <w:sz w:val="18"/>
                <w:szCs w:val="18"/>
                <w:lang w:eastAsia="en-GB"/>
              </w:rPr>
              <w:t>CAC</w:t>
            </w:r>
            <w:r w:rsidR="004C537F">
              <w:rPr>
                <w:rFonts w:eastAsia="Times New Roman" w:cs="Times New Roman"/>
                <w:color w:val="000000"/>
                <w:sz w:val="18"/>
                <w:szCs w:val="18"/>
                <w:lang w:eastAsia="en-GB"/>
              </w:rPr>
              <w:t>-4R</w:t>
            </w:r>
          </w:p>
        </w:tc>
        <w:tc>
          <w:tcPr>
            <w:tcW w:w="3119" w:type="dxa"/>
            <w:tcBorders>
              <w:top w:val="dotted" w:sz="6" w:space="0" w:color="auto"/>
            </w:tcBorders>
            <w:shd w:val="clear" w:color="auto" w:fill="auto"/>
            <w:noWrap/>
            <w:vAlign w:val="center"/>
          </w:tcPr>
          <w:p w14:paraId="2044E041" w14:textId="77777777" w:rsidR="00A00421" w:rsidRPr="00AB5DB5" w:rsidRDefault="00A00421" w:rsidP="002B0624">
            <w:pPr>
              <w:tabs>
                <w:tab w:val="left" w:pos="2903"/>
              </w:tabs>
              <w:spacing w:after="0" w:line="240" w:lineRule="auto"/>
              <w:rPr>
                <w:rFonts w:eastAsia="Times New Roman" w:cs="Times New Roman"/>
                <w:color w:val="000000"/>
                <w:sz w:val="18"/>
                <w:szCs w:val="18"/>
                <w:lang w:eastAsia="en-GB"/>
              </w:rPr>
            </w:pPr>
            <w:r w:rsidRPr="00AB5DB5">
              <w:rPr>
                <w:rFonts w:eastAsia="Times New Roman" w:cs="Times New Roman"/>
                <w:color w:val="000000"/>
                <w:sz w:val="18"/>
                <w:szCs w:val="18"/>
                <w:lang w:eastAsia="en-GB"/>
              </w:rPr>
              <w:t>Population</w:t>
            </w:r>
          </w:p>
        </w:tc>
        <w:tc>
          <w:tcPr>
            <w:tcW w:w="1097" w:type="dxa"/>
            <w:tcBorders>
              <w:top w:val="dotted" w:sz="6" w:space="0" w:color="auto"/>
            </w:tcBorders>
            <w:vAlign w:val="center"/>
          </w:tcPr>
          <w:p w14:paraId="0D5BD789" w14:textId="77777777" w:rsidR="00A00421" w:rsidRPr="00AB5DB5" w:rsidRDefault="00A00421" w:rsidP="002B0624">
            <w:pPr>
              <w:spacing w:after="0" w:line="240" w:lineRule="auto"/>
              <w:jc w:val="right"/>
              <w:rPr>
                <w:rFonts w:eastAsia="Times New Roman" w:cs="Times New Roman"/>
                <w:color w:val="000000"/>
                <w:sz w:val="18"/>
                <w:szCs w:val="18"/>
                <w:lang w:eastAsia="en-GB"/>
              </w:rPr>
            </w:pPr>
            <w:r w:rsidRPr="00AB5DB5">
              <w:rPr>
                <w:rFonts w:eastAsia="Times New Roman" w:cs="Times New Roman"/>
                <w:color w:val="000000"/>
                <w:sz w:val="18"/>
                <w:szCs w:val="18"/>
                <w:lang w:eastAsia="en-GB"/>
              </w:rPr>
              <w:t>Million</w:t>
            </w:r>
          </w:p>
        </w:tc>
        <w:tc>
          <w:tcPr>
            <w:tcW w:w="698" w:type="dxa"/>
            <w:tcBorders>
              <w:top w:val="dotted" w:sz="6" w:space="0" w:color="auto"/>
              <w:right w:val="dotted" w:sz="6" w:space="0" w:color="auto"/>
            </w:tcBorders>
            <w:vAlign w:val="center"/>
          </w:tcPr>
          <w:p w14:paraId="176865E8" w14:textId="77777777" w:rsidR="00A00421" w:rsidRPr="00AB5DB5" w:rsidRDefault="00A00421" w:rsidP="002B0624">
            <w:pPr>
              <w:spacing w:after="0" w:line="240" w:lineRule="auto"/>
              <w:jc w:val="right"/>
              <w:rPr>
                <w:rFonts w:eastAsia="Times New Roman" w:cs="Times New Roman"/>
                <w:color w:val="000000"/>
                <w:sz w:val="18"/>
                <w:szCs w:val="18"/>
                <w:lang w:eastAsia="en-GB"/>
              </w:rPr>
            </w:pPr>
            <w:r w:rsidRPr="00AB5DB5">
              <w:rPr>
                <w:rFonts w:eastAsia="Times New Roman" w:cs="Times New Roman"/>
                <w:color w:val="000000"/>
                <w:sz w:val="18"/>
                <w:szCs w:val="18"/>
                <w:lang w:eastAsia="en-GB"/>
              </w:rPr>
              <w:t>57.6</w:t>
            </w:r>
          </w:p>
        </w:tc>
        <w:tc>
          <w:tcPr>
            <w:tcW w:w="764" w:type="dxa"/>
            <w:gridSpan w:val="2"/>
            <w:tcBorders>
              <w:top w:val="dotted" w:sz="6" w:space="0" w:color="auto"/>
              <w:left w:val="dotted" w:sz="6" w:space="0" w:color="auto"/>
            </w:tcBorders>
            <w:shd w:val="clear" w:color="auto" w:fill="auto"/>
            <w:noWrap/>
            <w:vAlign w:val="center"/>
          </w:tcPr>
          <w:p w14:paraId="1B1A4588" w14:textId="77777777" w:rsidR="00A00421" w:rsidRPr="00AB5DB5" w:rsidRDefault="00A00421" w:rsidP="002B0624">
            <w:pPr>
              <w:spacing w:after="0" w:line="240" w:lineRule="auto"/>
              <w:jc w:val="right"/>
              <w:rPr>
                <w:color w:val="000000"/>
                <w:sz w:val="18"/>
              </w:rPr>
            </w:pPr>
            <w:r w:rsidRPr="00AB5DB5">
              <w:rPr>
                <w:color w:val="000000"/>
                <w:sz w:val="18"/>
              </w:rPr>
              <w:t>118</w:t>
            </w:r>
          </w:p>
        </w:tc>
        <w:tc>
          <w:tcPr>
            <w:tcW w:w="681" w:type="dxa"/>
            <w:tcBorders>
              <w:top w:val="dotted" w:sz="6" w:space="0" w:color="auto"/>
            </w:tcBorders>
            <w:shd w:val="clear" w:color="auto" w:fill="auto"/>
            <w:noWrap/>
            <w:vAlign w:val="center"/>
          </w:tcPr>
          <w:p w14:paraId="59EA3A7C" w14:textId="77777777" w:rsidR="00A00421" w:rsidRPr="00AB5DB5" w:rsidRDefault="00A00421" w:rsidP="002B0624">
            <w:pPr>
              <w:spacing w:after="0" w:line="240" w:lineRule="auto"/>
              <w:jc w:val="right"/>
              <w:rPr>
                <w:color w:val="000000"/>
                <w:sz w:val="18"/>
              </w:rPr>
            </w:pPr>
            <w:r w:rsidRPr="00AB5DB5">
              <w:rPr>
                <w:color w:val="000000"/>
                <w:sz w:val="18"/>
              </w:rPr>
              <w:t>124</w:t>
            </w:r>
          </w:p>
        </w:tc>
        <w:tc>
          <w:tcPr>
            <w:tcW w:w="801" w:type="dxa"/>
            <w:gridSpan w:val="2"/>
            <w:tcBorders>
              <w:top w:val="dotted" w:sz="6" w:space="0" w:color="auto"/>
              <w:bottom w:val="nil"/>
              <w:right w:val="dotted" w:sz="6" w:space="0" w:color="auto"/>
            </w:tcBorders>
            <w:shd w:val="clear" w:color="auto" w:fill="auto"/>
            <w:noWrap/>
            <w:vAlign w:val="center"/>
          </w:tcPr>
          <w:p w14:paraId="09D29D36" w14:textId="77777777" w:rsidR="00A00421" w:rsidRPr="00AB5DB5" w:rsidRDefault="00A00421" w:rsidP="002B0624">
            <w:pPr>
              <w:spacing w:after="0" w:line="240" w:lineRule="auto"/>
              <w:jc w:val="right"/>
              <w:rPr>
                <w:color w:val="000000"/>
                <w:sz w:val="18"/>
              </w:rPr>
            </w:pPr>
            <w:r w:rsidRPr="00AB5DB5">
              <w:rPr>
                <w:color w:val="000000"/>
                <w:sz w:val="18"/>
              </w:rPr>
              <w:t>130</w:t>
            </w:r>
          </w:p>
        </w:tc>
        <w:tc>
          <w:tcPr>
            <w:tcW w:w="1509" w:type="dxa"/>
            <w:tcBorders>
              <w:top w:val="dotted" w:sz="6" w:space="0" w:color="auto"/>
              <w:bottom w:val="nil"/>
              <w:right w:val="dotted" w:sz="6" w:space="0" w:color="auto"/>
            </w:tcBorders>
          </w:tcPr>
          <w:p w14:paraId="0AAA7A9D" w14:textId="0DFD50CA" w:rsidR="00A00421" w:rsidRPr="00AB5DB5" w:rsidRDefault="000E7968" w:rsidP="002B0624">
            <w:pPr>
              <w:spacing w:after="0" w:line="240" w:lineRule="auto"/>
              <w:jc w:val="right"/>
              <w:rPr>
                <w:color w:val="000000"/>
                <w:sz w:val="18"/>
              </w:rPr>
            </w:pPr>
            <w:r>
              <w:rPr>
                <w:color w:val="000000"/>
                <w:sz w:val="18"/>
                <w:szCs w:val="18"/>
              </w:rPr>
              <w:t xml:space="preserve">*1.5 </w:t>
            </w:r>
            <w:proofErr w:type="spellStart"/>
            <w:r>
              <w:rPr>
                <w:color w:val="000000"/>
                <w:sz w:val="18"/>
                <w:szCs w:val="18"/>
              </w:rPr>
              <w:t>wrt</w:t>
            </w:r>
            <w:proofErr w:type="spellEnd"/>
            <w:r>
              <w:rPr>
                <w:color w:val="000000"/>
                <w:sz w:val="18"/>
                <w:szCs w:val="18"/>
              </w:rPr>
              <w:t xml:space="preserve"> the BY</w:t>
            </w:r>
          </w:p>
        </w:tc>
      </w:tr>
      <w:tr w:rsidR="00A00421" w:rsidRPr="00AB5DB5" w14:paraId="265C0794" w14:textId="492E7D9A" w:rsidTr="000E7968">
        <w:trPr>
          <w:trHeight w:val="227"/>
          <w:jc w:val="center"/>
        </w:trPr>
        <w:tc>
          <w:tcPr>
            <w:tcW w:w="503" w:type="dxa"/>
            <w:vMerge/>
            <w:tcBorders>
              <w:left w:val="dotted" w:sz="6" w:space="0" w:color="auto"/>
            </w:tcBorders>
            <w:vAlign w:val="center"/>
          </w:tcPr>
          <w:p w14:paraId="6198B0C6"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shd w:val="clear" w:color="auto" w:fill="auto"/>
            <w:noWrap/>
            <w:vAlign w:val="center"/>
          </w:tcPr>
          <w:p w14:paraId="39C284C1" w14:textId="77777777" w:rsidR="00A00421" w:rsidRPr="00AB5DB5" w:rsidRDefault="00A00421" w:rsidP="002B0624">
            <w:pPr>
              <w:tabs>
                <w:tab w:val="left" w:pos="2903"/>
              </w:tabs>
              <w:spacing w:after="0" w:line="240" w:lineRule="auto"/>
              <w:rPr>
                <w:rFonts w:eastAsia="Times New Roman" w:cs="Times New Roman"/>
                <w:color w:val="000000"/>
                <w:sz w:val="18"/>
                <w:szCs w:val="18"/>
                <w:lang w:eastAsia="en-GB"/>
              </w:rPr>
            </w:pPr>
            <w:r w:rsidRPr="00AB5DB5">
              <w:rPr>
                <w:rFonts w:eastAsia="Times New Roman" w:cs="Times New Roman"/>
                <w:color w:val="000000"/>
                <w:sz w:val="18"/>
                <w:szCs w:val="18"/>
                <w:lang w:eastAsia="en-GB"/>
              </w:rPr>
              <w:t>GDP per capita (&amp;)</w:t>
            </w:r>
          </w:p>
        </w:tc>
        <w:tc>
          <w:tcPr>
            <w:tcW w:w="1097" w:type="dxa"/>
            <w:vAlign w:val="center"/>
          </w:tcPr>
          <w:p w14:paraId="766BBE5F" w14:textId="77777777" w:rsidR="00A00421" w:rsidRPr="00AB5DB5" w:rsidRDefault="00A00421" w:rsidP="002B0624">
            <w:pPr>
              <w:spacing w:after="0" w:line="240" w:lineRule="auto"/>
              <w:jc w:val="right"/>
              <w:rPr>
                <w:color w:val="000000"/>
                <w:sz w:val="18"/>
                <w:szCs w:val="18"/>
              </w:rPr>
            </w:pPr>
            <w:r w:rsidRPr="00AB5DB5">
              <w:rPr>
                <w:color w:val="000000"/>
                <w:sz w:val="18"/>
                <w:szCs w:val="18"/>
              </w:rPr>
              <w:t>US$’2000ppp</w:t>
            </w:r>
          </w:p>
        </w:tc>
        <w:tc>
          <w:tcPr>
            <w:tcW w:w="698" w:type="dxa"/>
            <w:tcBorders>
              <w:right w:val="dotted" w:sz="6" w:space="0" w:color="auto"/>
            </w:tcBorders>
            <w:vAlign w:val="center"/>
          </w:tcPr>
          <w:p w14:paraId="1E732FAF" w14:textId="77777777" w:rsidR="00A00421" w:rsidRPr="00AB5DB5" w:rsidRDefault="00A00421" w:rsidP="002B0624">
            <w:pPr>
              <w:spacing w:after="0" w:line="240" w:lineRule="auto"/>
              <w:jc w:val="right"/>
              <w:rPr>
                <w:color w:val="000000"/>
                <w:sz w:val="18"/>
                <w:szCs w:val="18"/>
              </w:rPr>
            </w:pPr>
            <w:r w:rsidRPr="00AB5DB5">
              <w:rPr>
                <w:color w:val="000000"/>
                <w:sz w:val="18"/>
                <w:szCs w:val="18"/>
              </w:rPr>
              <w:t>5678</w:t>
            </w:r>
          </w:p>
        </w:tc>
        <w:tc>
          <w:tcPr>
            <w:tcW w:w="764" w:type="dxa"/>
            <w:gridSpan w:val="2"/>
            <w:tcBorders>
              <w:left w:val="dotted" w:sz="6" w:space="0" w:color="auto"/>
            </w:tcBorders>
            <w:shd w:val="clear" w:color="auto" w:fill="auto"/>
            <w:noWrap/>
            <w:vAlign w:val="center"/>
          </w:tcPr>
          <w:p w14:paraId="43F91913" w14:textId="77777777" w:rsidR="00A00421" w:rsidRPr="00AB5DB5" w:rsidRDefault="00A00421" w:rsidP="002B0624">
            <w:pPr>
              <w:spacing w:after="0" w:line="240" w:lineRule="auto"/>
              <w:jc w:val="right"/>
              <w:rPr>
                <w:color w:val="000000"/>
                <w:sz w:val="18"/>
              </w:rPr>
            </w:pPr>
            <w:r w:rsidRPr="00AB5DB5">
              <w:rPr>
                <w:color w:val="000000"/>
                <w:sz w:val="18"/>
              </w:rPr>
              <w:t>170</w:t>
            </w:r>
          </w:p>
        </w:tc>
        <w:tc>
          <w:tcPr>
            <w:tcW w:w="681" w:type="dxa"/>
            <w:shd w:val="clear" w:color="auto" w:fill="auto"/>
            <w:noWrap/>
            <w:vAlign w:val="center"/>
          </w:tcPr>
          <w:p w14:paraId="4643D933" w14:textId="77777777" w:rsidR="00A00421" w:rsidRPr="00AB5DB5" w:rsidRDefault="00A00421" w:rsidP="002B0624">
            <w:pPr>
              <w:spacing w:after="0" w:line="240" w:lineRule="auto"/>
              <w:jc w:val="right"/>
              <w:rPr>
                <w:color w:val="000000"/>
                <w:sz w:val="18"/>
              </w:rPr>
            </w:pPr>
            <w:r w:rsidRPr="00AB5DB5">
              <w:rPr>
                <w:color w:val="000000"/>
                <w:sz w:val="18"/>
              </w:rPr>
              <w:t>208</w:t>
            </w:r>
          </w:p>
        </w:tc>
        <w:tc>
          <w:tcPr>
            <w:tcW w:w="801" w:type="dxa"/>
            <w:gridSpan w:val="2"/>
            <w:tcBorders>
              <w:top w:val="nil"/>
              <w:bottom w:val="nil"/>
              <w:right w:val="dotted" w:sz="6" w:space="0" w:color="auto"/>
            </w:tcBorders>
            <w:shd w:val="clear" w:color="auto" w:fill="auto"/>
            <w:noWrap/>
            <w:vAlign w:val="center"/>
          </w:tcPr>
          <w:p w14:paraId="33F05790" w14:textId="77777777" w:rsidR="00A00421" w:rsidRPr="00AB5DB5" w:rsidRDefault="00A00421" w:rsidP="002B0624">
            <w:pPr>
              <w:spacing w:after="0" w:line="240" w:lineRule="auto"/>
              <w:jc w:val="right"/>
              <w:rPr>
                <w:color w:val="000000"/>
                <w:sz w:val="18"/>
              </w:rPr>
            </w:pPr>
            <w:r w:rsidRPr="00AB5DB5">
              <w:rPr>
                <w:color w:val="000000"/>
                <w:sz w:val="18"/>
              </w:rPr>
              <w:t>246</w:t>
            </w:r>
          </w:p>
        </w:tc>
        <w:tc>
          <w:tcPr>
            <w:tcW w:w="1509" w:type="dxa"/>
            <w:tcBorders>
              <w:top w:val="nil"/>
              <w:bottom w:val="nil"/>
              <w:right w:val="dotted" w:sz="6" w:space="0" w:color="auto"/>
            </w:tcBorders>
          </w:tcPr>
          <w:p w14:paraId="17954900" w14:textId="24CC2BFE" w:rsidR="00A00421" w:rsidRPr="00AB5DB5" w:rsidRDefault="00A00421" w:rsidP="002B0624">
            <w:pPr>
              <w:spacing w:after="0" w:line="240" w:lineRule="auto"/>
              <w:jc w:val="right"/>
              <w:rPr>
                <w:color w:val="000000"/>
                <w:sz w:val="18"/>
              </w:rPr>
            </w:pPr>
            <w:r>
              <w:rPr>
                <w:color w:val="000000"/>
                <w:sz w:val="18"/>
                <w:szCs w:val="18"/>
              </w:rPr>
              <w:t>Study-specific</w:t>
            </w:r>
          </w:p>
        </w:tc>
      </w:tr>
      <w:tr w:rsidR="00A00421" w:rsidRPr="00AB5DB5" w14:paraId="24366B91" w14:textId="551E467D" w:rsidTr="000E7968">
        <w:trPr>
          <w:trHeight w:val="227"/>
          <w:jc w:val="center"/>
        </w:trPr>
        <w:tc>
          <w:tcPr>
            <w:tcW w:w="503" w:type="dxa"/>
            <w:vMerge/>
            <w:tcBorders>
              <w:left w:val="dotted" w:sz="6" w:space="0" w:color="auto"/>
              <w:bottom w:val="single" w:sz="12" w:space="0" w:color="auto"/>
            </w:tcBorders>
            <w:vAlign w:val="center"/>
          </w:tcPr>
          <w:p w14:paraId="339B918F" w14:textId="77777777" w:rsidR="00A00421" w:rsidRPr="007A5C63" w:rsidRDefault="00A00421" w:rsidP="002B0624">
            <w:pPr>
              <w:tabs>
                <w:tab w:val="left" w:pos="2903"/>
              </w:tabs>
              <w:spacing w:after="0" w:line="240" w:lineRule="auto"/>
              <w:rPr>
                <w:rFonts w:eastAsia="Times New Roman" w:cs="Times New Roman"/>
                <w:color w:val="000000"/>
                <w:sz w:val="18"/>
                <w:szCs w:val="18"/>
                <w:lang w:eastAsia="en-GB"/>
              </w:rPr>
            </w:pPr>
          </w:p>
        </w:tc>
        <w:tc>
          <w:tcPr>
            <w:tcW w:w="3119" w:type="dxa"/>
            <w:tcBorders>
              <w:bottom w:val="single" w:sz="12" w:space="0" w:color="auto"/>
            </w:tcBorders>
            <w:shd w:val="clear" w:color="auto" w:fill="auto"/>
            <w:noWrap/>
            <w:vAlign w:val="center"/>
          </w:tcPr>
          <w:p w14:paraId="722BD7CA" w14:textId="77777777" w:rsidR="00A00421" w:rsidRPr="00AB5DB5" w:rsidRDefault="00A00421" w:rsidP="002B0624">
            <w:pPr>
              <w:tabs>
                <w:tab w:val="left" w:pos="2903"/>
              </w:tabs>
              <w:spacing w:after="0" w:line="240" w:lineRule="auto"/>
              <w:rPr>
                <w:rFonts w:eastAsia="Times New Roman" w:cs="Times New Roman"/>
                <w:color w:val="000000"/>
                <w:sz w:val="18"/>
                <w:szCs w:val="18"/>
                <w:lang w:eastAsia="en-GB"/>
              </w:rPr>
            </w:pPr>
            <w:r w:rsidRPr="00AB5DB5">
              <w:rPr>
                <w:rFonts w:eastAsia="Times New Roman" w:cs="Times New Roman"/>
                <w:color w:val="000000"/>
                <w:sz w:val="18"/>
                <w:szCs w:val="18"/>
                <w:lang w:eastAsia="en-GB"/>
              </w:rPr>
              <w:t>Aggregate demand for energy services</w:t>
            </w:r>
          </w:p>
        </w:tc>
        <w:tc>
          <w:tcPr>
            <w:tcW w:w="1097" w:type="dxa"/>
            <w:tcBorders>
              <w:bottom w:val="single" w:sz="12" w:space="0" w:color="auto"/>
            </w:tcBorders>
            <w:vAlign w:val="center"/>
          </w:tcPr>
          <w:p w14:paraId="17024D1B" w14:textId="77777777" w:rsidR="00A00421" w:rsidRPr="00AB5DB5" w:rsidRDefault="00A00421" w:rsidP="002B0624">
            <w:pPr>
              <w:spacing w:after="0" w:line="240" w:lineRule="auto"/>
              <w:jc w:val="right"/>
              <w:rPr>
                <w:color w:val="000000"/>
                <w:sz w:val="18"/>
                <w:szCs w:val="18"/>
              </w:rPr>
            </w:pPr>
            <w:r w:rsidRPr="00AB5DB5">
              <w:rPr>
                <w:color w:val="000000"/>
                <w:sz w:val="18"/>
                <w:szCs w:val="18"/>
              </w:rPr>
              <w:t>Index (+)</w:t>
            </w:r>
          </w:p>
        </w:tc>
        <w:tc>
          <w:tcPr>
            <w:tcW w:w="698" w:type="dxa"/>
            <w:tcBorders>
              <w:bottom w:val="single" w:sz="12" w:space="0" w:color="auto"/>
              <w:right w:val="dotted" w:sz="6" w:space="0" w:color="auto"/>
            </w:tcBorders>
            <w:vAlign w:val="center"/>
          </w:tcPr>
          <w:p w14:paraId="4E54CDDD" w14:textId="77777777" w:rsidR="00A00421" w:rsidRPr="00AB5DB5" w:rsidRDefault="00A00421" w:rsidP="002B0624">
            <w:pPr>
              <w:spacing w:after="0" w:line="240" w:lineRule="auto"/>
              <w:jc w:val="right"/>
              <w:rPr>
                <w:color w:val="000000"/>
                <w:sz w:val="18"/>
                <w:szCs w:val="18"/>
              </w:rPr>
            </w:pPr>
            <w:r w:rsidRPr="00AB5DB5">
              <w:rPr>
                <w:color w:val="000000"/>
                <w:sz w:val="18"/>
                <w:szCs w:val="18"/>
              </w:rPr>
              <w:t>100</w:t>
            </w:r>
          </w:p>
        </w:tc>
        <w:tc>
          <w:tcPr>
            <w:tcW w:w="764" w:type="dxa"/>
            <w:gridSpan w:val="2"/>
            <w:tcBorders>
              <w:left w:val="dotted" w:sz="6" w:space="0" w:color="auto"/>
              <w:bottom w:val="single" w:sz="12" w:space="0" w:color="auto"/>
            </w:tcBorders>
            <w:shd w:val="clear" w:color="auto" w:fill="auto"/>
            <w:noWrap/>
            <w:vAlign w:val="center"/>
          </w:tcPr>
          <w:p w14:paraId="266A74F3" w14:textId="77777777" w:rsidR="00A00421" w:rsidRPr="00AB5DB5" w:rsidRDefault="00A00421" w:rsidP="002B0624">
            <w:pPr>
              <w:spacing w:after="0" w:line="240" w:lineRule="auto"/>
              <w:jc w:val="right"/>
              <w:rPr>
                <w:color w:val="000000"/>
                <w:sz w:val="18"/>
              </w:rPr>
            </w:pPr>
            <w:r w:rsidRPr="00AB5DB5">
              <w:rPr>
                <w:color w:val="000000"/>
                <w:sz w:val="18"/>
              </w:rPr>
              <w:t>178</w:t>
            </w:r>
          </w:p>
        </w:tc>
        <w:tc>
          <w:tcPr>
            <w:tcW w:w="681" w:type="dxa"/>
            <w:tcBorders>
              <w:bottom w:val="single" w:sz="12" w:space="0" w:color="auto"/>
            </w:tcBorders>
            <w:shd w:val="clear" w:color="auto" w:fill="auto"/>
            <w:noWrap/>
            <w:vAlign w:val="center"/>
          </w:tcPr>
          <w:p w14:paraId="5D1543B3" w14:textId="77777777" w:rsidR="00A00421" w:rsidRPr="00AB5DB5" w:rsidRDefault="00A00421" w:rsidP="002B0624">
            <w:pPr>
              <w:spacing w:after="0" w:line="240" w:lineRule="auto"/>
              <w:jc w:val="right"/>
              <w:rPr>
                <w:color w:val="000000"/>
                <w:sz w:val="18"/>
              </w:rPr>
            </w:pPr>
            <w:r w:rsidRPr="00AB5DB5">
              <w:rPr>
                <w:color w:val="000000"/>
                <w:sz w:val="18"/>
              </w:rPr>
              <w:t>226</w:t>
            </w:r>
          </w:p>
        </w:tc>
        <w:tc>
          <w:tcPr>
            <w:tcW w:w="801" w:type="dxa"/>
            <w:gridSpan w:val="2"/>
            <w:tcBorders>
              <w:top w:val="nil"/>
              <w:bottom w:val="single" w:sz="12" w:space="0" w:color="auto"/>
              <w:right w:val="dotted" w:sz="6" w:space="0" w:color="auto"/>
            </w:tcBorders>
            <w:shd w:val="clear" w:color="auto" w:fill="auto"/>
            <w:noWrap/>
            <w:vAlign w:val="center"/>
          </w:tcPr>
          <w:p w14:paraId="13D3176D" w14:textId="77777777" w:rsidR="00A00421" w:rsidRPr="00AB5DB5" w:rsidRDefault="00A00421" w:rsidP="002B0624">
            <w:pPr>
              <w:spacing w:after="0" w:line="240" w:lineRule="auto"/>
              <w:jc w:val="right"/>
              <w:rPr>
                <w:color w:val="000000"/>
                <w:sz w:val="18"/>
              </w:rPr>
            </w:pPr>
            <w:r w:rsidRPr="00AB5DB5">
              <w:rPr>
                <w:color w:val="000000"/>
                <w:sz w:val="18"/>
              </w:rPr>
              <w:t>278</w:t>
            </w:r>
          </w:p>
        </w:tc>
        <w:tc>
          <w:tcPr>
            <w:tcW w:w="1509" w:type="dxa"/>
            <w:tcBorders>
              <w:top w:val="nil"/>
              <w:bottom w:val="single" w:sz="12" w:space="0" w:color="auto"/>
              <w:right w:val="dotted" w:sz="6" w:space="0" w:color="auto"/>
            </w:tcBorders>
          </w:tcPr>
          <w:p w14:paraId="0582F9D0" w14:textId="47C06A8B" w:rsidR="00A00421" w:rsidRPr="00AB5DB5" w:rsidRDefault="00A00421" w:rsidP="002B0624">
            <w:pPr>
              <w:spacing w:after="0" w:line="240" w:lineRule="auto"/>
              <w:jc w:val="right"/>
              <w:rPr>
                <w:color w:val="000000"/>
                <w:sz w:val="18"/>
              </w:rPr>
            </w:pPr>
            <w:r>
              <w:rPr>
                <w:color w:val="000000"/>
                <w:sz w:val="18"/>
                <w:szCs w:val="18"/>
              </w:rPr>
              <w:t>Study-specific</w:t>
            </w:r>
          </w:p>
        </w:tc>
      </w:tr>
    </w:tbl>
    <w:p w14:paraId="45D8B59E" w14:textId="77777777" w:rsidR="0098169A" w:rsidRDefault="0098169A" w:rsidP="009163B3">
      <w:pPr>
        <w:rPr>
          <w:rFonts w:eastAsia="Times New Roman"/>
          <w:bCs/>
          <w:color w:val="000000" w:themeColor="text1"/>
        </w:rPr>
      </w:pPr>
    </w:p>
    <w:p w14:paraId="3E10F2A6" w14:textId="63726E92" w:rsidR="009163B3" w:rsidRDefault="00162C5A" w:rsidP="009163B3">
      <w:pPr>
        <w:rPr>
          <w:rFonts w:eastAsia="Times New Roman"/>
          <w:i/>
          <w:u w:val="single"/>
        </w:rPr>
      </w:pPr>
      <w:r>
        <w:rPr>
          <w:rFonts w:eastAsia="Times New Roman"/>
          <w:i/>
          <w:u w:val="single"/>
        </w:rPr>
        <w:t>4.1</w:t>
      </w:r>
      <w:r w:rsidR="009163B3" w:rsidRPr="009163B3">
        <w:rPr>
          <w:rFonts w:eastAsia="Times New Roman"/>
          <w:i/>
          <w:u w:val="single"/>
        </w:rPr>
        <w:t xml:space="preserve"> Economic growth</w:t>
      </w:r>
    </w:p>
    <w:p w14:paraId="0CFE5082" w14:textId="7E404D6B" w:rsidR="0036246D" w:rsidRDefault="0036246D" w:rsidP="0098169A">
      <w:pPr>
        <w:spacing w:before="100" w:beforeAutospacing="1" w:after="100" w:afterAutospacing="1" w:line="240" w:lineRule="auto"/>
        <w:jc w:val="both"/>
        <w:rPr>
          <w:rFonts w:eastAsia="Times New Roman"/>
          <w:bCs/>
          <w:color w:val="000000" w:themeColor="text1"/>
        </w:rPr>
      </w:pPr>
      <w:r w:rsidRPr="0036246D">
        <w:rPr>
          <w:rFonts w:eastAsia="Times New Roman"/>
          <w:bCs/>
          <w:color w:val="000000" w:themeColor="text1"/>
        </w:rPr>
        <w:lastRenderedPageBreak/>
        <w:t>As almost for all the most important energy-producing countries, even the CAC countries are highly dependent on energy exports, and this dependence results in a very large share of the energy sector to the GDP and fundamental (critical) contributions to the State budgets.</w:t>
      </w:r>
      <w:r w:rsidR="00941266">
        <w:rPr>
          <w:rFonts w:eastAsia="Times New Roman"/>
          <w:bCs/>
          <w:color w:val="000000" w:themeColor="text1"/>
        </w:rPr>
        <w:t xml:space="preserve"> </w:t>
      </w:r>
      <w:r w:rsidR="003C5688" w:rsidRPr="0036246D">
        <w:rPr>
          <w:rFonts w:eastAsia="Times New Roman"/>
          <w:bCs/>
          <w:color w:val="000000" w:themeColor="text1"/>
        </w:rPr>
        <w:t>Economic growt</w:t>
      </w:r>
      <w:r w:rsidR="004C537F" w:rsidRPr="0036246D">
        <w:rPr>
          <w:rFonts w:eastAsia="Times New Roman"/>
          <w:bCs/>
          <w:color w:val="000000" w:themeColor="text1"/>
        </w:rPr>
        <w:t>hs</w:t>
      </w:r>
      <w:r w:rsidR="003C5688" w:rsidRPr="0036246D">
        <w:rPr>
          <w:rFonts w:eastAsia="Times New Roman"/>
          <w:bCs/>
          <w:color w:val="000000" w:themeColor="text1"/>
        </w:rPr>
        <w:t xml:space="preserve"> </w:t>
      </w:r>
      <w:r w:rsidR="004C537F" w:rsidRPr="0036246D">
        <w:rPr>
          <w:rFonts w:eastAsia="Times New Roman"/>
          <w:bCs/>
          <w:color w:val="000000" w:themeColor="text1"/>
        </w:rPr>
        <w:t>are</w:t>
      </w:r>
      <w:r w:rsidR="00941266">
        <w:rPr>
          <w:rFonts w:eastAsia="Times New Roman"/>
          <w:bCs/>
          <w:color w:val="000000" w:themeColor="text1"/>
        </w:rPr>
        <w:t xml:space="preserve"> based on</w:t>
      </w:r>
      <w:r w:rsidR="003C5688" w:rsidRPr="0036246D">
        <w:rPr>
          <w:rFonts w:eastAsia="Times New Roman"/>
          <w:bCs/>
          <w:color w:val="000000" w:themeColor="text1"/>
        </w:rPr>
        <w:t xml:space="preserve"> </w:t>
      </w:r>
      <w:r w:rsidR="004C537F" w:rsidRPr="0036246D">
        <w:rPr>
          <w:rFonts w:eastAsia="Times New Roman"/>
          <w:bCs/>
          <w:color w:val="000000" w:themeColor="text1"/>
        </w:rPr>
        <w:t xml:space="preserve">national specific projections for the medium-term, and on hypotheses (study- and scenario-specific) for the longer </w:t>
      </w:r>
      <w:r w:rsidR="000E7968">
        <w:rPr>
          <w:rFonts w:eastAsia="Times New Roman"/>
          <w:bCs/>
          <w:color w:val="000000" w:themeColor="text1"/>
        </w:rPr>
        <w:t>horizon</w:t>
      </w:r>
      <w:r w:rsidR="004C537F" w:rsidRPr="0036246D">
        <w:rPr>
          <w:rFonts w:eastAsia="Times New Roman"/>
          <w:bCs/>
          <w:color w:val="000000" w:themeColor="text1"/>
        </w:rPr>
        <w:t xml:space="preserve">. In general terms, the </w:t>
      </w:r>
      <w:proofErr w:type="spellStart"/>
      <w:r w:rsidR="004C537F" w:rsidRPr="0036246D">
        <w:rPr>
          <w:rFonts w:eastAsia="Times New Roman"/>
          <w:bCs/>
          <w:color w:val="000000" w:themeColor="text1"/>
        </w:rPr>
        <w:t>analysed</w:t>
      </w:r>
      <w:proofErr w:type="spellEnd"/>
      <w:r w:rsidR="004C537F" w:rsidRPr="0036246D">
        <w:rPr>
          <w:rFonts w:eastAsia="Times New Roman"/>
          <w:bCs/>
          <w:color w:val="000000" w:themeColor="text1"/>
        </w:rPr>
        <w:t xml:space="preserve"> storylines always assume a (quite fast) growth in domestic GDPs for all the cases and countries, that in a “base case”</w:t>
      </w:r>
      <w:r w:rsidR="006E4F2C">
        <w:rPr>
          <w:rFonts w:eastAsia="Times New Roman"/>
          <w:bCs/>
          <w:color w:val="000000" w:themeColor="text1"/>
        </w:rPr>
        <w:t xml:space="preserve"> is equivalent </w:t>
      </w:r>
      <w:r w:rsidR="004C537F" w:rsidRPr="0036246D">
        <w:rPr>
          <w:rFonts w:eastAsia="Times New Roman"/>
          <w:bCs/>
          <w:color w:val="000000" w:themeColor="text1"/>
        </w:rPr>
        <w:t xml:space="preserve">to </w:t>
      </w:r>
      <w:proofErr w:type="gramStart"/>
      <w:r w:rsidR="004C537F" w:rsidRPr="0036246D">
        <w:rPr>
          <w:rFonts w:eastAsia="Times New Roman"/>
          <w:bCs/>
          <w:color w:val="000000" w:themeColor="text1"/>
        </w:rPr>
        <w:t>a an</w:t>
      </w:r>
      <w:proofErr w:type="gramEnd"/>
      <w:r w:rsidR="004C537F" w:rsidRPr="0036246D">
        <w:rPr>
          <w:rFonts w:eastAsia="Times New Roman"/>
          <w:bCs/>
          <w:color w:val="000000" w:themeColor="text1"/>
        </w:rPr>
        <w:t xml:space="preserve"> economic trend</w:t>
      </w:r>
      <w:r w:rsidR="006E4F2C">
        <w:rPr>
          <w:rFonts w:eastAsia="Times New Roman"/>
          <w:bCs/>
          <w:color w:val="000000" w:themeColor="text1"/>
        </w:rPr>
        <w:t xml:space="preserve"> </w:t>
      </w:r>
      <w:r w:rsidR="004C537F" w:rsidRPr="0036246D">
        <w:rPr>
          <w:rFonts w:eastAsia="Times New Roman"/>
          <w:bCs/>
          <w:color w:val="000000" w:themeColor="text1"/>
        </w:rPr>
        <w:t>of around +4.5% (in terms of GDP, in average</w:t>
      </w:r>
      <w:r w:rsidR="006E4F2C">
        <w:rPr>
          <w:rFonts w:eastAsia="Times New Roman"/>
          <w:bCs/>
          <w:color w:val="000000" w:themeColor="text1"/>
        </w:rPr>
        <w:t>, to 2050</w:t>
      </w:r>
      <w:r w:rsidR="004C537F" w:rsidRPr="0036246D">
        <w:rPr>
          <w:rFonts w:eastAsia="Times New Roman"/>
          <w:bCs/>
          <w:color w:val="000000" w:themeColor="text1"/>
        </w:rPr>
        <w:t>).</w:t>
      </w:r>
    </w:p>
    <w:p w14:paraId="5CE3541D" w14:textId="64984F8B" w:rsidR="003C5688" w:rsidRPr="0036246D" w:rsidRDefault="0036246D" w:rsidP="0098169A">
      <w:pPr>
        <w:spacing w:before="100" w:beforeAutospacing="1" w:after="100" w:afterAutospacing="1" w:line="240" w:lineRule="auto"/>
        <w:jc w:val="both"/>
        <w:rPr>
          <w:rFonts w:eastAsia="Times New Roman"/>
          <w:bCs/>
          <w:color w:val="000000" w:themeColor="text1"/>
        </w:rPr>
      </w:pPr>
      <w:r>
        <w:rPr>
          <w:rFonts w:eastAsia="Times New Roman"/>
          <w:bCs/>
          <w:color w:val="000000" w:themeColor="text1"/>
        </w:rPr>
        <w:t xml:space="preserve">But due to the </w:t>
      </w:r>
      <w:proofErr w:type="gramStart"/>
      <w:r>
        <w:rPr>
          <w:rFonts w:eastAsia="Times New Roman"/>
          <w:bCs/>
          <w:color w:val="000000" w:themeColor="text1"/>
        </w:rPr>
        <w:t>above mentioned</w:t>
      </w:r>
      <w:proofErr w:type="gramEnd"/>
      <w:r>
        <w:rPr>
          <w:rFonts w:eastAsia="Times New Roman"/>
          <w:bCs/>
          <w:color w:val="000000" w:themeColor="text1"/>
        </w:rPr>
        <w:t xml:space="preserve"> characteristics, economic growth</w:t>
      </w:r>
      <w:r w:rsidR="000E7968">
        <w:rPr>
          <w:rFonts w:eastAsia="Times New Roman"/>
          <w:bCs/>
          <w:color w:val="000000" w:themeColor="text1"/>
        </w:rPr>
        <w:t>s</w:t>
      </w:r>
      <w:r>
        <w:rPr>
          <w:rFonts w:eastAsia="Times New Roman"/>
          <w:bCs/>
          <w:color w:val="000000" w:themeColor="text1"/>
        </w:rPr>
        <w:t xml:space="preserve"> in the CAC area </w:t>
      </w:r>
      <w:r w:rsidR="000E7968">
        <w:rPr>
          <w:rFonts w:eastAsia="Times New Roman"/>
          <w:bCs/>
          <w:color w:val="000000" w:themeColor="text1"/>
        </w:rPr>
        <w:t xml:space="preserve">(by country) </w:t>
      </w:r>
      <w:r>
        <w:rPr>
          <w:rFonts w:eastAsia="Times New Roman"/>
          <w:bCs/>
          <w:color w:val="000000" w:themeColor="text1"/>
        </w:rPr>
        <w:t>should be always properly assess and considered within a self-consistent (energy related) storyline</w:t>
      </w:r>
      <w:r w:rsidR="00941266">
        <w:rPr>
          <w:rFonts w:eastAsia="Times New Roman"/>
          <w:bCs/>
          <w:color w:val="000000" w:themeColor="text1"/>
        </w:rPr>
        <w:t>, in order</w:t>
      </w:r>
      <w:r>
        <w:rPr>
          <w:rFonts w:eastAsia="Times New Roman"/>
          <w:bCs/>
          <w:color w:val="000000" w:themeColor="text1"/>
        </w:rPr>
        <w:t xml:space="preserve"> to keep a certain degree of robustness</w:t>
      </w:r>
      <w:r w:rsidR="000E7968">
        <w:rPr>
          <w:rFonts w:eastAsia="Times New Roman"/>
          <w:bCs/>
          <w:color w:val="000000" w:themeColor="text1"/>
        </w:rPr>
        <w:t xml:space="preserve"> of the </w:t>
      </w:r>
      <w:r w:rsidR="00941266">
        <w:rPr>
          <w:rFonts w:eastAsia="Times New Roman"/>
          <w:bCs/>
          <w:color w:val="000000" w:themeColor="text1"/>
        </w:rPr>
        <w:t xml:space="preserve">scenario and of the </w:t>
      </w:r>
      <w:r w:rsidR="000E7968">
        <w:rPr>
          <w:rFonts w:eastAsia="Times New Roman"/>
          <w:bCs/>
          <w:color w:val="000000" w:themeColor="text1"/>
        </w:rPr>
        <w:t>projections</w:t>
      </w:r>
      <w:r>
        <w:rPr>
          <w:rFonts w:eastAsia="Times New Roman"/>
          <w:bCs/>
          <w:color w:val="000000" w:themeColor="text1"/>
        </w:rPr>
        <w:t>.</w:t>
      </w:r>
    </w:p>
    <w:p w14:paraId="2B3994B6" w14:textId="0F4BD160" w:rsidR="009163B3" w:rsidRDefault="00162C5A" w:rsidP="009163B3">
      <w:pPr>
        <w:rPr>
          <w:rFonts w:eastAsia="Times New Roman"/>
          <w:i/>
          <w:u w:val="single"/>
        </w:rPr>
      </w:pPr>
      <w:r>
        <w:rPr>
          <w:rFonts w:eastAsia="Times New Roman"/>
          <w:i/>
          <w:u w:val="single"/>
        </w:rPr>
        <w:t>4.1</w:t>
      </w:r>
      <w:r w:rsidR="009163B3" w:rsidRPr="009163B3">
        <w:rPr>
          <w:rFonts w:eastAsia="Times New Roman"/>
          <w:i/>
          <w:u w:val="single"/>
        </w:rPr>
        <w:t xml:space="preserve"> Population growth</w:t>
      </w:r>
    </w:p>
    <w:p w14:paraId="544BDB56" w14:textId="3986266D" w:rsidR="004C537F" w:rsidRPr="000E7968" w:rsidRDefault="00F60682" w:rsidP="0098169A">
      <w:pPr>
        <w:spacing w:line="240" w:lineRule="auto"/>
        <w:jc w:val="both"/>
        <w:rPr>
          <w:rFonts w:eastAsia="Times New Roman"/>
          <w:iCs/>
          <w:color w:val="000000" w:themeColor="text1"/>
        </w:rPr>
      </w:pPr>
      <w:r w:rsidRPr="000E7968">
        <w:rPr>
          <w:rFonts w:eastAsia="Times New Roman"/>
          <w:iCs/>
          <w:color w:val="000000" w:themeColor="text1"/>
        </w:rPr>
        <w:t>Population growth</w:t>
      </w:r>
      <w:r w:rsidR="000E7968" w:rsidRPr="000E7968">
        <w:rPr>
          <w:rFonts w:eastAsia="Times New Roman"/>
          <w:iCs/>
          <w:color w:val="000000" w:themeColor="text1"/>
        </w:rPr>
        <w:t>s</w:t>
      </w:r>
      <w:r w:rsidRPr="000E7968">
        <w:rPr>
          <w:rFonts w:eastAsia="Times New Roman"/>
          <w:iCs/>
          <w:color w:val="000000" w:themeColor="text1"/>
        </w:rPr>
        <w:t xml:space="preserve"> </w:t>
      </w:r>
      <w:r w:rsidR="000E7968" w:rsidRPr="000E7968">
        <w:rPr>
          <w:rFonts w:eastAsia="Times New Roman"/>
          <w:iCs/>
          <w:color w:val="000000" w:themeColor="text1"/>
        </w:rPr>
        <w:t>are</w:t>
      </w:r>
      <w:r w:rsidRPr="000E7968">
        <w:rPr>
          <w:rFonts w:eastAsia="Times New Roman"/>
          <w:iCs/>
          <w:color w:val="000000" w:themeColor="text1"/>
        </w:rPr>
        <w:t xml:space="preserve"> also based on </w:t>
      </w:r>
      <w:r w:rsidR="000E7968" w:rsidRPr="000E7968">
        <w:rPr>
          <w:rFonts w:eastAsia="Times New Roman"/>
          <w:iCs/>
          <w:color w:val="000000" w:themeColor="text1"/>
        </w:rPr>
        <w:t xml:space="preserve">national (local) specific information in the medium term and on assumptions in the longer horizon (mainly inherited by a specific analysis for Kazakhstan), that result in </w:t>
      </w:r>
      <w:r w:rsidR="008A0BCD">
        <w:rPr>
          <w:rFonts w:eastAsia="Times New Roman"/>
          <w:iCs/>
          <w:color w:val="000000" w:themeColor="text1"/>
        </w:rPr>
        <w:t xml:space="preserve">a </w:t>
      </w:r>
      <w:r w:rsidR="004C537F" w:rsidRPr="000E7968">
        <w:rPr>
          <w:rFonts w:eastAsia="Times New Roman"/>
          <w:iCs/>
          <w:color w:val="000000" w:themeColor="text1"/>
        </w:rPr>
        <w:t xml:space="preserve">population growth rate </w:t>
      </w:r>
      <w:r w:rsidR="000E7968" w:rsidRPr="000E7968">
        <w:rPr>
          <w:rFonts w:eastAsia="Times New Roman"/>
          <w:iCs/>
          <w:color w:val="000000" w:themeColor="text1"/>
        </w:rPr>
        <w:t>of +1.2%, in average,</w:t>
      </w:r>
      <w:r w:rsidR="004C537F" w:rsidRPr="000E7968">
        <w:rPr>
          <w:rFonts w:eastAsia="Times New Roman"/>
          <w:iCs/>
          <w:color w:val="000000" w:themeColor="text1"/>
        </w:rPr>
        <w:t xml:space="preserve"> in the long-term</w:t>
      </w:r>
      <w:r w:rsidR="000E7968" w:rsidRPr="000E7968">
        <w:rPr>
          <w:rFonts w:eastAsia="Times New Roman"/>
          <w:iCs/>
          <w:color w:val="000000" w:themeColor="text1"/>
        </w:rPr>
        <w:t xml:space="preserve"> (2050)</w:t>
      </w:r>
      <w:r w:rsidR="00EA1F9A">
        <w:rPr>
          <w:rFonts w:eastAsia="Times New Roman"/>
          <w:iCs/>
          <w:color w:val="000000" w:themeColor="text1"/>
        </w:rPr>
        <w:t>, for the multiregional area</w:t>
      </w:r>
      <w:r w:rsidR="000E7968" w:rsidRPr="000E7968">
        <w:rPr>
          <w:rFonts w:eastAsia="Times New Roman"/>
          <w:iCs/>
          <w:color w:val="000000" w:themeColor="text1"/>
        </w:rPr>
        <w:t>.</w:t>
      </w:r>
      <w:r w:rsidR="008A0BCD">
        <w:rPr>
          <w:rFonts w:eastAsia="Times New Roman"/>
          <w:iCs/>
          <w:color w:val="000000" w:themeColor="text1"/>
        </w:rPr>
        <w:t xml:space="preserve"> It is worth noting that, according to some local experts, the international analyses often “underestimate” the population growth rates of the area</w:t>
      </w:r>
      <w:r w:rsidR="00EA1F9A">
        <w:rPr>
          <w:rFonts w:eastAsia="Times New Roman"/>
          <w:iCs/>
          <w:color w:val="000000" w:themeColor="text1"/>
        </w:rPr>
        <w:t>,</w:t>
      </w:r>
      <w:r w:rsidR="008A0BCD">
        <w:rPr>
          <w:rFonts w:eastAsia="Times New Roman"/>
          <w:iCs/>
          <w:color w:val="000000" w:themeColor="text1"/>
        </w:rPr>
        <w:t xml:space="preserve"> due to the incorrect comparison with Russia (and the FSU)</w:t>
      </w:r>
      <w:r w:rsidR="00EA1F9A">
        <w:rPr>
          <w:rFonts w:eastAsia="Times New Roman"/>
          <w:iCs/>
          <w:color w:val="000000" w:themeColor="text1"/>
        </w:rPr>
        <w:t xml:space="preserve"> and</w:t>
      </w:r>
      <w:r w:rsidR="008A0BCD">
        <w:rPr>
          <w:rFonts w:eastAsia="Times New Roman"/>
          <w:iCs/>
          <w:color w:val="000000" w:themeColor="text1"/>
        </w:rPr>
        <w:t xml:space="preserve"> </w:t>
      </w:r>
      <w:r w:rsidR="00EA1F9A">
        <w:rPr>
          <w:rFonts w:eastAsia="Times New Roman"/>
          <w:iCs/>
          <w:color w:val="000000" w:themeColor="text1"/>
        </w:rPr>
        <w:t xml:space="preserve">with the </w:t>
      </w:r>
      <w:r w:rsidR="008A0BCD">
        <w:rPr>
          <w:rFonts w:eastAsia="Times New Roman"/>
          <w:iCs/>
          <w:color w:val="000000" w:themeColor="text1"/>
        </w:rPr>
        <w:t>Russian ethnic groups</w:t>
      </w:r>
      <w:r w:rsidR="00EA1F9A">
        <w:rPr>
          <w:rFonts w:eastAsia="Times New Roman"/>
          <w:iCs/>
          <w:color w:val="000000" w:themeColor="text1"/>
        </w:rPr>
        <w:t xml:space="preserve"> (lower birth rates)</w:t>
      </w:r>
      <w:r w:rsidR="008A0BCD">
        <w:rPr>
          <w:rFonts w:eastAsia="Times New Roman"/>
          <w:iCs/>
          <w:color w:val="000000" w:themeColor="text1"/>
        </w:rPr>
        <w:t>.</w:t>
      </w:r>
    </w:p>
    <w:p w14:paraId="59C0B2E1" w14:textId="5921B734" w:rsidR="00C874DB" w:rsidRPr="000E7968" w:rsidRDefault="00C874DB" w:rsidP="0098169A">
      <w:pPr>
        <w:spacing w:line="240" w:lineRule="auto"/>
        <w:jc w:val="both"/>
        <w:rPr>
          <w:rFonts w:eastAsia="Times New Roman"/>
          <w:iCs/>
          <w:color w:val="000000" w:themeColor="text1"/>
          <w:sz w:val="20"/>
        </w:rPr>
      </w:pPr>
      <w:r w:rsidRPr="000E7968">
        <w:rPr>
          <w:rFonts w:eastAsia="Times New Roman"/>
          <w:iCs/>
          <w:color w:val="000000" w:themeColor="text1"/>
        </w:rPr>
        <w:t xml:space="preserve">It should </w:t>
      </w:r>
      <w:proofErr w:type="gramStart"/>
      <w:r w:rsidRPr="000E7968">
        <w:rPr>
          <w:rFonts w:eastAsia="Times New Roman"/>
          <w:iCs/>
          <w:color w:val="000000" w:themeColor="text1"/>
        </w:rPr>
        <w:t>be</w:t>
      </w:r>
      <w:r w:rsidR="008A0BCD">
        <w:rPr>
          <w:rFonts w:eastAsia="Times New Roman"/>
          <w:iCs/>
          <w:color w:val="000000" w:themeColor="text1"/>
        </w:rPr>
        <w:t xml:space="preserve"> also</w:t>
      </w:r>
      <w:proofErr w:type="gramEnd"/>
      <w:r w:rsidRPr="000E7968">
        <w:rPr>
          <w:rFonts w:eastAsia="Times New Roman"/>
          <w:iCs/>
          <w:color w:val="000000" w:themeColor="text1"/>
        </w:rPr>
        <w:t xml:space="preserve"> noted that </w:t>
      </w:r>
      <w:r w:rsidR="00EA1F9A">
        <w:rPr>
          <w:rFonts w:eastAsia="Times New Roman"/>
          <w:iCs/>
          <w:color w:val="000000" w:themeColor="text1"/>
        </w:rPr>
        <w:t xml:space="preserve">the </w:t>
      </w:r>
      <w:r w:rsidRPr="000E7968">
        <w:rPr>
          <w:rFonts w:eastAsia="Times New Roman"/>
          <w:iCs/>
          <w:color w:val="000000" w:themeColor="text1"/>
        </w:rPr>
        <w:t>T</w:t>
      </w:r>
      <w:r w:rsidR="008C7DF7" w:rsidRPr="000E7968">
        <w:rPr>
          <w:rFonts w:eastAsia="Times New Roman"/>
          <w:iCs/>
          <w:color w:val="000000" w:themeColor="text1"/>
        </w:rPr>
        <w:t>IMES-CAC</w:t>
      </w:r>
      <w:r w:rsidR="00EA1F9A">
        <w:rPr>
          <w:rFonts w:eastAsia="Times New Roman"/>
          <w:iCs/>
          <w:color w:val="000000" w:themeColor="text1"/>
        </w:rPr>
        <w:t xml:space="preserve"> model</w:t>
      </w:r>
      <w:r w:rsidRPr="000E7968">
        <w:rPr>
          <w:rFonts w:eastAsia="Times New Roman"/>
          <w:iCs/>
          <w:color w:val="000000" w:themeColor="text1"/>
        </w:rPr>
        <w:t xml:space="preserve"> can be adjusted to use other socio-economic growth projections</w:t>
      </w:r>
      <w:r w:rsidR="00162C5A" w:rsidRPr="000E7968">
        <w:rPr>
          <w:rFonts w:eastAsia="Times New Roman"/>
          <w:iCs/>
          <w:color w:val="000000" w:themeColor="text1"/>
        </w:rPr>
        <w:t xml:space="preserve"> aside from </w:t>
      </w:r>
      <w:r w:rsidR="008C7DF7" w:rsidRPr="000E7968">
        <w:rPr>
          <w:rFonts w:eastAsia="Times New Roman"/>
          <w:iCs/>
          <w:color w:val="000000" w:themeColor="text1"/>
        </w:rPr>
        <w:t>the default</w:t>
      </w:r>
      <w:r w:rsidR="00162C5A" w:rsidRPr="000E7968">
        <w:rPr>
          <w:rFonts w:eastAsia="Times New Roman"/>
          <w:iCs/>
          <w:color w:val="000000" w:themeColor="text1"/>
        </w:rPr>
        <w:t>.</w:t>
      </w:r>
    </w:p>
    <w:p w14:paraId="5B0ACBC1" w14:textId="351E26B9" w:rsidR="009163B3" w:rsidRDefault="00FE56C0" w:rsidP="009163B3">
      <w:pPr>
        <w:rPr>
          <w:rFonts w:eastAsia="Times New Roman"/>
          <w:i/>
          <w:u w:val="single"/>
        </w:rPr>
      </w:pPr>
      <w:r>
        <w:rPr>
          <w:rFonts w:eastAsia="Times New Roman"/>
          <w:i/>
          <w:u w:val="single"/>
        </w:rPr>
        <w:t>4</w:t>
      </w:r>
      <w:r w:rsidR="009163B3">
        <w:rPr>
          <w:rFonts w:eastAsia="Times New Roman"/>
          <w:i/>
          <w:u w:val="single"/>
        </w:rPr>
        <w:t>.3 Sectoral growth</w:t>
      </w:r>
    </w:p>
    <w:p w14:paraId="223AEBCE" w14:textId="09F4F836" w:rsidR="00083E04" w:rsidRPr="006E4F2C" w:rsidRDefault="00AA6C68" w:rsidP="0098169A">
      <w:pPr>
        <w:spacing w:line="240" w:lineRule="auto"/>
        <w:jc w:val="both"/>
        <w:rPr>
          <w:rFonts w:eastAsia="Times New Roman"/>
          <w:iCs/>
          <w:color w:val="000000" w:themeColor="text1"/>
        </w:rPr>
      </w:pPr>
      <w:r w:rsidRPr="006E4F2C">
        <w:rPr>
          <w:rFonts w:eastAsia="Times New Roman"/>
          <w:iCs/>
          <w:color w:val="000000" w:themeColor="text1"/>
        </w:rPr>
        <w:t>The growth in the</w:t>
      </w:r>
      <w:r w:rsidR="00FE77A5" w:rsidRPr="006E4F2C">
        <w:rPr>
          <w:rFonts w:eastAsia="Times New Roman"/>
          <w:iCs/>
          <w:color w:val="000000" w:themeColor="text1"/>
        </w:rPr>
        <w:t xml:space="preserve"> industrial, agricultural and retail business sectors in</w:t>
      </w:r>
      <w:r w:rsidR="00251BD3" w:rsidRPr="006E4F2C">
        <w:rPr>
          <w:rFonts w:eastAsia="Times New Roman"/>
          <w:iCs/>
          <w:color w:val="000000" w:themeColor="text1"/>
        </w:rPr>
        <w:t xml:space="preserve"> each region is</w:t>
      </w:r>
      <w:r w:rsidR="000C6CFE">
        <w:rPr>
          <w:rFonts w:eastAsia="Times New Roman"/>
          <w:iCs/>
          <w:color w:val="000000" w:themeColor="text1"/>
        </w:rPr>
        <w:t xml:space="preserve"> partially</w:t>
      </w:r>
      <w:r w:rsidR="00251BD3" w:rsidRPr="006E4F2C">
        <w:rPr>
          <w:rFonts w:eastAsia="Times New Roman"/>
          <w:iCs/>
          <w:color w:val="000000" w:themeColor="text1"/>
        </w:rPr>
        <w:t xml:space="preserve"> derived from the </w:t>
      </w:r>
      <w:r w:rsidR="00471265">
        <w:rPr>
          <w:rFonts w:eastAsia="Times New Roman"/>
          <w:iCs/>
          <w:color w:val="000000" w:themeColor="text1"/>
        </w:rPr>
        <w:t>national</w:t>
      </w:r>
      <w:r w:rsidR="00251BD3" w:rsidRPr="006E4F2C">
        <w:rPr>
          <w:rFonts w:eastAsia="Times New Roman"/>
          <w:iCs/>
          <w:color w:val="000000" w:themeColor="text1"/>
        </w:rPr>
        <w:t>’s overall GDP growth, with</w:t>
      </w:r>
      <w:r w:rsidR="00935955" w:rsidRPr="006E4F2C">
        <w:rPr>
          <w:rFonts w:eastAsia="Times New Roman"/>
          <w:iCs/>
          <w:color w:val="000000" w:themeColor="text1"/>
        </w:rPr>
        <w:t xml:space="preserve"> each sector’s share of total GDP changing over time</w:t>
      </w:r>
      <w:r w:rsidR="00265FAD">
        <w:rPr>
          <w:rFonts w:eastAsia="Times New Roman"/>
          <w:iCs/>
          <w:color w:val="000000" w:themeColor="text1"/>
        </w:rPr>
        <w:t xml:space="preserve">, and from </w:t>
      </w:r>
      <w:r w:rsidR="000C6CFE">
        <w:rPr>
          <w:rFonts w:eastAsia="Times New Roman"/>
          <w:iCs/>
          <w:color w:val="000000" w:themeColor="text1"/>
        </w:rPr>
        <w:t xml:space="preserve">the </w:t>
      </w:r>
      <w:r w:rsidR="00265FAD">
        <w:rPr>
          <w:rFonts w:eastAsia="Times New Roman"/>
          <w:iCs/>
          <w:color w:val="000000" w:themeColor="text1"/>
        </w:rPr>
        <w:t>expected/</w:t>
      </w:r>
      <w:r w:rsidR="000C6CFE">
        <w:rPr>
          <w:rFonts w:eastAsia="Times New Roman"/>
          <w:iCs/>
          <w:color w:val="000000" w:themeColor="text1"/>
        </w:rPr>
        <w:t>planned production levels,</w:t>
      </w:r>
      <w:r w:rsidR="00186C2B">
        <w:rPr>
          <w:rFonts w:eastAsia="Times New Roman"/>
          <w:iCs/>
          <w:color w:val="000000" w:themeColor="text1"/>
        </w:rPr>
        <w:t xml:space="preserve"> constructions</w:t>
      </w:r>
      <w:r w:rsidR="000C6CFE">
        <w:rPr>
          <w:rFonts w:eastAsia="Times New Roman"/>
          <w:iCs/>
          <w:color w:val="000000" w:themeColor="text1"/>
        </w:rPr>
        <w:t xml:space="preserve"> (</w:t>
      </w:r>
      <w:proofErr w:type="spellStart"/>
      <w:proofErr w:type="gramStart"/>
      <w:r w:rsidR="000C6CFE">
        <w:rPr>
          <w:rFonts w:eastAsia="Times New Roman"/>
          <w:iCs/>
          <w:color w:val="000000" w:themeColor="text1"/>
        </w:rPr>
        <w:t>eg</w:t>
      </w:r>
      <w:proofErr w:type="spellEnd"/>
      <w:proofErr w:type="gramEnd"/>
      <w:r w:rsidR="000C6CFE">
        <w:rPr>
          <w:rFonts w:eastAsia="Times New Roman"/>
          <w:iCs/>
          <w:color w:val="000000" w:themeColor="text1"/>
        </w:rPr>
        <w:t xml:space="preserve"> square meters for services), and development of certain activities</w:t>
      </w:r>
      <w:r w:rsidR="00935955" w:rsidRPr="006E4F2C">
        <w:rPr>
          <w:rFonts w:eastAsia="Times New Roman"/>
          <w:iCs/>
          <w:color w:val="000000" w:themeColor="text1"/>
        </w:rPr>
        <w:t>.</w:t>
      </w:r>
      <w:r w:rsidR="00C219DE" w:rsidRPr="006E4F2C">
        <w:rPr>
          <w:rFonts w:eastAsia="Times New Roman"/>
          <w:iCs/>
          <w:color w:val="000000" w:themeColor="text1"/>
        </w:rPr>
        <w:t xml:space="preserve"> </w:t>
      </w:r>
      <w:r w:rsidR="00935955" w:rsidRPr="006E4F2C">
        <w:rPr>
          <w:rFonts w:eastAsia="Times New Roman"/>
          <w:iCs/>
          <w:color w:val="000000" w:themeColor="text1"/>
        </w:rPr>
        <w:t xml:space="preserve">Growth of residential households is derived from population growth and assumptions on average household size in each region. </w:t>
      </w:r>
    </w:p>
    <w:p w14:paraId="4A4D6236" w14:textId="3AADFCB5" w:rsidR="00C219DE" w:rsidRPr="001960A4" w:rsidRDefault="00083E04" w:rsidP="00FE56C0">
      <w:pPr>
        <w:tabs>
          <w:tab w:val="left" w:pos="6490"/>
        </w:tabs>
        <w:spacing w:line="240" w:lineRule="auto"/>
        <w:jc w:val="both"/>
        <w:rPr>
          <w:rFonts w:eastAsia="Times New Roman"/>
          <w:iCs/>
          <w:color w:val="000000" w:themeColor="text1"/>
        </w:rPr>
      </w:pPr>
      <w:r w:rsidRPr="006E4F2C">
        <w:rPr>
          <w:rFonts w:eastAsia="Times New Roman"/>
          <w:iCs/>
          <w:color w:val="000000" w:themeColor="text1"/>
        </w:rPr>
        <w:t xml:space="preserve">Growth in each of these sectors drives energy demand as described in the next sub-section. </w:t>
      </w:r>
      <w:r w:rsidR="00935955" w:rsidRPr="006E4F2C">
        <w:rPr>
          <w:rFonts w:eastAsia="Times New Roman"/>
          <w:iCs/>
          <w:color w:val="000000" w:themeColor="text1"/>
        </w:rPr>
        <w:t xml:space="preserve">  </w:t>
      </w:r>
      <w:r w:rsidRPr="006E4F2C">
        <w:rPr>
          <w:rFonts w:eastAsia="Times New Roman"/>
          <w:iCs/>
          <w:color w:val="000000" w:themeColor="text1"/>
        </w:rPr>
        <w:tab/>
      </w:r>
    </w:p>
    <w:p w14:paraId="6D775739" w14:textId="4E7D64DC" w:rsidR="00C219DE" w:rsidRPr="00C219DE" w:rsidRDefault="00FE56C0" w:rsidP="00AA6C68">
      <w:pPr>
        <w:rPr>
          <w:rFonts w:eastAsia="Times New Roman"/>
          <w:i/>
          <w:iCs/>
          <w:u w:val="single"/>
        </w:rPr>
      </w:pPr>
      <w:r>
        <w:rPr>
          <w:rFonts w:eastAsia="Times New Roman"/>
          <w:i/>
          <w:iCs/>
          <w:u w:val="single"/>
        </w:rPr>
        <w:t>4</w:t>
      </w:r>
      <w:r w:rsidR="00C219DE" w:rsidRPr="00C219DE">
        <w:rPr>
          <w:rFonts w:eastAsia="Times New Roman"/>
          <w:i/>
          <w:iCs/>
          <w:u w:val="single"/>
        </w:rPr>
        <w:t>.</w:t>
      </w:r>
      <w:r>
        <w:rPr>
          <w:rFonts w:eastAsia="Times New Roman"/>
          <w:i/>
          <w:iCs/>
          <w:u w:val="single"/>
        </w:rPr>
        <w:t>4</w:t>
      </w:r>
      <w:r w:rsidR="00C219DE" w:rsidRPr="00C219DE">
        <w:rPr>
          <w:rFonts w:eastAsia="Times New Roman"/>
          <w:i/>
          <w:iCs/>
          <w:u w:val="single"/>
        </w:rPr>
        <w:t xml:space="preserve"> Energy </w:t>
      </w:r>
      <w:r>
        <w:rPr>
          <w:rFonts w:eastAsia="Times New Roman"/>
          <w:i/>
          <w:iCs/>
          <w:u w:val="single"/>
        </w:rPr>
        <w:t xml:space="preserve">demand drivers and </w:t>
      </w:r>
      <w:r w:rsidR="00C219DE" w:rsidRPr="00C219DE">
        <w:rPr>
          <w:rFonts w:eastAsia="Times New Roman"/>
          <w:i/>
          <w:iCs/>
          <w:u w:val="single"/>
        </w:rPr>
        <w:t>demand elasticities</w:t>
      </w:r>
    </w:p>
    <w:p w14:paraId="23E424F2" w14:textId="111896D5" w:rsidR="00FE56C0" w:rsidRDefault="00FE56C0" w:rsidP="0034470B">
      <w:pPr>
        <w:spacing w:line="240" w:lineRule="auto"/>
        <w:jc w:val="both"/>
        <w:rPr>
          <w:rFonts w:eastAsia="Times New Roman"/>
          <w:iCs/>
          <w:color w:val="000000" w:themeColor="text1"/>
        </w:rPr>
      </w:pPr>
      <w:r w:rsidRPr="001960A4">
        <w:rPr>
          <w:rFonts w:eastAsia="Times New Roman"/>
          <w:iCs/>
          <w:color w:val="000000" w:themeColor="text1"/>
        </w:rPr>
        <w:t>The economic, population and sectoral growths (</w:t>
      </w:r>
      <w:proofErr w:type="spellStart"/>
      <w:proofErr w:type="gramStart"/>
      <w:r w:rsidRPr="001960A4">
        <w:rPr>
          <w:rFonts w:eastAsia="Times New Roman"/>
          <w:iCs/>
          <w:color w:val="000000" w:themeColor="text1"/>
        </w:rPr>
        <w:t>eg</w:t>
      </w:r>
      <w:proofErr w:type="spellEnd"/>
      <w:proofErr w:type="gramEnd"/>
      <w:r w:rsidRPr="001960A4">
        <w:rPr>
          <w:rFonts w:eastAsia="Times New Roman"/>
          <w:iCs/>
          <w:color w:val="000000" w:themeColor="text1"/>
        </w:rPr>
        <w:t xml:space="preserve"> physical production of industrial activities)</w:t>
      </w:r>
      <w:r w:rsidR="000C6CFE">
        <w:rPr>
          <w:rFonts w:eastAsia="Times New Roman"/>
          <w:iCs/>
          <w:color w:val="000000" w:themeColor="text1"/>
        </w:rPr>
        <w:t xml:space="preserve"> are used </w:t>
      </w:r>
      <w:r w:rsidR="00186C2B">
        <w:rPr>
          <w:rFonts w:eastAsia="Times New Roman"/>
          <w:iCs/>
          <w:color w:val="000000" w:themeColor="text1"/>
        </w:rPr>
        <w:t>as</w:t>
      </w:r>
      <w:r w:rsidRPr="001960A4">
        <w:rPr>
          <w:rFonts w:eastAsia="Times New Roman"/>
          <w:iCs/>
          <w:color w:val="000000" w:themeColor="text1"/>
        </w:rPr>
        <w:t xml:space="preserve"> specific drivers for the growth in energy demands.</w:t>
      </w:r>
    </w:p>
    <w:p w14:paraId="38B496D5" w14:textId="35D723E2" w:rsidR="00AE7C4F" w:rsidRPr="00B12136" w:rsidRDefault="00AE7C4F" w:rsidP="0034470B">
      <w:pPr>
        <w:spacing w:line="240" w:lineRule="auto"/>
        <w:jc w:val="both"/>
        <w:rPr>
          <w:rFonts w:eastAsia="Times New Roman"/>
          <w:iCs/>
          <w:color w:val="000000" w:themeColor="text1"/>
        </w:rPr>
      </w:pPr>
      <w:r w:rsidRPr="00B12136">
        <w:rPr>
          <w:rFonts w:eastAsia="Times New Roman"/>
          <w:iCs/>
          <w:color w:val="000000" w:themeColor="text1"/>
        </w:rPr>
        <w:t xml:space="preserve">Once the drivers for </w:t>
      </w:r>
      <w:r w:rsidR="00A9375E" w:rsidRPr="00B12136">
        <w:rPr>
          <w:rFonts w:eastAsia="Times New Roman"/>
          <w:iCs/>
          <w:color w:val="000000" w:themeColor="text1"/>
        </w:rPr>
        <w:t xml:space="preserve">the different energy demands represented by </w:t>
      </w:r>
      <w:r w:rsidRPr="00B12136">
        <w:rPr>
          <w:rFonts w:eastAsia="Times New Roman"/>
          <w:iCs/>
          <w:color w:val="000000" w:themeColor="text1"/>
        </w:rPr>
        <w:t>T</w:t>
      </w:r>
      <w:r w:rsidR="00083E04" w:rsidRPr="00B12136">
        <w:rPr>
          <w:rFonts w:eastAsia="Times New Roman"/>
          <w:iCs/>
          <w:color w:val="000000" w:themeColor="text1"/>
        </w:rPr>
        <w:t>I</w:t>
      </w:r>
      <w:r w:rsidR="00A278A4" w:rsidRPr="00B12136">
        <w:rPr>
          <w:rFonts w:eastAsia="Times New Roman"/>
          <w:iCs/>
          <w:color w:val="000000" w:themeColor="text1"/>
        </w:rPr>
        <w:t>MES-CAC model</w:t>
      </w:r>
      <w:r w:rsidRPr="00B12136">
        <w:rPr>
          <w:rFonts w:eastAsia="Times New Roman"/>
          <w:iCs/>
          <w:color w:val="000000" w:themeColor="text1"/>
        </w:rPr>
        <w:t xml:space="preserve"> are </w:t>
      </w:r>
      <w:r w:rsidR="000C6CFE">
        <w:rPr>
          <w:rFonts w:eastAsia="Times New Roman"/>
          <w:iCs/>
          <w:color w:val="000000" w:themeColor="text1"/>
        </w:rPr>
        <w:t>selected, allocated</w:t>
      </w:r>
      <w:r w:rsidRPr="00B12136">
        <w:rPr>
          <w:rFonts w:eastAsia="Times New Roman"/>
          <w:iCs/>
          <w:color w:val="000000" w:themeColor="text1"/>
        </w:rPr>
        <w:t xml:space="preserve"> and quantified, the construction</w:t>
      </w:r>
      <w:r w:rsidR="00AA6C68" w:rsidRPr="00B12136">
        <w:rPr>
          <w:rFonts w:eastAsia="Times New Roman"/>
          <w:iCs/>
          <w:color w:val="000000" w:themeColor="text1"/>
        </w:rPr>
        <w:t xml:space="preserve"> </w:t>
      </w:r>
      <w:r w:rsidRPr="00B12136">
        <w:rPr>
          <w:rFonts w:eastAsia="Times New Roman"/>
          <w:iCs/>
          <w:color w:val="000000" w:themeColor="text1"/>
        </w:rPr>
        <w:t>of the reference demand scenario requires computing a set of energy service</w:t>
      </w:r>
      <w:r w:rsidR="00AA6C68" w:rsidRPr="00B12136">
        <w:rPr>
          <w:rFonts w:eastAsia="Times New Roman"/>
          <w:iCs/>
          <w:color w:val="000000" w:themeColor="text1"/>
        </w:rPr>
        <w:t xml:space="preserve"> </w:t>
      </w:r>
      <w:r w:rsidRPr="00B12136">
        <w:rPr>
          <w:rFonts w:eastAsia="Times New Roman"/>
          <w:iCs/>
          <w:color w:val="000000" w:themeColor="text1"/>
        </w:rPr>
        <w:t xml:space="preserve">demands over the horizon. This </w:t>
      </w:r>
      <w:r w:rsidR="00B12136">
        <w:rPr>
          <w:rFonts w:eastAsia="Times New Roman"/>
          <w:iCs/>
          <w:color w:val="000000" w:themeColor="text1"/>
        </w:rPr>
        <w:t>can be</w:t>
      </w:r>
      <w:r w:rsidRPr="00B12136">
        <w:rPr>
          <w:rFonts w:eastAsia="Times New Roman"/>
          <w:iCs/>
          <w:color w:val="000000" w:themeColor="text1"/>
        </w:rPr>
        <w:t xml:space="preserve"> done by choosing elasticities of demands to</w:t>
      </w:r>
      <w:r w:rsidR="00AA6C68" w:rsidRPr="00B12136">
        <w:rPr>
          <w:rFonts w:eastAsia="Times New Roman"/>
          <w:iCs/>
          <w:color w:val="000000" w:themeColor="text1"/>
        </w:rPr>
        <w:t xml:space="preserve"> </w:t>
      </w:r>
      <w:r w:rsidRPr="00B12136">
        <w:rPr>
          <w:rFonts w:eastAsia="Times New Roman"/>
          <w:iCs/>
          <w:color w:val="000000" w:themeColor="text1"/>
        </w:rPr>
        <w:t>their respective drivers, in each region, using the following general formula:</w:t>
      </w:r>
    </w:p>
    <w:p w14:paraId="030B41F3" w14:textId="7B493235" w:rsidR="00AE7C4F" w:rsidRPr="00B12136" w:rsidRDefault="00AE7C4F" w:rsidP="0034470B">
      <w:pPr>
        <w:spacing w:line="240" w:lineRule="auto"/>
        <w:jc w:val="both"/>
        <w:rPr>
          <w:rFonts w:eastAsia="Times New Roman"/>
          <w:iCs/>
          <w:color w:val="000000" w:themeColor="text1"/>
        </w:rPr>
      </w:pPr>
      <w:r w:rsidRPr="00B12136">
        <w:rPr>
          <w:rFonts w:eastAsia="Times New Roman"/>
          <w:iCs/>
          <w:color w:val="000000" w:themeColor="text1"/>
        </w:rPr>
        <w:t>Demand = Driver</w:t>
      </w:r>
      <w:r w:rsidR="00AA6C68" w:rsidRPr="00B12136">
        <w:rPr>
          <w:rFonts w:eastAsia="Times New Roman"/>
          <w:iCs/>
          <w:color w:val="000000" w:themeColor="text1"/>
        </w:rPr>
        <w:t xml:space="preserve"> </w:t>
      </w:r>
      <w:r w:rsidRPr="00B12136">
        <w:rPr>
          <w:rFonts w:eastAsia="Times New Roman"/>
          <w:iCs/>
          <w:color w:val="000000" w:themeColor="text1"/>
          <w:vertAlign w:val="superscript"/>
        </w:rPr>
        <w:t>Elasticity</w:t>
      </w:r>
    </w:p>
    <w:p w14:paraId="35D6F0E8" w14:textId="51B799F4" w:rsidR="00A9375E" w:rsidRPr="00B12136" w:rsidRDefault="00A9375E" w:rsidP="0034470B">
      <w:pPr>
        <w:spacing w:line="240" w:lineRule="auto"/>
        <w:jc w:val="both"/>
        <w:rPr>
          <w:rFonts w:eastAsia="Times New Roman"/>
          <w:iCs/>
          <w:color w:val="000000" w:themeColor="text1"/>
        </w:rPr>
      </w:pPr>
      <w:proofErr w:type="gramStart"/>
      <w:r w:rsidRPr="00B12136">
        <w:rPr>
          <w:rFonts w:eastAsia="Times New Roman"/>
          <w:iCs/>
          <w:color w:val="000000" w:themeColor="text1"/>
        </w:rPr>
        <w:t>So</w:t>
      </w:r>
      <w:proofErr w:type="gramEnd"/>
      <w:r w:rsidRPr="00B12136">
        <w:rPr>
          <w:rFonts w:eastAsia="Times New Roman"/>
          <w:iCs/>
          <w:color w:val="000000" w:themeColor="text1"/>
        </w:rPr>
        <w:t xml:space="preserve"> for example the number of billion vehicle km travelled by automobiles, </w:t>
      </w:r>
      <w:proofErr w:type="spellStart"/>
      <w:r w:rsidRPr="00B12136">
        <w:rPr>
          <w:rFonts w:eastAsia="Times New Roman"/>
          <w:iCs/>
          <w:color w:val="000000" w:themeColor="text1"/>
        </w:rPr>
        <w:t>bvkm</w:t>
      </w:r>
      <w:proofErr w:type="spellEnd"/>
      <w:r w:rsidRPr="00B12136">
        <w:rPr>
          <w:rFonts w:eastAsia="Times New Roman"/>
          <w:iCs/>
          <w:color w:val="000000" w:themeColor="text1"/>
        </w:rPr>
        <w:t>, grows by a factor which is the growth in the GDP per capita in a region to the power of a pre-defined elasticity:</w:t>
      </w:r>
    </w:p>
    <w:p w14:paraId="0B9A0268" w14:textId="148FC4D9" w:rsidR="00A9375E" w:rsidRPr="00B12136" w:rsidRDefault="00A9375E" w:rsidP="0034470B">
      <w:pPr>
        <w:spacing w:line="240" w:lineRule="auto"/>
        <w:jc w:val="both"/>
        <w:rPr>
          <w:rFonts w:eastAsia="Times New Roman"/>
          <w:iCs/>
          <w:color w:val="000000" w:themeColor="text1"/>
          <w:vertAlign w:val="superscript"/>
        </w:rPr>
      </w:pPr>
      <w:proofErr w:type="spellStart"/>
      <w:r w:rsidRPr="00B12136">
        <w:rPr>
          <w:rFonts w:eastAsia="Times New Roman"/>
          <w:iCs/>
          <w:color w:val="000000" w:themeColor="text1"/>
        </w:rPr>
        <w:t>bvkm</w:t>
      </w:r>
      <w:proofErr w:type="spellEnd"/>
      <w:r w:rsidRPr="00B12136">
        <w:rPr>
          <w:rFonts w:eastAsia="Times New Roman"/>
          <w:iCs/>
          <w:color w:val="000000" w:themeColor="text1"/>
        </w:rPr>
        <w:t xml:space="preserve"> = (GDP/</w:t>
      </w:r>
      <w:proofErr w:type="gramStart"/>
      <w:r w:rsidRPr="00B12136">
        <w:rPr>
          <w:rFonts w:eastAsia="Times New Roman"/>
          <w:iCs/>
          <w:color w:val="000000" w:themeColor="text1"/>
        </w:rPr>
        <w:t>capita)</w:t>
      </w:r>
      <w:r w:rsidRPr="00B12136">
        <w:rPr>
          <w:rFonts w:eastAsia="Times New Roman"/>
          <w:iCs/>
          <w:color w:val="000000" w:themeColor="text1"/>
          <w:vertAlign w:val="superscript"/>
        </w:rPr>
        <w:t>Elasticity</w:t>
      </w:r>
      <w:proofErr w:type="gramEnd"/>
    </w:p>
    <w:p w14:paraId="19649D2B" w14:textId="6F11AB4E" w:rsidR="00AE7C4F" w:rsidRPr="00B12136" w:rsidRDefault="00AE7C4F" w:rsidP="0034470B">
      <w:pPr>
        <w:spacing w:line="240" w:lineRule="auto"/>
        <w:jc w:val="both"/>
        <w:rPr>
          <w:rFonts w:eastAsia="Times New Roman"/>
          <w:iCs/>
          <w:color w:val="000000" w:themeColor="text1"/>
        </w:rPr>
      </w:pPr>
      <w:r w:rsidRPr="00B12136">
        <w:rPr>
          <w:rFonts w:eastAsia="Times New Roman"/>
          <w:iCs/>
          <w:color w:val="000000" w:themeColor="text1"/>
        </w:rPr>
        <w:lastRenderedPageBreak/>
        <w:t>TI</w:t>
      </w:r>
      <w:r w:rsidR="00B12136" w:rsidRPr="00B12136">
        <w:rPr>
          <w:rFonts w:eastAsia="Times New Roman"/>
          <w:iCs/>
          <w:color w:val="000000" w:themeColor="text1"/>
        </w:rPr>
        <w:t>MES-CAC</w:t>
      </w:r>
      <w:r w:rsidRPr="00B12136">
        <w:rPr>
          <w:rFonts w:eastAsia="Times New Roman"/>
          <w:iCs/>
          <w:color w:val="000000" w:themeColor="text1"/>
        </w:rPr>
        <w:t xml:space="preserve"> has the capability of estimating the</w:t>
      </w:r>
      <w:r w:rsidR="00AA6C68" w:rsidRPr="00B12136">
        <w:rPr>
          <w:rFonts w:eastAsia="Times New Roman"/>
          <w:iCs/>
          <w:color w:val="000000" w:themeColor="text1"/>
        </w:rPr>
        <w:t xml:space="preserve"> </w:t>
      </w:r>
      <w:r w:rsidR="00A9375E" w:rsidRPr="00B12136">
        <w:rPr>
          <w:rFonts w:eastAsia="Times New Roman"/>
          <w:iCs/>
          <w:color w:val="000000" w:themeColor="text1"/>
        </w:rPr>
        <w:t xml:space="preserve">price-based </w:t>
      </w:r>
      <w:r w:rsidRPr="00B12136">
        <w:rPr>
          <w:rFonts w:eastAsia="Times New Roman"/>
          <w:iCs/>
          <w:color w:val="000000" w:themeColor="text1"/>
        </w:rPr>
        <w:t>response of the</w:t>
      </w:r>
      <w:r w:rsidR="00A9375E" w:rsidRPr="00B12136">
        <w:rPr>
          <w:rFonts w:eastAsia="Times New Roman"/>
          <w:iCs/>
          <w:color w:val="000000" w:themeColor="text1"/>
        </w:rPr>
        <w:t>se energy service</w:t>
      </w:r>
      <w:r w:rsidRPr="00B12136">
        <w:rPr>
          <w:rFonts w:eastAsia="Times New Roman"/>
          <w:iCs/>
          <w:color w:val="000000" w:themeColor="text1"/>
        </w:rPr>
        <w:t xml:space="preserve"> demands to the changing conditions of </w:t>
      </w:r>
      <w:r w:rsidR="00A9375E" w:rsidRPr="00B12136">
        <w:rPr>
          <w:rFonts w:eastAsia="Times New Roman"/>
          <w:iCs/>
          <w:color w:val="000000" w:themeColor="text1"/>
        </w:rPr>
        <w:t>scenarios in which mitigation occurs. For example, if the cost of energy increases as fossil fuels are replaced by renewables, then the demand for energy services would decrease</w:t>
      </w:r>
      <w:r w:rsidRPr="00B12136">
        <w:rPr>
          <w:rFonts w:eastAsia="Times New Roman"/>
          <w:iCs/>
          <w:color w:val="000000" w:themeColor="text1"/>
        </w:rPr>
        <w:t>.</w:t>
      </w:r>
      <w:r w:rsidR="00AA6C68" w:rsidRPr="00B12136">
        <w:rPr>
          <w:rFonts w:eastAsia="Times New Roman"/>
          <w:iCs/>
          <w:color w:val="000000" w:themeColor="text1"/>
        </w:rPr>
        <w:t xml:space="preserve"> </w:t>
      </w:r>
      <w:r w:rsidRPr="00B12136">
        <w:rPr>
          <w:rFonts w:eastAsia="Times New Roman"/>
          <w:iCs/>
          <w:color w:val="000000" w:themeColor="text1"/>
        </w:rPr>
        <w:t xml:space="preserve">To do this, </w:t>
      </w:r>
      <w:r w:rsidR="00A9375E" w:rsidRPr="00B12136">
        <w:rPr>
          <w:rFonts w:eastAsia="Times New Roman"/>
          <w:iCs/>
          <w:color w:val="000000" w:themeColor="text1"/>
        </w:rPr>
        <w:t>TI</w:t>
      </w:r>
      <w:r w:rsidR="00B12136" w:rsidRPr="00B12136">
        <w:rPr>
          <w:rFonts w:eastAsia="Times New Roman"/>
          <w:iCs/>
          <w:color w:val="000000" w:themeColor="text1"/>
        </w:rPr>
        <w:t>MES-CAC</w:t>
      </w:r>
      <w:r w:rsidRPr="00B12136">
        <w:rPr>
          <w:rFonts w:eastAsia="Times New Roman"/>
          <w:iCs/>
          <w:color w:val="000000" w:themeColor="text1"/>
        </w:rPr>
        <w:t xml:space="preserve"> </w:t>
      </w:r>
      <w:r w:rsidR="00B12136" w:rsidRPr="00B12136">
        <w:rPr>
          <w:rFonts w:eastAsia="Times New Roman"/>
          <w:iCs/>
          <w:color w:val="000000" w:themeColor="text1"/>
        </w:rPr>
        <w:t xml:space="preserve">can make </w:t>
      </w:r>
      <w:r w:rsidR="00A9375E" w:rsidRPr="00B12136">
        <w:rPr>
          <w:rFonts w:eastAsia="Times New Roman"/>
          <w:iCs/>
          <w:color w:val="000000" w:themeColor="text1"/>
        </w:rPr>
        <w:t>use</w:t>
      </w:r>
      <w:r w:rsidR="00B12136" w:rsidRPr="00B12136">
        <w:rPr>
          <w:rFonts w:eastAsia="Times New Roman"/>
          <w:iCs/>
          <w:color w:val="000000" w:themeColor="text1"/>
        </w:rPr>
        <w:t xml:space="preserve"> of</w:t>
      </w:r>
      <w:r w:rsidRPr="00B12136">
        <w:rPr>
          <w:rFonts w:eastAsia="Times New Roman"/>
          <w:iCs/>
          <w:color w:val="000000" w:themeColor="text1"/>
        </w:rPr>
        <w:t xml:space="preserve"> another set of inputs, namely the </w:t>
      </w:r>
      <w:r w:rsidR="00A9375E" w:rsidRPr="00B12136">
        <w:rPr>
          <w:rFonts w:eastAsia="Times New Roman"/>
          <w:iCs/>
          <w:color w:val="000000" w:themeColor="text1"/>
        </w:rPr>
        <w:t xml:space="preserve">price </w:t>
      </w:r>
      <w:r w:rsidRPr="00B12136">
        <w:rPr>
          <w:rFonts w:eastAsia="Times New Roman"/>
          <w:iCs/>
          <w:color w:val="000000" w:themeColor="text1"/>
        </w:rPr>
        <w:t>elasticities of the demands</w:t>
      </w:r>
      <w:r w:rsidR="00A9375E" w:rsidRPr="00B12136">
        <w:rPr>
          <w:rFonts w:eastAsia="Times New Roman"/>
          <w:iCs/>
          <w:color w:val="000000" w:themeColor="text1"/>
        </w:rPr>
        <w:t xml:space="preserve"> for each energy service considered</w:t>
      </w:r>
      <w:r w:rsidRPr="00B12136">
        <w:rPr>
          <w:rFonts w:eastAsia="Times New Roman"/>
          <w:iCs/>
          <w:color w:val="000000" w:themeColor="text1"/>
        </w:rPr>
        <w:t xml:space="preserve">. </w:t>
      </w:r>
      <w:r w:rsidR="00B12136" w:rsidRPr="00B12136">
        <w:rPr>
          <w:rFonts w:eastAsia="Times New Roman"/>
          <w:iCs/>
          <w:color w:val="000000" w:themeColor="text1"/>
        </w:rPr>
        <w:t xml:space="preserve">In the default version of the model this option is disabled so that </w:t>
      </w:r>
      <w:r w:rsidR="006D5750">
        <w:rPr>
          <w:rFonts w:eastAsia="Times New Roman"/>
          <w:iCs/>
          <w:color w:val="000000" w:themeColor="text1"/>
        </w:rPr>
        <w:t xml:space="preserve">energy service </w:t>
      </w:r>
      <w:r w:rsidR="00B12136" w:rsidRPr="00B12136">
        <w:rPr>
          <w:rFonts w:eastAsia="Times New Roman"/>
          <w:iCs/>
          <w:color w:val="000000" w:themeColor="text1"/>
        </w:rPr>
        <w:t>demands are assumed to be inelastic</w:t>
      </w:r>
      <w:r w:rsidR="006D5750">
        <w:rPr>
          <w:rFonts w:eastAsia="Times New Roman"/>
          <w:iCs/>
          <w:color w:val="000000" w:themeColor="text1"/>
        </w:rPr>
        <w:t xml:space="preserve"> (some modelling adjustments to simulate the improvement of living conditions in the residential sector are </w:t>
      </w:r>
      <w:proofErr w:type="gramStart"/>
      <w:r w:rsidR="006D5750">
        <w:rPr>
          <w:rFonts w:eastAsia="Times New Roman"/>
          <w:iCs/>
          <w:color w:val="000000" w:themeColor="text1"/>
        </w:rPr>
        <w:t>taken into account</w:t>
      </w:r>
      <w:proofErr w:type="gramEnd"/>
      <w:r w:rsidR="006D5750">
        <w:rPr>
          <w:rFonts w:eastAsia="Times New Roman"/>
          <w:iCs/>
          <w:color w:val="000000" w:themeColor="text1"/>
        </w:rPr>
        <w:t>)</w:t>
      </w:r>
      <w:r w:rsidR="00B12136" w:rsidRPr="00B12136">
        <w:rPr>
          <w:rFonts w:eastAsia="Times New Roman"/>
          <w:iCs/>
          <w:color w:val="000000" w:themeColor="text1"/>
        </w:rPr>
        <w:t>.</w:t>
      </w:r>
    </w:p>
    <w:p w14:paraId="5520E5E4" w14:textId="77777777" w:rsidR="00C322D3" w:rsidRPr="00AA6C68" w:rsidRDefault="00C322D3" w:rsidP="00AA6C68">
      <w:pPr>
        <w:pStyle w:val="ListParagraph"/>
        <w:numPr>
          <w:ilvl w:val="0"/>
          <w:numId w:val="1"/>
        </w:numPr>
        <w:spacing w:before="100" w:beforeAutospacing="1" w:after="100" w:afterAutospacing="1" w:line="240" w:lineRule="auto"/>
        <w:rPr>
          <w:rFonts w:eastAsia="Times New Roman"/>
          <w:b/>
          <w:u w:val="single"/>
        </w:rPr>
      </w:pPr>
      <w:r w:rsidRPr="00AA6C68">
        <w:rPr>
          <w:rFonts w:eastAsia="Times New Roman"/>
          <w:b/>
          <w:u w:val="single"/>
        </w:rPr>
        <w:t>Calibration of the model</w:t>
      </w:r>
    </w:p>
    <w:p w14:paraId="6A204088" w14:textId="520633F8" w:rsidR="00C322D3" w:rsidRDefault="00AA6C68" w:rsidP="00002EE6">
      <w:pPr>
        <w:autoSpaceDE w:val="0"/>
        <w:autoSpaceDN w:val="0"/>
        <w:adjustRightInd w:val="0"/>
        <w:spacing w:after="0" w:line="240" w:lineRule="auto"/>
        <w:jc w:val="both"/>
        <w:rPr>
          <w:rFonts w:eastAsia="Times New Roman"/>
        </w:rPr>
      </w:pPr>
      <w:r>
        <w:rPr>
          <w:rFonts w:eastAsia="Times New Roman"/>
        </w:rPr>
        <w:t>The</w:t>
      </w:r>
      <w:r w:rsidRPr="00AA6C68">
        <w:rPr>
          <w:rFonts w:eastAsia="Times New Roman"/>
        </w:rPr>
        <w:t xml:space="preserve"> </w:t>
      </w:r>
      <w:r>
        <w:rPr>
          <w:rFonts w:eastAsia="Times New Roman"/>
        </w:rPr>
        <w:t>TI</w:t>
      </w:r>
      <w:r w:rsidR="00002EE6">
        <w:rPr>
          <w:rFonts w:eastAsia="Times New Roman"/>
        </w:rPr>
        <w:t>MES-CAC</w:t>
      </w:r>
      <w:r>
        <w:rPr>
          <w:rFonts w:eastAsia="Times New Roman"/>
        </w:rPr>
        <w:t xml:space="preserve"> model is</w:t>
      </w:r>
      <w:r w:rsidR="00FE77A5">
        <w:rPr>
          <w:rFonts w:eastAsia="Times New Roman"/>
        </w:rPr>
        <w:t xml:space="preserve"> calibrated for </w:t>
      </w:r>
      <w:r w:rsidRPr="00AA6C68">
        <w:rPr>
          <w:rFonts w:eastAsia="Times New Roman"/>
        </w:rPr>
        <w:t>the initial period</w:t>
      </w:r>
      <w:r w:rsidR="00A9375E">
        <w:rPr>
          <w:rFonts w:eastAsia="Times New Roman"/>
        </w:rPr>
        <w:t xml:space="preserve"> (currently 20</w:t>
      </w:r>
      <w:r w:rsidR="00002EE6">
        <w:rPr>
          <w:rFonts w:eastAsia="Times New Roman"/>
        </w:rPr>
        <w:t>11</w:t>
      </w:r>
      <w:r w:rsidR="00A9375E">
        <w:rPr>
          <w:rFonts w:eastAsia="Times New Roman"/>
        </w:rPr>
        <w:t>)</w:t>
      </w:r>
      <w:r w:rsidRPr="00AA6C68">
        <w:rPr>
          <w:rFonts w:eastAsia="Times New Roman"/>
        </w:rPr>
        <w:t xml:space="preserve"> </w:t>
      </w:r>
      <w:r w:rsidR="00FE77A5">
        <w:rPr>
          <w:rFonts w:eastAsia="Times New Roman"/>
        </w:rPr>
        <w:t>using</w:t>
      </w:r>
      <w:r w:rsidR="00002EE6">
        <w:rPr>
          <w:rFonts w:eastAsia="Times New Roman"/>
        </w:rPr>
        <w:t xml:space="preserve"> a combination of</w:t>
      </w:r>
      <w:r w:rsidR="00FE77A5">
        <w:rPr>
          <w:rFonts w:eastAsia="Times New Roman"/>
        </w:rPr>
        <w:t xml:space="preserve"> IEA </w:t>
      </w:r>
      <w:r w:rsidR="009224F4">
        <w:rPr>
          <w:rFonts w:eastAsia="Times New Roman"/>
        </w:rPr>
        <w:t xml:space="preserve">world </w:t>
      </w:r>
      <w:r w:rsidR="00FE77A5">
        <w:rPr>
          <w:rFonts w:eastAsia="Times New Roman"/>
        </w:rPr>
        <w:t>energy statistics</w:t>
      </w:r>
      <w:r w:rsidR="00C219DE">
        <w:rPr>
          <w:rFonts w:eastAsia="Times New Roman"/>
        </w:rPr>
        <w:t xml:space="preserve"> for the year 20</w:t>
      </w:r>
      <w:r w:rsidR="00002EE6">
        <w:rPr>
          <w:rFonts w:eastAsia="Times New Roman"/>
        </w:rPr>
        <w:t>11 and country-specific information</w:t>
      </w:r>
      <w:r w:rsidR="00C219DE">
        <w:rPr>
          <w:rFonts w:eastAsia="Times New Roman"/>
        </w:rPr>
        <w:t xml:space="preserve">, with the projections for </w:t>
      </w:r>
      <w:r w:rsidR="00002EE6">
        <w:rPr>
          <w:rFonts w:eastAsia="Times New Roman"/>
        </w:rPr>
        <w:t xml:space="preserve">the key </w:t>
      </w:r>
      <w:r w:rsidR="00732192">
        <w:rPr>
          <w:rFonts w:eastAsia="Times New Roman"/>
        </w:rPr>
        <w:t>energy</w:t>
      </w:r>
      <w:r w:rsidR="00002EE6">
        <w:rPr>
          <w:rFonts w:eastAsia="Times New Roman"/>
        </w:rPr>
        <w:t>-related investments and stocks</w:t>
      </w:r>
      <w:r w:rsidR="00C219DE">
        <w:rPr>
          <w:rFonts w:eastAsia="Times New Roman"/>
        </w:rPr>
        <w:t xml:space="preserve"> </w:t>
      </w:r>
      <w:r w:rsidR="00002EE6">
        <w:rPr>
          <w:rFonts w:eastAsia="Times New Roman"/>
        </w:rPr>
        <w:t>(</w:t>
      </w:r>
      <w:proofErr w:type="spellStart"/>
      <w:proofErr w:type="gramStart"/>
      <w:r w:rsidR="00002EE6">
        <w:rPr>
          <w:rFonts w:eastAsia="Times New Roman"/>
        </w:rPr>
        <w:t>eg</w:t>
      </w:r>
      <w:proofErr w:type="spellEnd"/>
      <w:proofErr w:type="gramEnd"/>
      <w:r w:rsidR="00002EE6">
        <w:rPr>
          <w:rFonts w:eastAsia="Times New Roman"/>
        </w:rPr>
        <w:t xml:space="preserve"> </w:t>
      </w:r>
      <w:r w:rsidR="00C219DE">
        <w:rPr>
          <w:rFonts w:eastAsia="Times New Roman"/>
        </w:rPr>
        <w:t>installed technology capacity</w:t>
      </w:r>
      <w:r w:rsidR="00002EE6">
        <w:rPr>
          <w:rFonts w:eastAsia="Times New Roman"/>
        </w:rPr>
        <w:t>)</w:t>
      </w:r>
      <w:r w:rsidR="00C219DE">
        <w:rPr>
          <w:rFonts w:eastAsia="Times New Roman"/>
        </w:rPr>
        <w:t xml:space="preserve"> further calibrated </w:t>
      </w:r>
      <w:r w:rsidR="00002EE6">
        <w:rPr>
          <w:rFonts w:eastAsia="Times New Roman"/>
        </w:rPr>
        <w:t>until</w:t>
      </w:r>
      <w:r w:rsidR="00C219DE">
        <w:rPr>
          <w:rFonts w:eastAsia="Times New Roman"/>
        </w:rPr>
        <w:t xml:space="preserve"> 20</w:t>
      </w:r>
      <w:r w:rsidR="00002EE6">
        <w:rPr>
          <w:rFonts w:eastAsia="Times New Roman"/>
        </w:rPr>
        <w:t>13-2015</w:t>
      </w:r>
      <w:r w:rsidR="00C219DE">
        <w:rPr>
          <w:rFonts w:eastAsia="Times New Roman"/>
        </w:rPr>
        <w:t xml:space="preserve">. </w:t>
      </w:r>
      <w:r w:rsidR="00002EE6">
        <w:rPr>
          <w:rFonts w:eastAsia="Times New Roman"/>
        </w:rPr>
        <w:t>T</w:t>
      </w:r>
      <w:r w:rsidR="00C219DE">
        <w:rPr>
          <w:rFonts w:eastAsia="Times New Roman"/>
        </w:rPr>
        <w:t xml:space="preserve">he current intention is that </w:t>
      </w:r>
      <w:r w:rsidR="009224F4">
        <w:rPr>
          <w:rFonts w:eastAsia="Times New Roman"/>
        </w:rPr>
        <w:t>the version of TI</w:t>
      </w:r>
      <w:r w:rsidR="00002EE6">
        <w:rPr>
          <w:rFonts w:eastAsia="Times New Roman"/>
        </w:rPr>
        <w:t>MES-CAC</w:t>
      </w:r>
      <w:r w:rsidR="009224F4">
        <w:rPr>
          <w:rFonts w:eastAsia="Times New Roman"/>
        </w:rPr>
        <w:t xml:space="preserve"> to be used in </w:t>
      </w:r>
      <w:r w:rsidR="009224F4" w:rsidRPr="000C6CFE">
        <w:rPr>
          <w:rFonts w:eastAsia="Times New Roman"/>
          <w:i/>
        </w:rPr>
        <w:t>Paris Reinforce</w:t>
      </w:r>
      <w:r w:rsidR="009224F4">
        <w:rPr>
          <w:rFonts w:eastAsia="Times New Roman"/>
        </w:rPr>
        <w:t xml:space="preserve"> will have a</w:t>
      </w:r>
      <w:r w:rsidR="00002EE6">
        <w:rPr>
          <w:rFonts w:eastAsia="Times New Roman"/>
        </w:rPr>
        <w:t>n updated</w:t>
      </w:r>
      <w:r w:rsidR="009224F4">
        <w:rPr>
          <w:rFonts w:eastAsia="Times New Roman"/>
        </w:rPr>
        <w:t xml:space="preserve"> </w:t>
      </w:r>
      <w:r w:rsidR="00A9375E">
        <w:rPr>
          <w:rFonts w:eastAsia="Times New Roman"/>
        </w:rPr>
        <w:t xml:space="preserve">energy statistics </w:t>
      </w:r>
      <w:r w:rsidR="009224F4">
        <w:rPr>
          <w:rFonts w:eastAsia="Times New Roman"/>
        </w:rPr>
        <w:t xml:space="preserve">calibration </w:t>
      </w:r>
      <w:r w:rsidR="00002EE6">
        <w:rPr>
          <w:rFonts w:eastAsia="Times New Roman"/>
        </w:rPr>
        <w:t>(</w:t>
      </w:r>
      <w:r w:rsidR="000C6CFE">
        <w:rPr>
          <w:rFonts w:eastAsia="Times New Roman"/>
        </w:rPr>
        <w:t>the most useful</w:t>
      </w:r>
      <w:r w:rsidR="00002EE6">
        <w:rPr>
          <w:rFonts w:eastAsia="Times New Roman"/>
        </w:rPr>
        <w:t xml:space="preserve"> combination among the key international and local sources) </w:t>
      </w:r>
      <w:r w:rsidR="009224F4">
        <w:rPr>
          <w:rFonts w:eastAsia="Times New Roman"/>
        </w:rPr>
        <w:t xml:space="preserve">to the </w:t>
      </w:r>
      <w:r w:rsidR="00002EE6">
        <w:rPr>
          <w:rFonts w:eastAsia="Times New Roman"/>
        </w:rPr>
        <w:t>most recent years</w:t>
      </w:r>
      <w:r w:rsidR="00FE77A5">
        <w:rPr>
          <w:rFonts w:eastAsia="Times New Roman"/>
        </w:rPr>
        <w:t xml:space="preserve">. </w:t>
      </w:r>
      <w:r w:rsidRPr="00AA6C68">
        <w:rPr>
          <w:rFonts w:eastAsia="Times New Roman"/>
        </w:rPr>
        <w:t xml:space="preserve">The main variables to be calibrated </w:t>
      </w:r>
      <w:proofErr w:type="gramStart"/>
      <w:r w:rsidRPr="00AA6C68">
        <w:rPr>
          <w:rFonts w:eastAsia="Times New Roman"/>
        </w:rPr>
        <w:t>are:</w:t>
      </w:r>
      <w:proofErr w:type="gramEnd"/>
      <w:r w:rsidRPr="00AA6C68">
        <w:rPr>
          <w:rFonts w:eastAsia="Times New Roman"/>
        </w:rPr>
        <w:t xml:space="preserve"> the</w:t>
      </w:r>
      <w:r w:rsidR="00FE77A5">
        <w:rPr>
          <w:rFonts w:eastAsia="Times New Roman"/>
        </w:rPr>
        <w:t xml:space="preserve"> </w:t>
      </w:r>
      <w:r w:rsidRPr="00AA6C68">
        <w:rPr>
          <w:rFonts w:eastAsia="Times New Roman"/>
        </w:rPr>
        <w:t>capacities</w:t>
      </w:r>
      <w:r w:rsidR="00002EE6">
        <w:rPr>
          <w:rFonts w:eastAsia="Times New Roman"/>
        </w:rPr>
        <w:t>/stocks</w:t>
      </w:r>
      <w:r w:rsidRPr="00AA6C68">
        <w:rPr>
          <w:rFonts w:eastAsia="Times New Roman"/>
        </w:rPr>
        <w:t xml:space="preserve"> and operating levels of all technologies, the extracted, exported,</w:t>
      </w:r>
      <w:r w:rsidR="00FE77A5">
        <w:rPr>
          <w:rFonts w:eastAsia="Times New Roman"/>
        </w:rPr>
        <w:t xml:space="preserve"> </w:t>
      </w:r>
      <w:r w:rsidRPr="00AA6C68">
        <w:rPr>
          <w:rFonts w:eastAsia="Times New Roman"/>
        </w:rPr>
        <w:t>imported, produced, and consumed quanti</w:t>
      </w:r>
      <w:r w:rsidR="00002EE6">
        <w:rPr>
          <w:rFonts w:eastAsia="Times New Roman"/>
        </w:rPr>
        <w:t>ties for all energy carriers, and the introduction</w:t>
      </w:r>
      <w:r w:rsidR="000C6CFE">
        <w:rPr>
          <w:rFonts w:eastAsia="Times New Roman"/>
        </w:rPr>
        <w:t>/representation</w:t>
      </w:r>
      <w:r w:rsidR="00002EE6">
        <w:rPr>
          <w:rFonts w:eastAsia="Times New Roman"/>
        </w:rPr>
        <w:t xml:space="preserve"> of recent (new) policy- and target-related elements (if any)</w:t>
      </w:r>
      <w:r w:rsidRPr="00AA6C68">
        <w:rPr>
          <w:rFonts w:eastAsia="Times New Roman"/>
        </w:rPr>
        <w:t>.</w:t>
      </w:r>
    </w:p>
    <w:p w14:paraId="15576119" w14:textId="51CEC9A2" w:rsidR="00083E04" w:rsidRDefault="00083E04">
      <w:pPr>
        <w:rPr>
          <w:rFonts w:eastAsia="Times New Roman"/>
          <w:b/>
          <w:u w:val="single"/>
        </w:rPr>
      </w:pPr>
    </w:p>
    <w:p w14:paraId="7258800A" w14:textId="2ACA326E" w:rsidR="00C322D3" w:rsidRDefault="000E6215" w:rsidP="00AA6C68">
      <w:pPr>
        <w:pStyle w:val="ListParagraph"/>
        <w:numPr>
          <w:ilvl w:val="0"/>
          <w:numId w:val="1"/>
        </w:numPr>
        <w:spacing w:before="100" w:beforeAutospacing="1" w:after="100" w:afterAutospacing="1" w:line="240" w:lineRule="auto"/>
        <w:rPr>
          <w:rFonts w:eastAsia="Times New Roman"/>
          <w:b/>
          <w:u w:val="single"/>
        </w:rPr>
      </w:pPr>
      <w:r w:rsidRPr="00AA6C68">
        <w:rPr>
          <w:rFonts w:eastAsia="Times New Roman"/>
          <w:b/>
          <w:u w:val="single"/>
        </w:rPr>
        <w:t>Mitigation</w:t>
      </w:r>
      <w:r w:rsidR="00083E04">
        <w:rPr>
          <w:rFonts w:eastAsia="Times New Roman"/>
          <w:b/>
          <w:u w:val="single"/>
        </w:rPr>
        <w:t xml:space="preserve"> </w:t>
      </w:r>
      <w:r w:rsidRPr="00AA6C68">
        <w:rPr>
          <w:rFonts w:eastAsia="Times New Roman"/>
          <w:b/>
          <w:u w:val="single"/>
        </w:rPr>
        <w:t>/</w:t>
      </w:r>
      <w:r w:rsidR="00083E04">
        <w:rPr>
          <w:rFonts w:eastAsia="Times New Roman"/>
          <w:b/>
          <w:u w:val="single"/>
        </w:rPr>
        <w:t xml:space="preserve"> </w:t>
      </w:r>
      <w:r w:rsidRPr="00AA6C68">
        <w:rPr>
          <w:rFonts w:eastAsia="Times New Roman"/>
          <w:b/>
          <w:u w:val="single"/>
        </w:rPr>
        <w:t>adaptation measures and technologies</w:t>
      </w:r>
    </w:p>
    <w:p w14:paraId="29FD6A5F" w14:textId="530486E3" w:rsidR="00083E04" w:rsidRDefault="009224F4" w:rsidP="00002EE6">
      <w:pPr>
        <w:spacing w:before="100" w:beforeAutospacing="1" w:after="100" w:afterAutospacing="1" w:line="240" w:lineRule="auto"/>
        <w:jc w:val="both"/>
        <w:rPr>
          <w:rFonts w:eastAsia="Times New Roman"/>
          <w:bCs/>
        </w:rPr>
      </w:pPr>
      <w:r w:rsidRPr="009224F4">
        <w:rPr>
          <w:rFonts w:eastAsia="Times New Roman"/>
          <w:bCs/>
        </w:rPr>
        <w:t>T</w:t>
      </w:r>
      <w:r w:rsidR="00002EE6">
        <w:rPr>
          <w:rFonts w:eastAsia="Times New Roman"/>
          <w:bCs/>
        </w:rPr>
        <w:t>IMES-CAC</w:t>
      </w:r>
      <w:r>
        <w:rPr>
          <w:rFonts w:eastAsia="Times New Roman"/>
          <w:bCs/>
        </w:rPr>
        <w:t xml:space="preserve"> is a technology-rich model that represents most major fossil fuel and low-carbon technologies that are envisaged to be available </w:t>
      </w:r>
      <w:r w:rsidR="00732192">
        <w:rPr>
          <w:rFonts w:eastAsia="Times New Roman"/>
          <w:bCs/>
        </w:rPr>
        <w:t xml:space="preserve">(for those systems) </w:t>
      </w:r>
      <w:r>
        <w:rPr>
          <w:rFonts w:eastAsia="Times New Roman"/>
          <w:bCs/>
        </w:rPr>
        <w:t>for at least the first half o</w:t>
      </w:r>
      <w:r w:rsidR="00BF7B88">
        <w:rPr>
          <w:rFonts w:eastAsia="Times New Roman"/>
          <w:bCs/>
        </w:rPr>
        <w:t>f</w:t>
      </w:r>
      <w:r>
        <w:rPr>
          <w:rFonts w:eastAsia="Times New Roman"/>
          <w:bCs/>
        </w:rPr>
        <w:t xml:space="preserve"> the 21</w:t>
      </w:r>
      <w:r w:rsidRPr="009224F4">
        <w:rPr>
          <w:rFonts w:eastAsia="Times New Roman"/>
          <w:bCs/>
          <w:vertAlign w:val="superscript"/>
        </w:rPr>
        <w:t>st</w:t>
      </w:r>
      <w:r>
        <w:rPr>
          <w:rFonts w:eastAsia="Times New Roman"/>
          <w:bCs/>
        </w:rPr>
        <w:t xml:space="preserve"> century. By simulating the substitution of low-carbon for high-carbon technologies in response to their relative costs, as well as emissions constraints and/or carbon prices, the </w:t>
      </w:r>
      <w:r w:rsidR="00002EE6">
        <w:rPr>
          <w:rFonts w:eastAsia="Times New Roman"/>
          <w:bCs/>
        </w:rPr>
        <w:t>m</w:t>
      </w:r>
      <w:r>
        <w:rPr>
          <w:rFonts w:eastAsia="Times New Roman"/>
          <w:bCs/>
        </w:rPr>
        <w:t xml:space="preserve">odel simulates mitigation. The principal </w:t>
      </w:r>
      <w:r w:rsidR="00230C9D">
        <w:rPr>
          <w:rFonts w:eastAsia="Times New Roman"/>
          <w:bCs/>
        </w:rPr>
        <w:t>energy sector CO</w:t>
      </w:r>
      <w:r w:rsidR="00230C9D" w:rsidRPr="00230C9D">
        <w:rPr>
          <w:rFonts w:eastAsia="Times New Roman"/>
          <w:bCs/>
          <w:vertAlign w:val="subscript"/>
        </w:rPr>
        <w:t>2</w:t>
      </w:r>
      <w:r w:rsidR="00230C9D">
        <w:rPr>
          <w:rFonts w:eastAsia="Times New Roman"/>
          <w:bCs/>
        </w:rPr>
        <w:t xml:space="preserve"> </w:t>
      </w:r>
      <w:r w:rsidR="004E2FBA">
        <w:rPr>
          <w:rFonts w:eastAsia="Times New Roman"/>
          <w:bCs/>
        </w:rPr>
        <w:t>(and non-</w:t>
      </w:r>
      <w:r w:rsidR="004E2FBA" w:rsidRPr="004E2FBA">
        <w:rPr>
          <w:rFonts w:eastAsia="Times New Roman"/>
          <w:bCs/>
        </w:rPr>
        <w:t xml:space="preserve"> </w:t>
      </w:r>
      <w:r w:rsidR="004E2FBA">
        <w:rPr>
          <w:rFonts w:eastAsia="Times New Roman"/>
          <w:bCs/>
        </w:rPr>
        <w:t>CO</w:t>
      </w:r>
      <w:r w:rsidR="004E2FBA" w:rsidRPr="00230C9D">
        <w:rPr>
          <w:rFonts w:eastAsia="Times New Roman"/>
          <w:bCs/>
          <w:vertAlign w:val="subscript"/>
        </w:rPr>
        <w:t>2</w:t>
      </w:r>
      <w:r w:rsidR="004E2FBA">
        <w:rPr>
          <w:rFonts w:eastAsia="Times New Roman"/>
          <w:bCs/>
        </w:rPr>
        <w:t xml:space="preserve">) </w:t>
      </w:r>
      <w:r>
        <w:rPr>
          <w:rFonts w:eastAsia="Times New Roman"/>
          <w:bCs/>
        </w:rPr>
        <w:t xml:space="preserve">mitigation </w:t>
      </w:r>
      <w:r w:rsidR="00230C9D">
        <w:rPr>
          <w:rFonts w:eastAsia="Times New Roman"/>
          <w:bCs/>
        </w:rPr>
        <w:t xml:space="preserve">options are shown in </w:t>
      </w:r>
      <w:r w:rsidR="00002EE6">
        <w:rPr>
          <w:rFonts w:eastAsia="Times New Roman"/>
          <w:bCs/>
        </w:rPr>
        <w:t>the following table</w:t>
      </w:r>
      <w:r w:rsidR="004E2FBA">
        <w:rPr>
          <w:rFonts w:eastAsia="Times New Roman"/>
          <w:bCs/>
        </w:rPr>
        <w:t xml:space="preserve"> (</w:t>
      </w:r>
      <w:r w:rsidR="004E2FBA" w:rsidRPr="00732192">
        <w:rPr>
          <w:rFonts w:eastAsia="Times New Roman"/>
          <w:bCs/>
          <w:i/>
        </w:rPr>
        <w:t>in black, the options available in the current version of the model</w:t>
      </w:r>
      <w:r w:rsidR="00732192">
        <w:rPr>
          <w:rFonts w:eastAsia="Times New Roman"/>
          <w:bCs/>
          <w:i/>
        </w:rPr>
        <w:t>,</w:t>
      </w:r>
      <w:r w:rsidR="004E2FBA" w:rsidRPr="00732192">
        <w:rPr>
          <w:rFonts w:eastAsia="Times New Roman"/>
          <w:bCs/>
          <w:i/>
        </w:rPr>
        <w:t xml:space="preserve"> in grey the ones that can be added</w:t>
      </w:r>
      <w:r w:rsidR="004E2FBA">
        <w:rPr>
          <w:rFonts w:eastAsia="Times New Roman"/>
          <w:bCs/>
        </w:rPr>
        <w:t>)</w:t>
      </w:r>
      <w:r w:rsidR="00230C9D">
        <w:rPr>
          <w:rFonts w:eastAsia="Times New Roman"/>
          <w:bCs/>
        </w:rPr>
        <w:t>.</w:t>
      </w:r>
      <w:r w:rsidR="00F904EE">
        <w:rPr>
          <w:rFonts w:eastAsia="Times New Roman"/>
          <w:bCs/>
        </w:rPr>
        <w:t xml:space="preserve"> Data will be revised and updated in the framework of the </w:t>
      </w:r>
      <w:r w:rsidR="00F904EE" w:rsidRPr="000C6CFE">
        <w:rPr>
          <w:rFonts w:eastAsia="Times New Roman"/>
          <w:bCs/>
          <w:i/>
        </w:rPr>
        <w:t>Paris Reinforce</w:t>
      </w:r>
      <w:r w:rsidR="00F904EE">
        <w:rPr>
          <w:rFonts w:eastAsia="Times New Roman"/>
          <w:bCs/>
        </w:rPr>
        <w:t xml:space="preserve"> project, and in accordance with the international database and feedback of local experts.</w:t>
      </w:r>
    </w:p>
    <w:p w14:paraId="4CA6C4E9" w14:textId="68486F17" w:rsidR="00230C9D" w:rsidRPr="00A9375E" w:rsidRDefault="00230C9D" w:rsidP="00083E04">
      <w:pPr>
        <w:spacing w:before="100" w:beforeAutospacing="1" w:after="100" w:afterAutospacing="1" w:line="240" w:lineRule="auto"/>
        <w:rPr>
          <w:rFonts w:eastAsia="Times New Roman"/>
          <w:b/>
          <w:bCs/>
          <w:i/>
          <w:iCs/>
          <w:sz w:val="20"/>
          <w:szCs w:val="20"/>
        </w:rPr>
      </w:pPr>
      <w:r w:rsidRPr="00A9375E">
        <w:rPr>
          <w:rFonts w:eastAsia="Times New Roman"/>
          <w:b/>
          <w:bCs/>
          <w:i/>
          <w:iCs/>
          <w:sz w:val="20"/>
          <w:szCs w:val="20"/>
        </w:rPr>
        <w:t>Table 2</w:t>
      </w:r>
      <w:r w:rsidR="00A9375E" w:rsidRPr="00A9375E">
        <w:rPr>
          <w:rFonts w:eastAsia="Times New Roman"/>
          <w:b/>
          <w:bCs/>
          <w:i/>
          <w:iCs/>
          <w:sz w:val="20"/>
          <w:szCs w:val="20"/>
        </w:rPr>
        <w:t xml:space="preserve"> -</w:t>
      </w:r>
      <w:r w:rsidRPr="00A9375E">
        <w:rPr>
          <w:rFonts w:eastAsia="Times New Roman"/>
          <w:b/>
          <w:bCs/>
          <w:i/>
          <w:iCs/>
          <w:sz w:val="20"/>
          <w:szCs w:val="20"/>
        </w:rPr>
        <w:t xml:space="preserve"> Main </w:t>
      </w:r>
      <w:r w:rsidR="0043180B">
        <w:rPr>
          <w:rFonts w:eastAsia="Times New Roman"/>
          <w:b/>
          <w:bCs/>
          <w:i/>
          <w:iCs/>
          <w:sz w:val="20"/>
          <w:szCs w:val="20"/>
        </w:rPr>
        <w:t>GHG</w:t>
      </w:r>
      <w:r w:rsidRPr="00A9375E">
        <w:rPr>
          <w:rFonts w:eastAsia="Times New Roman"/>
          <w:b/>
          <w:bCs/>
          <w:i/>
          <w:iCs/>
          <w:sz w:val="20"/>
          <w:szCs w:val="20"/>
          <w:vertAlign w:val="subscript"/>
        </w:rPr>
        <w:t xml:space="preserve"> </w:t>
      </w:r>
      <w:r w:rsidRPr="00A9375E">
        <w:rPr>
          <w:rFonts w:eastAsia="Times New Roman"/>
          <w:b/>
          <w:bCs/>
          <w:i/>
          <w:iCs/>
          <w:sz w:val="20"/>
          <w:szCs w:val="20"/>
        </w:rPr>
        <w:t>energy system mitigation options in T</w:t>
      </w:r>
      <w:r w:rsidR="0043180B">
        <w:rPr>
          <w:rFonts w:eastAsia="Times New Roman"/>
          <w:b/>
          <w:bCs/>
          <w:i/>
          <w:iCs/>
          <w:sz w:val="20"/>
          <w:szCs w:val="20"/>
        </w:rPr>
        <w:t>IMES-CAC</w:t>
      </w:r>
    </w:p>
    <w:tbl>
      <w:tblPr>
        <w:tblStyle w:val="TableGrid"/>
        <w:tblW w:w="0" w:type="auto"/>
        <w:tblLook w:val="04A0" w:firstRow="1" w:lastRow="0" w:firstColumn="1" w:lastColumn="0" w:noHBand="0" w:noVBand="1"/>
      </w:tblPr>
      <w:tblGrid>
        <w:gridCol w:w="4675"/>
        <w:gridCol w:w="4675"/>
      </w:tblGrid>
      <w:tr w:rsidR="003974C7" w14:paraId="30CA01C9" w14:textId="77777777" w:rsidTr="009A3758">
        <w:tc>
          <w:tcPr>
            <w:tcW w:w="9350" w:type="dxa"/>
            <w:gridSpan w:val="2"/>
          </w:tcPr>
          <w:p w14:paraId="4CD55FD3" w14:textId="4E56EF5A" w:rsidR="003974C7" w:rsidRPr="00230C9D" w:rsidRDefault="003974C7" w:rsidP="003974C7">
            <w:pPr>
              <w:spacing w:before="100" w:beforeAutospacing="1" w:after="100" w:afterAutospacing="1"/>
              <w:jc w:val="center"/>
              <w:rPr>
                <w:rFonts w:eastAsia="Times New Roman"/>
                <w:bCs/>
                <w:sz w:val="14"/>
              </w:rPr>
            </w:pPr>
            <w:r w:rsidRPr="00230C9D">
              <w:rPr>
                <w:rFonts w:eastAsia="Times New Roman"/>
                <w:b/>
                <w:sz w:val="14"/>
              </w:rPr>
              <w:t>Upstream</w:t>
            </w:r>
          </w:p>
        </w:tc>
      </w:tr>
      <w:tr w:rsidR="003974C7" w14:paraId="5C7DE618" w14:textId="77777777" w:rsidTr="003974C7">
        <w:tc>
          <w:tcPr>
            <w:tcW w:w="4675" w:type="dxa"/>
          </w:tcPr>
          <w:p w14:paraId="50B35795" w14:textId="326A2A17" w:rsidR="003974C7" w:rsidRPr="00230C9D" w:rsidRDefault="003974C7" w:rsidP="009224F4">
            <w:pPr>
              <w:spacing w:before="100" w:beforeAutospacing="1" w:after="100" w:afterAutospacing="1"/>
              <w:rPr>
                <w:rFonts w:eastAsia="Times New Roman"/>
                <w:b/>
                <w:i/>
                <w:iCs/>
                <w:sz w:val="14"/>
              </w:rPr>
            </w:pPr>
            <w:r w:rsidRPr="00230C9D">
              <w:rPr>
                <w:rFonts w:eastAsia="Times New Roman"/>
                <w:b/>
                <w:i/>
                <w:iCs/>
                <w:sz w:val="14"/>
              </w:rPr>
              <w:t>Synthetic fuel production</w:t>
            </w:r>
          </w:p>
        </w:tc>
        <w:tc>
          <w:tcPr>
            <w:tcW w:w="4675" w:type="dxa"/>
          </w:tcPr>
          <w:p w14:paraId="0B33C79F" w14:textId="3F2AAC71" w:rsidR="003974C7" w:rsidRPr="00230C9D" w:rsidRDefault="003974C7" w:rsidP="009224F4">
            <w:pPr>
              <w:spacing w:before="100" w:beforeAutospacing="1" w:after="100" w:afterAutospacing="1"/>
              <w:rPr>
                <w:rFonts w:eastAsia="Times New Roman"/>
                <w:b/>
                <w:i/>
                <w:iCs/>
                <w:sz w:val="14"/>
              </w:rPr>
            </w:pPr>
            <w:r w:rsidRPr="00230C9D">
              <w:rPr>
                <w:rFonts w:eastAsia="Times New Roman"/>
                <w:b/>
                <w:i/>
                <w:iCs/>
                <w:sz w:val="14"/>
              </w:rPr>
              <w:t>Hydrogen production</w:t>
            </w:r>
          </w:p>
        </w:tc>
      </w:tr>
      <w:tr w:rsidR="003974C7" w14:paraId="7F280485" w14:textId="77777777" w:rsidTr="003974C7">
        <w:tc>
          <w:tcPr>
            <w:tcW w:w="4675" w:type="dxa"/>
          </w:tcPr>
          <w:p w14:paraId="55B634D4" w14:textId="4A1581CE" w:rsidR="00810D05" w:rsidRPr="00810D05" w:rsidRDefault="00810D05" w:rsidP="00810D05">
            <w:pPr>
              <w:spacing w:before="100" w:beforeAutospacing="1" w:after="100" w:afterAutospacing="1"/>
              <w:contextualSpacing/>
              <w:rPr>
                <w:rFonts w:eastAsia="Times New Roman"/>
                <w:bCs/>
                <w:color w:val="000000" w:themeColor="text1"/>
                <w:sz w:val="14"/>
              </w:rPr>
            </w:pPr>
            <w:r w:rsidRPr="00810D05">
              <w:rPr>
                <w:rFonts w:eastAsia="Times New Roman"/>
                <w:bCs/>
                <w:color w:val="000000" w:themeColor="text1"/>
                <w:sz w:val="14"/>
              </w:rPr>
              <w:t>Coal to gas without CCS</w:t>
            </w:r>
          </w:p>
          <w:p w14:paraId="379E7953" w14:textId="5A0946FC" w:rsidR="00810D05" w:rsidRPr="00810D05" w:rsidRDefault="00810D05" w:rsidP="00810D05">
            <w:pPr>
              <w:spacing w:before="100" w:beforeAutospacing="1" w:after="100" w:afterAutospacing="1"/>
              <w:contextualSpacing/>
              <w:rPr>
                <w:rFonts w:eastAsia="Times New Roman"/>
                <w:bCs/>
                <w:color w:val="000000" w:themeColor="text1"/>
                <w:sz w:val="14"/>
              </w:rPr>
            </w:pPr>
            <w:r w:rsidRPr="00810D05">
              <w:rPr>
                <w:rFonts w:eastAsia="Times New Roman"/>
                <w:bCs/>
                <w:color w:val="000000" w:themeColor="text1"/>
                <w:sz w:val="14"/>
              </w:rPr>
              <w:t>Coal to liquids without CCS</w:t>
            </w:r>
          </w:p>
          <w:p w14:paraId="30F51308" w14:textId="21310511" w:rsidR="00810D05" w:rsidRPr="00810D05" w:rsidRDefault="00810D05" w:rsidP="003974C7">
            <w:pPr>
              <w:spacing w:before="100" w:beforeAutospacing="1" w:after="100" w:afterAutospacing="1"/>
              <w:contextualSpacing/>
              <w:rPr>
                <w:rFonts w:eastAsia="Times New Roman"/>
                <w:bCs/>
                <w:color w:val="000000" w:themeColor="text1"/>
                <w:sz w:val="14"/>
              </w:rPr>
            </w:pPr>
            <w:r w:rsidRPr="00810D05">
              <w:rPr>
                <w:rFonts w:eastAsia="Times New Roman"/>
                <w:bCs/>
                <w:color w:val="000000" w:themeColor="text1"/>
                <w:sz w:val="14"/>
              </w:rPr>
              <w:t>Biomass to gas without CCS</w:t>
            </w:r>
          </w:p>
          <w:p w14:paraId="2EC26C5D" w14:textId="77777777"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Coal to gas with CCS</w:t>
            </w:r>
          </w:p>
          <w:p w14:paraId="36B852B3" w14:textId="77777777"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Coal to liquids with CCS</w:t>
            </w:r>
          </w:p>
          <w:p w14:paraId="1D55D313" w14:textId="77777777"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Gas to liquids with CCS</w:t>
            </w:r>
          </w:p>
          <w:p w14:paraId="64F0FD8F" w14:textId="4DFFFE02" w:rsidR="00810D05" w:rsidRPr="00230C9D" w:rsidRDefault="003974C7" w:rsidP="00230C9D">
            <w:pPr>
              <w:spacing w:before="100" w:beforeAutospacing="1" w:after="100" w:afterAutospacing="1"/>
              <w:contextualSpacing/>
              <w:rPr>
                <w:rFonts w:eastAsia="Times New Roman"/>
                <w:bCs/>
                <w:sz w:val="14"/>
              </w:rPr>
            </w:pPr>
            <w:r w:rsidRPr="001C270D">
              <w:rPr>
                <w:rFonts w:eastAsia="Times New Roman"/>
                <w:bCs/>
                <w:i/>
                <w:color w:val="A6A6A6" w:themeColor="background1" w:themeShade="A6"/>
                <w:sz w:val="14"/>
              </w:rPr>
              <w:t>Biomass to liquids</w:t>
            </w:r>
            <w:r w:rsidR="00230C9D" w:rsidRPr="001C270D">
              <w:rPr>
                <w:rFonts w:eastAsia="Times New Roman"/>
                <w:bCs/>
                <w:i/>
                <w:color w:val="A6A6A6" w:themeColor="background1" w:themeShade="A6"/>
                <w:sz w:val="14"/>
              </w:rPr>
              <w:t xml:space="preserve"> (with and without CCS)</w:t>
            </w:r>
          </w:p>
        </w:tc>
        <w:tc>
          <w:tcPr>
            <w:tcW w:w="4675" w:type="dxa"/>
          </w:tcPr>
          <w:p w14:paraId="0CA4DE68" w14:textId="77777777" w:rsidR="003974C7" w:rsidRPr="00230C9D" w:rsidRDefault="003974C7" w:rsidP="003974C7">
            <w:pPr>
              <w:spacing w:before="100" w:beforeAutospacing="1" w:after="100" w:afterAutospacing="1"/>
              <w:contextualSpacing/>
              <w:rPr>
                <w:rFonts w:eastAsia="Times New Roman"/>
                <w:bCs/>
                <w:sz w:val="14"/>
              </w:rPr>
            </w:pPr>
            <w:r w:rsidRPr="00230C9D">
              <w:rPr>
                <w:rFonts w:eastAsia="Times New Roman"/>
                <w:bCs/>
                <w:sz w:val="14"/>
              </w:rPr>
              <w:t>Electrolysis</w:t>
            </w:r>
          </w:p>
          <w:p w14:paraId="430D1264" w14:textId="77777777" w:rsidR="003974C7" w:rsidRPr="00230C9D" w:rsidRDefault="003974C7" w:rsidP="003974C7">
            <w:pPr>
              <w:spacing w:before="100" w:beforeAutospacing="1" w:after="100" w:afterAutospacing="1"/>
              <w:contextualSpacing/>
              <w:rPr>
                <w:rFonts w:eastAsia="Times New Roman"/>
                <w:bCs/>
                <w:sz w:val="14"/>
              </w:rPr>
            </w:pPr>
            <w:r w:rsidRPr="00230C9D">
              <w:rPr>
                <w:rFonts w:eastAsia="Times New Roman"/>
                <w:bCs/>
                <w:sz w:val="14"/>
              </w:rPr>
              <w:t>Coal to hydrogen with CCS</w:t>
            </w:r>
          </w:p>
          <w:p w14:paraId="0007D34D" w14:textId="77777777"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Gas to hydrogen with CCS</w:t>
            </w:r>
          </w:p>
          <w:p w14:paraId="0C3C44CC" w14:textId="3B2E7191" w:rsidR="003974C7" w:rsidRPr="00230C9D" w:rsidRDefault="003974C7" w:rsidP="003974C7">
            <w:pPr>
              <w:spacing w:before="100" w:beforeAutospacing="1" w:after="100" w:afterAutospacing="1"/>
              <w:contextualSpacing/>
              <w:rPr>
                <w:rFonts w:eastAsia="Times New Roman"/>
                <w:bCs/>
                <w:sz w:val="14"/>
              </w:rPr>
            </w:pPr>
            <w:r w:rsidRPr="001C270D">
              <w:rPr>
                <w:rFonts w:eastAsia="Times New Roman"/>
                <w:bCs/>
                <w:i/>
                <w:color w:val="A6A6A6" w:themeColor="background1" w:themeShade="A6"/>
                <w:sz w:val="14"/>
              </w:rPr>
              <w:t>Biomass to hydrogen with CCS</w:t>
            </w:r>
          </w:p>
        </w:tc>
      </w:tr>
      <w:tr w:rsidR="003974C7" w14:paraId="07A82AFE" w14:textId="77777777" w:rsidTr="009A3758">
        <w:tc>
          <w:tcPr>
            <w:tcW w:w="9350" w:type="dxa"/>
            <w:gridSpan w:val="2"/>
          </w:tcPr>
          <w:p w14:paraId="164C4963" w14:textId="327D84C1" w:rsidR="003974C7" w:rsidRPr="00230C9D" w:rsidRDefault="003974C7" w:rsidP="009A3758">
            <w:pPr>
              <w:spacing w:before="100" w:beforeAutospacing="1" w:after="100" w:afterAutospacing="1"/>
              <w:jc w:val="center"/>
              <w:rPr>
                <w:rFonts w:eastAsia="Times New Roman"/>
                <w:bCs/>
                <w:sz w:val="14"/>
              </w:rPr>
            </w:pPr>
            <w:r w:rsidRPr="00230C9D">
              <w:rPr>
                <w:rFonts w:eastAsia="Times New Roman"/>
                <w:b/>
                <w:sz w:val="14"/>
              </w:rPr>
              <w:t>Electricity and heat</w:t>
            </w:r>
          </w:p>
        </w:tc>
      </w:tr>
      <w:tr w:rsidR="003974C7" w:rsidRPr="003974C7" w14:paraId="6374290F" w14:textId="77777777" w:rsidTr="009A3758">
        <w:tc>
          <w:tcPr>
            <w:tcW w:w="4675" w:type="dxa"/>
          </w:tcPr>
          <w:p w14:paraId="59860573" w14:textId="408F99B0" w:rsidR="003974C7" w:rsidRPr="00230C9D" w:rsidRDefault="003974C7" w:rsidP="009A3758">
            <w:pPr>
              <w:spacing w:before="100" w:beforeAutospacing="1" w:after="100" w:afterAutospacing="1"/>
              <w:rPr>
                <w:rFonts w:eastAsia="Times New Roman"/>
                <w:b/>
                <w:i/>
                <w:iCs/>
                <w:sz w:val="14"/>
              </w:rPr>
            </w:pPr>
            <w:r w:rsidRPr="00230C9D">
              <w:rPr>
                <w:rFonts w:eastAsia="Times New Roman"/>
                <w:b/>
                <w:i/>
                <w:iCs/>
                <w:sz w:val="14"/>
              </w:rPr>
              <w:t>Electricity generation</w:t>
            </w:r>
          </w:p>
        </w:tc>
        <w:tc>
          <w:tcPr>
            <w:tcW w:w="4675" w:type="dxa"/>
          </w:tcPr>
          <w:p w14:paraId="058BE8F1" w14:textId="72F5DFA4" w:rsidR="003974C7" w:rsidRPr="00230C9D" w:rsidRDefault="003974C7" w:rsidP="009A3758">
            <w:pPr>
              <w:spacing w:before="100" w:beforeAutospacing="1" w:after="100" w:afterAutospacing="1"/>
              <w:rPr>
                <w:rFonts w:eastAsia="Times New Roman"/>
                <w:b/>
                <w:i/>
                <w:iCs/>
                <w:sz w:val="14"/>
              </w:rPr>
            </w:pPr>
            <w:r w:rsidRPr="00230C9D">
              <w:rPr>
                <w:rFonts w:eastAsia="Times New Roman"/>
                <w:b/>
                <w:i/>
                <w:iCs/>
                <w:sz w:val="14"/>
              </w:rPr>
              <w:t>Heat generation</w:t>
            </w:r>
          </w:p>
        </w:tc>
      </w:tr>
      <w:tr w:rsidR="003974C7" w14:paraId="482747F2" w14:textId="77777777" w:rsidTr="009A3758">
        <w:tc>
          <w:tcPr>
            <w:tcW w:w="4675" w:type="dxa"/>
          </w:tcPr>
          <w:p w14:paraId="7A581789" w14:textId="52832945"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Coal with CCS</w:t>
            </w:r>
          </w:p>
          <w:p w14:paraId="208BE2F9" w14:textId="2063EBB7"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Gas with CCS</w:t>
            </w:r>
          </w:p>
          <w:p w14:paraId="318F3C34" w14:textId="57CC0C2B" w:rsidR="003974C7" w:rsidRPr="001C270D" w:rsidRDefault="003974C7" w:rsidP="009A3758">
            <w:pPr>
              <w:spacing w:before="100" w:beforeAutospacing="1" w:after="100" w:afterAutospacing="1"/>
              <w:contextualSpacing/>
              <w:rPr>
                <w:rFonts w:eastAsia="Times New Roman"/>
                <w:bCs/>
                <w:i/>
                <w:sz w:val="14"/>
              </w:rPr>
            </w:pPr>
            <w:r w:rsidRPr="001C270D">
              <w:rPr>
                <w:rFonts w:eastAsia="Times New Roman"/>
                <w:bCs/>
                <w:i/>
                <w:color w:val="A6A6A6" w:themeColor="background1" w:themeShade="A6"/>
                <w:sz w:val="14"/>
              </w:rPr>
              <w:t>Nuclear (fission and fusion)</w:t>
            </w:r>
          </w:p>
          <w:p w14:paraId="5F05773F" w14:textId="427B72A7"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Hydro</w:t>
            </w:r>
          </w:p>
          <w:p w14:paraId="529CD124" w14:textId="4D59C2D2"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 xml:space="preserve">Biomass </w:t>
            </w:r>
            <w:r w:rsidR="00230C9D">
              <w:rPr>
                <w:rFonts w:eastAsia="Times New Roman"/>
                <w:bCs/>
                <w:sz w:val="14"/>
              </w:rPr>
              <w:t>(with and without CCS)</w:t>
            </w:r>
          </w:p>
          <w:p w14:paraId="41C75661" w14:textId="77777777"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Geothermal</w:t>
            </w:r>
          </w:p>
          <w:p w14:paraId="78D24945" w14:textId="77777777"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Solar PV</w:t>
            </w:r>
          </w:p>
          <w:p w14:paraId="3854E701" w14:textId="77777777"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Solar CSP</w:t>
            </w:r>
          </w:p>
          <w:p w14:paraId="56F2EECC" w14:textId="77777777" w:rsidR="003974C7" w:rsidRPr="00230C9D" w:rsidRDefault="003974C7" w:rsidP="009A3758">
            <w:pPr>
              <w:spacing w:before="100" w:beforeAutospacing="1" w:after="100" w:afterAutospacing="1"/>
              <w:contextualSpacing/>
              <w:rPr>
                <w:rFonts w:eastAsia="Times New Roman"/>
                <w:bCs/>
                <w:sz w:val="14"/>
              </w:rPr>
            </w:pPr>
            <w:r w:rsidRPr="00230C9D">
              <w:rPr>
                <w:rFonts w:eastAsia="Times New Roman"/>
                <w:bCs/>
                <w:sz w:val="14"/>
              </w:rPr>
              <w:t>Wind (onshore and offshore)</w:t>
            </w:r>
          </w:p>
          <w:p w14:paraId="6FBC9C5A" w14:textId="554ADBDD" w:rsidR="003974C7" w:rsidRPr="001C270D" w:rsidRDefault="003974C7" w:rsidP="009A3758">
            <w:pPr>
              <w:spacing w:before="100" w:beforeAutospacing="1" w:after="100" w:afterAutospacing="1"/>
              <w:contextualSpacing/>
              <w:rPr>
                <w:rFonts w:eastAsia="Times New Roman"/>
                <w:bCs/>
                <w:i/>
                <w:sz w:val="14"/>
              </w:rPr>
            </w:pPr>
            <w:r w:rsidRPr="001C270D">
              <w:rPr>
                <w:rFonts w:eastAsia="Times New Roman"/>
                <w:bCs/>
                <w:i/>
                <w:color w:val="A6A6A6" w:themeColor="background1" w:themeShade="A6"/>
                <w:sz w:val="14"/>
              </w:rPr>
              <w:t>Marine</w:t>
            </w:r>
          </w:p>
        </w:tc>
        <w:tc>
          <w:tcPr>
            <w:tcW w:w="4675" w:type="dxa"/>
          </w:tcPr>
          <w:p w14:paraId="4E8D54F6" w14:textId="77777777"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Coal with CCS</w:t>
            </w:r>
          </w:p>
          <w:p w14:paraId="1F0130B8" w14:textId="77777777"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Gas with CCS</w:t>
            </w:r>
          </w:p>
          <w:p w14:paraId="0EBA2386" w14:textId="686EF436" w:rsidR="003974C7" w:rsidRPr="001C270D" w:rsidRDefault="003974C7" w:rsidP="003974C7">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Oil with CCS</w:t>
            </w:r>
          </w:p>
          <w:p w14:paraId="0D219A26" w14:textId="77777777" w:rsidR="00CB3C5B" w:rsidRPr="001C270D" w:rsidRDefault="003974C7" w:rsidP="00CB3C5B">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Geothermal</w:t>
            </w:r>
            <w:r w:rsidR="00CB3C5B" w:rsidRPr="001C270D">
              <w:rPr>
                <w:rFonts w:eastAsia="Times New Roman"/>
                <w:bCs/>
                <w:i/>
                <w:color w:val="A6A6A6" w:themeColor="background1" w:themeShade="A6"/>
                <w:sz w:val="14"/>
              </w:rPr>
              <w:t xml:space="preserve"> </w:t>
            </w:r>
          </w:p>
          <w:p w14:paraId="350D2C49" w14:textId="5D234B4A" w:rsidR="00CB3C5B" w:rsidRPr="00230C9D" w:rsidRDefault="00CB3C5B" w:rsidP="00CB3C5B">
            <w:pPr>
              <w:spacing w:before="100" w:beforeAutospacing="1" w:after="100" w:afterAutospacing="1"/>
              <w:contextualSpacing/>
              <w:rPr>
                <w:rFonts w:eastAsia="Times New Roman"/>
                <w:bCs/>
                <w:sz w:val="14"/>
              </w:rPr>
            </w:pPr>
            <w:r w:rsidRPr="00230C9D">
              <w:rPr>
                <w:rFonts w:eastAsia="Times New Roman"/>
                <w:bCs/>
                <w:sz w:val="14"/>
              </w:rPr>
              <w:t xml:space="preserve">Biomass </w:t>
            </w:r>
          </w:p>
          <w:p w14:paraId="5568BA12" w14:textId="77777777" w:rsidR="00CB3C5B" w:rsidRPr="001C270D" w:rsidRDefault="00CB3C5B" w:rsidP="00CB3C5B">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Biomass with CCS</w:t>
            </w:r>
          </w:p>
          <w:p w14:paraId="090962FD" w14:textId="321997BE" w:rsidR="003974C7" w:rsidRPr="00230C9D" w:rsidRDefault="003974C7" w:rsidP="003974C7">
            <w:pPr>
              <w:spacing w:before="100" w:beforeAutospacing="1" w:after="100" w:afterAutospacing="1"/>
              <w:contextualSpacing/>
              <w:rPr>
                <w:rFonts w:eastAsia="Times New Roman"/>
                <w:b/>
                <w:sz w:val="14"/>
              </w:rPr>
            </w:pPr>
          </w:p>
        </w:tc>
      </w:tr>
      <w:tr w:rsidR="00CB3C5B" w14:paraId="2274404D" w14:textId="77777777" w:rsidTr="009A3758">
        <w:tc>
          <w:tcPr>
            <w:tcW w:w="9350" w:type="dxa"/>
            <w:gridSpan w:val="2"/>
          </w:tcPr>
          <w:p w14:paraId="69EF754F" w14:textId="0C32076D" w:rsidR="00CB3C5B" w:rsidRPr="00230C9D" w:rsidRDefault="00CB3C5B" w:rsidP="009A3758">
            <w:pPr>
              <w:spacing w:before="100" w:beforeAutospacing="1" w:after="100" w:afterAutospacing="1"/>
              <w:jc w:val="center"/>
              <w:rPr>
                <w:rFonts w:eastAsia="Times New Roman"/>
                <w:bCs/>
                <w:sz w:val="14"/>
              </w:rPr>
            </w:pPr>
            <w:r w:rsidRPr="00230C9D">
              <w:rPr>
                <w:rFonts w:eastAsia="Times New Roman"/>
                <w:b/>
                <w:sz w:val="14"/>
              </w:rPr>
              <w:lastRenderedPageBreak/>
              <w:t>Transport</w:t>
            </w:r>
          </w:p>
        </w:tc>
      </w:tr>
      <w:tr w:rsidR="00CB3C5B" w:rsidRPr="003974C7" w14:paraId="1F9DBB3E" w14:textId="77777777" w:rsidTr="009A3758">
        <w:tc>
          <w:tcPr>
            <w:tcW w:w="4675" w:type="dxa"/>
          </w:tcPr>
          <w:p w14:paraId="60D39353" w14:textId="6EE73D63" w:rsidR="00CB3C5B" w:rsidRPr="00230C9D" w:rsidRDefault="00CB3C5B" w:rsidP="009A3758">
            <w:pPr>
              <w:spacing w:before="100" w:beforeAutospacing="1" w:after="100" w:afterAutospacing="1"/>
              <w:rPr>
                <w:rFonts w:eastAsia="Times New Roman"/>
                <w:b/>
                <w:i/>
                <w:iCs/>
                <w:sz w:val="14"/>
              </w:rPr>
            </w:pPr>
            <w:r w:rsidRPr="00230C9D">
              <w:rPr>
                <w:rFonts w:eastAsia="Times New Roman"/>
                <w:b/>
                <w:i/>
                <w:iCs/>
                <w:sz w:val="14"/>
              </w:rPr>
              <w:t>Road</w:t>
            </w:r>
          </w:p>
        </w:tc>
        <w:tc>
          <w:tcPr>
            <w:tcW w:w="4675" w:type="dxa"/>
          </w:tcPr>
          <w:p w14:paraId="2FC7D0B0" w14:textId="09580FE9" w:rsidR="00CB3C5B" w:rsidRPr="00230C9D" w:rsidRDefault="00CB3C5B" w:rsidP="009A3758">
            <w:pPr>
              <w:spacing w:before="100" w:beforeAutospacing="1" w:after="100" w:afterAutospacing="1"/>
              <w:rPr>
                <w:rFonts w:eastAsia="Times New Roman"/>
                <w:b/>
                <w:i/>
                <w:iCs/>
                <w:sz w:val="14"/>
              </w:rPr>
            </w:pPr>
            <w:r w:rsidRPr="00230C9D">
              <w:rPr>
                <w:rFonts w:eastAsia="Times New Roman"/>
                <w:b/>
                <w:i/>
                <w:iCs/>
                <w:sz w:val="14"/>
              </w:rPr>
              <w:t>Rail</w:t>
            </w:r>
          </w:p>
        </w:tc>
      </w:tr>
      <w:tr w:rsidR="00CB3C5B" w14:paraId="41043FBF" w14:textId="77777777" w:rsidTr="009A3758">
        <w:tc>
          <w:tcPr>
            <w:tcW w:w="4675" w:type="dxa"/>
          </w:tcPr>
          <w:p w14:paraId="67D9CFA3" w14:textId="77777777"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Gas (LNG / CNG) vehicles</w:t>
            </w:r>
          </w:p>
          <w:p w14:paraId="1D960845" w14:textId="77777777"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Hybrid electric vehicles</w:t>
            </w:r>
          </w:p>
          <w:p w14:paraId="022EB42C" w14:textId="77777777"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Fully electric vehicles</w:t>
            </w:r>
          </w:p>
          <w:p w14:paraId="1C9C98E6" w14:textId="77777777"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Hydrogen fuel cell vehicles</w:t>
            </w:r>
          </w:p>
          <w:p w14:paraId="6F60D5E9" w14:textId="77777777"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Biofuels in fuel mix</w:t>
            </w:r>
          </w:p>
          <w:p w14:paraId="531A4091" w14:textId="1933DA3A"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Efficiency</w:t>
            </w:r>
          </w:p>
        </w:tc>
        <w:tc>
          <w:tcPr>
            <w:tcW w:w="4675" w:type="dxa"/>
          </w:tcPr>
          <w:p w14:paraId="4E7F2631" w14:textId="77777777"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Electric</w:t>
            </w:r>
          </w:p>
          <w:p w14:paraId="7351E039" w14:textId="77777777" w:rsidR="00CB3C5B" w:rsidRPr="001C270D" w:rsidRDefault="00CB3C5B" w:rsidP="009A3758">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Hydrogen</w:t>
            </w:r>
          </w:p>
          <w:p w14:paraId="78110BF2" w14:textId="2D621182" w:rsidR="00CB3C5B" w:rsidRPr="001C270D" w:rsidRDefault="00CB3C5B" w:rsidP="009A3758">
            <w:pPr>
              <w:spacing w:before="100" w:beforeAutospacing="1" w:after="100" w:afterAutospacing="1"/>
              <w:contextualSpacing/>
              <w:rPr>
                <w:rFonts w:eastAsia="Times New Roman"/>
                <w:bCs/>
                <w:i/>
                <w:sz w:val="14"/>
              </w:rPr>
            </w:pPr>
            <w:r w:rsidRPr="001C270D">
              <w:rPr>
                <w:rFonts w:eastAsia="Times New Roman"/>
                <w:bCs/>
                <w:i/>
                <w:color w:val="A6A6A6" w:themeColor="background1" w:themeShade="A6"/>
                <w:sz w:val="14"/>
              </w:rPr>
              <w:t>Efficiency</w:t>
            </w:r>
          </w:p>
        </w:tc>
      </w:tr>
      <w:tr w:rsidR="00CB3C5B" w:rsidRPr="003974C7" w14:paraId="050152DB" w14:textId="77777777" w:rsidTr="00CB3C5B">
        <w:tc>
          <w:tcPr>
            <w:tcW w:w="4675" w:type="dxa"/>
          </w:tcPr>
          <w:p w14:paraId="73B9FAC7" w14:textId="616F9CBF" w:rsidR="00CB3C5B" w:rsidRPr="00230C9D" w:rsidRDefault="00CB3C5B" w:rsidP="009A3758">
            <w:pPr>
              <w:spacing w:before="100" w:beforeAutospacing="1" w:after="100" w:afterAutospacing="1"/>
              <w:rPr>
                <w:rFonts w:eastAsia="Times New Roman"/>
                <w:b/>
                <w:i/>
                <w:iCs/>
                <w:sz w:val="14"/>
              </w:rPr>
            </w:pPr>
            <w:r w:rsidRPr="00230C9D">
              <w:rPr>
                <w:rFonts w:eastAsia="Times New Roman"/>
                <w:b/>
                <w:i/>
                <w:iCs/>
                <w:sz w:val="14"/>
              </w:rPr>
              <w:t>Air</w:t>
            </w:r>
          </w:p>
        </w:tc>
        <w:tc>
          <w:tcPr>
            <w:tcW w:w="4675" w:type="dxa"/>
          </w:tcPr>
          <w:p w14:paraId="40D6A193" w14:textId="75DEF096" w:rsidR="00CB3C5B" w:rsidRPr="00230C9D" w:rsidRDefault="00CB3C5B" w:rsidP="009A3758">
            <w:pPr>
              <w:spacing w:before="100" w:beforeAutospacing="1" w:after="100" w:afterAutospacing="1"/>
              <w:rPr>
                <w:rFonts w:eastAsia="Times New Roman"/>
                <w:b/>
                <w:i/>
                <w:iCs/>
                <w:sz w:val="14"/>
              </w:rPr>
            </w:pPr>
            <w:r w:rsidRPr="00230C9D">
              <w:rPr>
                <w:rFonts w:eastAsia="Times New Roman"/>
                <w:b/>
                <w:i/>
                <w:iCs/>
                <w:sz w:val="14"/>
              </w:rPr>
              <w:t>Marine</w:t>
            </w:r>
          </w:p>
        </w:tc>
      </w:tr>
      <w:tr w:rsidR="00CB3C5B" w14:paraId="36FAF355" w14:textId="77777777" w:rsidTr="00CB3C5B">
        <w:tc>
          <w:tcPr>
            <w:tcW w:w="4675" w:type="dxa"/>
          </w:tcPr>
          <w:p w14:paraId="504202A0" w14:textId="04C090FF" w:rsidR="00CB3C5B" w:rsidRPr="00230C9D" w:rsidRDefault="00CB3C5B" w:rsidP="009A3758">
            <w:pPr>
              <w:spacing w:before="100" w:beforeAutospacing="1" w:after="100" w:afterAutospacing="1"/>
              <w:contextualSpacing/>
              <w:rPr>
                <w:rFonts w:eastAsia="Times New Roman"/>
                <w:bCs/>
                <w:sz w:val="14"/>
              </w:rPr>
            </w:pPr>
            <w:r w:rsidRPr="00230C9D">
              <w:rPr>
                <w:rFonts w:eastAsia="Times New Roman"/>
                <w:bCs/>
                <w:sz w:val="14"/>
              </w:rPr>
              <w:t>Biofuels in fuel mix</w:t>
            </w:r>
          </w:p>
          <w:p w14:paraId="6A874CB1" w14:textId="7B28B405" w:rsidR="00CB3C5B" w:rsidRPr="001C270D" w:rsidRDefault="00CB3C5B" w:rsidP="009A3758">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Hydrogen planes</w:t>
            </w:r>
          </w:p>
          <w:p w14:paraId="0F6B84D3" w14:textId="77777777" w:rsidR="00CB3C5B" w:rsidRPr="00230C9D" w:rsidRDefault="00CB3C5B" w:rsidP="009A3758">
            <w:pPr>
              <w:spacing w:before="100" w:beforeAutospacing="1" w:after="100" w:afterAutospacing="1"/>
              <w:contextualSpacing/>
              <w:rPr>
                <w:rFonts w:eastAsia="Times New Roman"/>
                <w:bCs/>
                <w:sz w:val="14"/>
              </w:rPr>
            </w:pPr>
            <w:r w:rsidRPr="001C270D">
              <w:rPr>
                <w:rFonts w:eastAsia="Times New Roman"/>
                <w:bCs/>
                <w:i/>
                <w:color w:val="A6A6A6" w:themeColor="background1" w:themeShade="A6"/>
                <w:sz w:val="14"/>
              </w:rPr>
              <w:t>Efficiency</w:t>
            </w:r>
          </w:p>
        </w:tc>
        <w:tc>
          <w:tcPr>
            <w:tcW w:w="4675" w:type="dxa"/>
          </w:tcPr>
          <w:p w14:paraId="2AD35E2F" w14:textId="0F4E6B2F" w:rsidR="00CB3C5B" w:rsidRPr="001C270D" w:rsidRDefault="00135D5D" w:rsidP="009A3758">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Gas</w:t>
            </w:r>
          </w:p>
          <w:p w14:paraId="09D0E826" w14:textId="77777777" w:rsidR="00CB3C5B" w:rsidRPr="001C270D" w:rsidRDefault="00CB3C5B" w:rsidP="009A3758">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Hydrogen</w:t>
            </w:r>
          </w:p>
          <w:p w14:paraId="4DA90ECD" w14:textId="77777777" w:rsidR="00135D5D" w:rsidRPr="001C270D" w:rsidRDefault="00135D5D" w:rsidP="009A3758">
            <w:pPr>
              <w:spacing w:before="100" w:beforeAutospacing="1" w:after="100" w:afterAutospacing="1"/>
              <w:contextualSpacing/>
              <w:rPr>
                <w:rFonts w:eastAsia="Times New Roman"/>
                <w:bCs/>
                <w:i/>
                <w:color w:val="A6A6A6" w:themeColor="background1" w:themeShade="A6"/>
                <w:sz w:val="14"/>
              </w:rPr>
            </w:pPr>
            <w:r w:rsidRPr="001C270D">
              <w:rPr>
                <w:rFonts w:eastAsia="Times New Roman"/>
                <w:bCs/>
                <w:i/>
                <w:color w:val="A6A6A6" w:themeColor="background1" w:themeShade="A6"/>
                <w:sz w:val="14"/>
              </w:rPr>
              <w:t>Biofuels</w:t>
            </w:r>
          </w:p>
          <w:p w14:paraId="2E66C0B0" w14:textId="65E2ECF3" w:rsidR="00CB3C5B" w:rsidRPr="00230C9D" w:rsidRDefault="00CB3C5B" w:rsidP="009A3758">
            <w:pPr>
              <w:spacing w:before="100" w:beforeAutospacing="1" w:after="100" w:afterAutospacing="1"/>
              <w:contextualSpacing/>
              <w:rPr>
                <w:rFonts w:eastAsia="Times New Roman"/>
                <w:bCs/>
                <w:sz w:val="14"/>
              </w:rPr>
            </w:pPr>
            <w:r w:rsidRPr="001C270D">
              <w:rPr>
                <w:rFonts w:eastAsia="Times New Roman"/>
                <w:bCs/>
                <w:i/>
                <w:color w:val="A6A6A6" w:themeColor="background1" w:themeShade="A6"/>
                <w:sz w:val="14"/>
              </w:rPr>
              <w:t>Efficiency</w:t>
            </w:r>
          </w:p>
        </w:tc>
      </w:tr>
      <w:tr w:rsidR="00135D5D" w14:paraId="3EEC8BD0" w14:textId="77777777" w:rsidTr="009A3758">
        <w:tc>
          <w:tcPr>
            <w:tcW w:w="9350" w:type="dxa"/>
            <w:gridSpan w:val="2"/>
          </w:tcPr>
          <w:p w14:paraId="2C471B3C" w14:textId="2BBD61E4" w:rsidR="00135D5D" w:rsidRPr="00230C9D" w:rsidRDefault="00135D5D" w:rsidP="009A3758">
            <w:pPr>
              <w:spacing w:before="100" w:beforeAutospacing="1" w:after="100" w:afterAutospacing="1"/>
              <w:jc w:val="center"/>
              <w:rPr>
                <w:rFonts w:eastAsia="Times New Roman"/>
                <w:b/>
                <w:sz w:val="14"/>
              </w:rPr>
            </w:pPr>
            <w:r w:rsidRPr="00230C9D">
              <w:rPr>
                <w:rFonts w:eastAsia="Times New Roman"/>
                <w:b/>
                <w:sz w:val="14"/>
              </w:rPr>
              <w:t>Buildings</w:t>
            </w:r>
          </w:p>
        </w:tc>
      </w:tr>
      <w:tr w:rsidR="00135D5D" w:rsidRPr="003974C7" w14:paraId="529CAC31" w14:textId="77777777" w:rsidTr="009A3758">
        <w:tc>
          <w:tcPr>
            <w:tcW w:w="4675" w:type="dxa"/>
          </w:tcPr>
          <w:p w14:paraId="13BC7B30" w14:textId="389E18C6"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 xml:space="preserve">Heating </w:t>
            </w:r>
          </w:p>
        </w:tc>
        <w:tc>
          <w:tcPr>
            <w:tcW w:w="4675" w:type="dxa"/>
          </w:tcPr>
          <w:p w14:paraId="40CEA4FF" w14:textId="03904C8A"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Lighting</w:t>
            </w:r>
          </w:p>
        </w:tc>
      </w:tr>
      <w:tr w:rsidR="00135D5D" w14:paraId="2A88BBB1" w14:textId="77777777" w:rsidTr="009A3758">
        <w:tc>
          <w:tcPr>
            <w:tcW w:w="4675" w:type="dxa"/>
          </w:tcPr>
          <w:p w14:paraId="7F5A534D" w14:textId="663712D8" w:rsidR="00135D5D" w:rsidRPr="00230C9D" w:rsidRDefault="00135D5D" w:rsidP="00135D5D">
            <w:pPr>
              <w:spacing w:before="100" w:beforeAutospacing="1" w:after="100" w:afterAutospacing="1"/>
              <w:contextualSpacing/>
              <w:rPr>
                <w:rFonts w:eastAsia="Times New Roman"/>
                <w:bCs/>
                <w:sz w:val="14"/>
              </w:rPr>
            </w:pPr>
            <w:r w:rsidRPr="00230C9D">
              <w:rPr>
                <w:rFonts w:eastAsia="Times New Roman"/>
                <w:bCs/>
                <w:sz w:val="14"/>
              </w:rPr>
              <w:t xml:space="preserve">Gas replacing coal / </w:t>
            </w:r>
            <w:proofErr w:type="gramStart"/>
            <w:r w:rsidRPr="00230C9D">
              <w:rPr>
                <w:rFonts w:eastAsia="Times New Roman"/>
                <w:bCs/>
                <w:sz w:val="14"/>
              </w:rPr>
              <w:t>oil</w:t>
            </w:r>
            <w:proofErr w:type="gramEnd"/>
          </w:p>
          <w:p w14:paraId="473ABD77" w14:textId="3F6AE348"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Biofuels</w:t>
            </w:r>
          </w:p>
          <w:p w14:paraId="029E27D0" w14:textId="46A25478"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Electricity</w:t>
            </w:r>
          </w:p>
          <w:p w14:paraId="5C8F5E14" w14:textId="0041705A"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Hydrogen</w:t>
            </w:r>
          </w:p>
          <w:p w14:paraId="338347E3"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Efficiency</w:t>
            </w:r>
          </w:p>
        </w:tc>
        <w:tc>
          <w:tcPr>
            <w:tcW w:w="4675" w:type="dxa"/>
          </w:tcPr>
          <w:p w14:paraId="1AFE5828"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Efficiency</w:t>
            </w:r>
          </w:p>
        </w:tc>
      </w:tr>
      <w:tr w:rsidR="00135D5D" w:rsidRPr="003974C7" w14:paraId="31AA0D7E" w14:textId="77777777" w:rsidTr="009A3758">
        <w:tc>
          <w:tcPr>
            <w:tcW w:w="4675" w:type="dxa"/>
          </w:tcPr>
          <w:p w14:paraId="5A9541E0" w14:textId="68B23E7F"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Appliances</w:t>
            </w:r>
          </w:p>
        </w:tc>
        <w:tc>
          <w:tcPr>
            <w:tcW w:w="4675" w:type="dxa"/>
          </w:tcPr>
          <w:p w14:paraId="2B0D20A4" w14:textId="1E5E3B5D"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Cooling</w:t>
            </w:r>
          </w:p>
        </w:tc>
      </w:tr>
      <w:tr w:rsidR="00135D5D" w14:paraId="5CDF6283" w14:textId="77777777" w:rsidTr="009A3758">
        <w:tc>
          <w:tcPr>
            <w:tcW w:w="4675" w:type="dxa"/>
          </w:tcPr>
          <w:p w14:paraId="3F7866E5"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Efficiency</w:t>
            </w:r>
          </w:p>
        </w:tc>
        <w:tc>
          <w:tcPr>
            <w:tcW w:w="4675" w:type="dxa"/>
          </w:tcPr>
          <w:p w14:paraId="46AC861C"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Electricity</w:t>
            </w:r>
          </w:p>
          <w:p w14:paraId="0A96F91C" w14:textId="70800E2A"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Efficiency</w:t>
            </w:r>
          </w:p>
        </w:tc>
      </w:tr>
      <w:tr w:rsidR="00135D5D" w14:paraId="00BA41D5" w14:textId="77777777" w:rsidTr="009A3758">
        <w:tc>
          <w:tcPr>
            <w:tcW w:w="9350" w:type="dxa"/>
            <w:gridSpan w:val="2"/>
          </w:tcPr>
          <w:p w14:paraId="560B0B38" w14:textId="3D854864" w:rsidR="00135D5D" w:rsidRPr="00230C9D" w:rsidRDefault="00135D5D" w:rsidP="009A3758">
            <w:pPr>
              <w:spacing w:before="100" w:beforeAutospacing="1" w:after="100" w:afterAutospacing="1"/>
              <w:jc w:val="center"/>
              <w:rPr>
                <w:rFonts w:eastAsia="Times New Roman"/>
                <w:b/>
                <w:sz w:val="14"/>
              </w:rPr>
            </w:pPr>
            <w:r w:rsidRPr="00230C9D">
              <w:rPr>
                <w:rFonts w:eastAsia="Times New Roman"/>
                <w:b/>
                <w:sz w:val="14"/>
              </w:rPr>
              <w:t>Industry</w:t>
            </w:r>
          </w:p>
        </w:tc>
      </w:tr>
      <w:tr w:rsidR="00135D5D" w:rsidRPr="003974C7" w14:paraId="47D59D96" w14:textId="77777777" w:rsidTr="009A3758">
        <w:tc>
          <w:tcPr>
            <w:tcW w:w="4675" w:type="dxa"/>
          </w:tcPr>
          <w:p w14:paraId="047C3DBB" w14:textId="4A3A95FE"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Process heat</w:t>
            </w:r>
          </w:p>
        </w:tc>
        <w:tc>
          <w:tcPr>
            <w:tcW w:w="4675" w:type="dxa"/>
          </w:tcPr>
          <w:p w14:paraId="2D58EF00" w14:textId="0A2EE09D"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Machine drives</w:t>
            </w:r>
          </w:p>
        </w:tc>
      </w:tr>
      <w:tr w:rsidR="00135D5D" w14:paraId="61067928" w14:textId="77777777" w:rsidTr="009A3758">
        <w:tc>
          <w:tcPr>
            <w:tcW w:w="4675" w:type="dxa"/>
          </w:tcPr>
          <w:p w14:paraId="690B6216" w14:textId="700B49C2"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 xml:space="preserve">Gas replacing oil / </w:t>
            </w:r>
            <w:proofErr w:type="gramStart"/>
            <w:r w:rsidRPr="00230C9D">
              <w:rPr>
                <w:rFonts w:eastAsia="Times New Roman"/>
                <w:bCs/>
                <w:sz w:val="14"/>
              </w:rPr>
              <w:t>coal</w:t>
            </w:r>
            <w:proofErr w:type="gramEnd"/>
          </w:p>
          <w:p w14:paraId="74BEDF60" w14:textId="170E3F43"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Biomass</w:t>
            </w:r>
          </w:p>
          <w:p w14:paraId="75F09027" w14:textId="189DB520" w:rsidR="00135D5D" w:rsidRPr="00230C9D" w:rsidRDefault="00135D5D" w:rsidP="009A3758">
            <w:pPr>
              <w:spacing w:before="100" w:beforeAutospacing="1" w:after="100" w:afterAutospacing="1"/>
              <w:contextualSpacing/>
              <w:rPr>
                <w:rFonts w:eastAsia="Times New Roman"/>
                <w:bCs/>
                <w:sz w:val="14"/>
              </w:rPr>
            </w:pPr>
            <w:r w:rsidRPr="00B62806">
              <w:rPr>
                <w:rFonts w:eastAsia="Times New Roman"/>
                <w:bCs/>
                <w:sz w:val="14"/>
              </w:rPr>
              <w:t>Hydrogen</w:t>
            </w:r>
            <w:r w:rsidRPr="00230C9D">
              <w:rPr>
                <w:rFonts w:eastAsia="Times New Roman"/>
                <w:bCs/>
                <w:sz w:val="14"/>
              </w:rPr>
              <w:t xml:space="preserve"> </w:t>
            </w:r>
          </w:p>
          <w:p w14:paraId="612636FA" w14:textId="061543C8"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Electricity</w:t>
            </w:r>
          </w:p>
        </w:tc>
        <w:tc>
          <w:tcPr>
            <w:tcW w:w="4675" w:type="dxa"/>
          </w:tcPr>
          <w:p w14:paraId="4C9B357C"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 xml:space="preserve">Gas replacing oil / </w:t>
            </w:r>
            <w:proofErr w:type="gramStart"/>
            <w:r w:rsidRPr="00230C9D">
              <w:rPr>
                <w:rFonts w:eastAsia="Times New Roman"/>
                <w:bCs/>
                <w:sz w:val="14"/>
              </w:rPr>
              <w:t>coal</w:t>
            </w:r>
            <w:proofErr w:type="gramEnd"/>
          </w:p>
          <w:p w14:paraId="120EE8D2" w14:textId="12F7AC7F"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Electricity</w:t>
            </w:r>
          </w:p>
        </w:tc>
      </w:tr>
      <w:tr w:rsidR="00135D5D" w:rsidRPr="003974C7" w14:paraId="4DC12D07" w14:textId="77777777" w:rsidTr="009A3758">
        <w:tc>
          <w:tcPr>
            <w:tcW w:w="4675" w:type="dxa"/>
          </w:tcPr>
          <w:p w14:paraId="5062EE90" w14:textId="3727168B"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Steam</w:t>
            </w:r>
          </w:p>
        </w:tc>
        <w:tc>
          <w:tcPr>
            <w:tcW w:w="4675" w:type="dxa"/>
          </w:tcPr>
          <w:p w14:paraId="7E66EDE4" w14:textId="4D58EABF"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CHP</w:t>
            </w:r>
          </w:p>
        </w:tc>
      </w:tr>
      <w:tr w:rsidR="00135D5D" w14:paraId="4D5DB986" w14:textId="77777777" w:rsidTr="009A3758">
        <w:tc>
          <w:tcPr>
            <w:tcW w:w="4675" w:type="dxa"/>
          </w:tcPr>
          <w:p w14:paraId="11BBDE21" w14:textId="77777777" w:rsidR="00135D5D" w:rsidRPr="00230C9D" w:rsidRDefault="00135D5D" w:rsidP="00135D5D">
            <w:pPr>
              <w:spacing w:before="100" w:beforeAutospacing="1" w:after="100" w:afterAutospacing="1"/>
              <w:contextualSpacing/>
              <w:rPr>
                <w:rFonts w:eastAsia="Times New Roman"/>
                <w:bCs/>
                <w:sz w:val="14"/>
              </w:rPr>
            </w:pPr>
            <w:r w:rsidRPr="00230C9D">
              <w:rPr>
                <w:rFonts w:eastAsia="Times New Roman"/>
                <w:bCs/>
                <w:sz w:val="14"/>
              </w:rPr>
              <w:t xml:space="preserve">Gas replacing oil / </w:t>
            </w:r>
            <w:proofErr w:type="gramStart"/>
            <w:r w:rsidRPr="00230C9D">
              <w:rPr>
                <w:rFonts w:eastAsia="Times New Roman"/>
                <w:bCs/>
                <w:sz w:val="14"/>
              </w:rPr>
              <w:t>coal</w:t>
            </w:r>
            <w:proofErr w:type="gramEnd"/>
          </w:p>
          <w:p w14:paraId="562DA182" w14:textId="6F4562FD" w:rsidR="00135D5D" w:rsidRPr="00230C9D" w:rsidRDefault="00135D5D" w:rsidP="00135D5D">
            <w:pPr>
              <w:spacing w:before="100" w:beforeAutospacing="1" w:after="100" w:afterAutospacing="1"/>
              <w:contextualSpacing/>
              <w:rPr>
                <w:rFonts w:eastAsia="Times New Roman"/>
                <w:bCs/>
                <w:sz w:val="14"/>
              </w:rPr>
            </w:pPr>
            <w:r w:rsidRPr="00230C9D">
              <w:rPr>
                <w:rFonts w:eastAsia="Times New Roman"/>
                <w:bCs/>
                <w:sz w:val="14"/>
              </w:rPr>
              <w:t>Electricity</w:t>
            </w:r>
          </w:p>
        </w:tc>
        <w:tc>
          <w:tcPr>
            <w:tcW w:w="4675" w:type="dxa"/>
          </w:tcPr>
          <w:p w14:paraId="133E46DF" w14:textId="77777777" w:rsidR="00135D5D" w:rsidRPr="00230C9D" w:rsidRDefault="00135D5D" w:rsidP="00135D5D">
            <w:pPr>
              <w:spacing w:before="100" w:beforeAutospacing="1" w:after="100" w:afterAutospacing="1"/>
              <w:contextualSpacing/>
              <w:rPr>
                <w:rFonts w:eastAsia="Times New Roman"/>
                <w:bCs/>
                <w:sz w:val="14"/>
              </w:rPr>
            </w:pPr>
            <w:r w:rsidRPr="00230C9D">
              <w:rPr>
                <w:rFonts w:eastAsia="Times New Roman"/>
                <w:bCs/>
                <w:sz w:val="14"/>
              </w:rPr>
              <w:t xml:space="preserve">Gas replacing oil / </w:t>
            </w:r>
            <w:proofErr w:type="gramStart"/>
            <w:r w:rsidRPr="00230C9D">
              <w:rPr>
                <w:rFonts w:eastAsia="Times New Roman"/>
                <w:bCs/>
                <w:sz w:val="14"/>
              </w:rPr>
              <w:t>coal</w:t>
            </w:r>
            <w:proofErr w:type="gramEnd"/>
          </w:p>
          <w:p w14:paraId="26FCDAAC" w14:textId="7597A799" w:rsidR="00135D5D" w:rsidRPr="00230C9D" w:rsidRDefault="00135D5D" w:rsidP="00135D5D">
            <w:pPr>
              <w:spacing w:before="100" w:beforeAutospacing="1" w:after="100" w:afterAutospacing="1"/>
              <w:contextualSpacing/>
              <w:rPr>
                <w:rFonts w:eastAsia="Times New Roman"/>
                <w:bCs/>
                <w:sz w:val="14"/>
              </w:rPr>
            </w:pPr>
            <w:r w:rsidRPr="00230C9D">
              <w:rPr>
                <w:rFonts w:eastAsia="Times New Roman"/>
                <w:bCs/>
                <w:sz w:val="14"/>
              </w:rPr>
              <w:t>Biomass</w:t>
            </w:r>
          </w:p>
        </w:tc>
      </w:tr>
      <w:tr w:rsidR="00135D5D" w:rsidRPr="003974C7" w14:paraId="62B042AD" w14:textId="77777777" w:rsidTr="00135D5D">
        <w:tc>
          <w:tcPr>
            <w:tcW w:w="4675" w:type="dxa"/>
          </w:tcPr>
          <w:p w14:paraId="0742860C" w14:textId="039242AF"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CCS</w:t>
            </w:r>
          </w:p>
        </w:tc>
        <w:tc>
          <w:tcPr>
            <w:tcW w:w="4675" w:type="dxa"/>
          </w:tcPr>
          <w:p w14:paraId="1E1D3CC0" w14:textId="0F45398A"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Other</w:t>
            </w:r>
          </w:p>
        </w:tc>
      </w:tr>
      <w:tr w:rsidR="00135D5D" w14:paraId="46ADC9C7" w14:textId="77777777" w:rsidTr="00135D5D">
        <w:tc>
          <w:tcPr>
            <w:tcW w:w="4675" w:type="dxa"/>
          </w:tcPr>
          <w:p w14:paraId="042A4DE7" w14:textId="0A878BD9"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CCS in iron and steel</w:t>
            </w:r>
            <w:r w:rsidR="00B62806">
              <w:rPr>
                <w:rFonts w:eastAsia="Times New Roman"/>
                <w:bCs/>
                <w:sz w:val="14"/>
              </w:rPr>
              <w:t xml:space="preserve"> (for auto-producers only)</w:t>
            </w:r>
          </w:p>
          <w:p w14:paraId="24F73EF9" w14:textId="1D662D61"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CCS in cement</w:t>
            </w:r>
            <w:r w:rsidR="00B62806">
              <w:rPr>
                <w:rFonts w:eastAsia="Times New Roman"/>
                <w:bCs/>
                <w:sz w:val="14"/>
              </w:rPr>
              <w:t xml:space="preserve"> (for auto-producers only)</w:t>
            </w:r>
          </w:p>
          <w:p w14:paraId="70FA8E80" w14:textId="1AB72D7E"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CCS in chemicals</w:t>
            </w:r>
            <w:r w:rsidR="00B62806">
              <w:rPr>
                <w:rFonts w:eastAsia="Times New Roman"/>
                <w:bCs/>
                <w:sz w:val="14"/>
              </w:rPr>
              <w:t xml:space="preserve"> (for auto-producers only)</w:t>
            </w:r>
          </w:p>
        </w:tc>
        <w:tc>
          <w:tcPr>
            <w:tcW w:w="4675" w:type="dxa"/>
          </w:tcPr>
          <w:p w14:paraId="5DA965A8" w14:textId="6DBD0A2B" w:rsidR="00135D5D" w:rsidRPr="00230C9D" w:rsidRDefault="00135D5D" w:rsidP="009A3758">
            <w:pPr>
              <w:spacing w:before="100" w:beforeAutospacing="1" w:after="100" w:afterAutospacing="1"/>
              <w:contextualSpacing/>
              <w:rPr>
                <w:rFonts w:eastAsia="Times New Roman"/>
                <w:bCs/>
                <w:sz w:val="14"/>
              </w:rPr>
            </w:pPr>
          </w:p>
        </w:tc>
      </w:tr>
      <w:tr w:rsidR="00135D5D" w:rsidRPr="00135D5D" w14:paraId="2BB2771A" w14:textId="77777777" w:rsidTr="009A3758">
        <w:tc>
          <w:tcPr>
            <w:tcW w:w="9350" w:type="dxa"/>
            <w:gridSpan w:val="2"/>
          </w:tcPr>
          <w:p w14:paraId="5586B3F4" w14:textId="629A4D9C" w:rsidR="00135D5D" w:rsidRPr="00230C9D" w:rsidRDefault="00135D5D" w:rsidP="009A3758">
            <w:pPr>
              <w:spacing w:before="100" w:beforeAutospacing="1" w:after="100" w:afterAutospacing="1"/>
              <w:jc w:val="center"/>
              <w:rPr>
                <w:rFonts w:eastAsia="Times New Roman"/>
                <w:b/>
                <w:sz w:val="14"/>
              </w:rPr>
            </w:pPr>
            <w:r w:rsidRPr="00230C9D">
              <w:rPr>
                <w:rFonts w:eastAsia="Times New Roman"/>
                <w:b/>
                <w:sz w:val="14"/>
              </w:rPr>
              <w:t>Agriculture</w:t>
            </w:r>
          </w:p>
        </w:tc>
      </w:tr>
      <w:tr w:rsidR="00135D5D" w:rsidRPr="003974C7" w14:paraId="5D0E0A35" w14:textId="77777777" w:rsidTr="009A3758">
        <w:tc>
          <w:tcPr>
            <w:tcW w:w="4675" w:type="dxa"/>
          </w:tcPr>
          <w:p w14:paraId="788FE3A7" w14:textId="7365A24F"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Energy</w:t>
            </w:r>
          </w:p>
        </w:tc>
        <w:tc>
          <w:tcPr>
            <w:tcW w:w="4675" w:type="dxa"/>
          </w:tcPr>
          <w:p w14:paraId="431D7B3F" w14:textId="2B32DC57" w:rsidR="00135D5D" w:rsidRPr="00230C9D" w:rsidRDefault="00135D5D" w:rsidP="009A3758">
            <w:pPr>
              <w:spacing w:before="100" w:beforeAutospacing="1" w:after="100" w:afterAutospacing="1"/>
              <w:rPr>
                <w:rFonts w:eastAsia="Times New Roman"/>
                <w:b/>
                <w:i/>
                <w:iCs/>
                <w:sz w:val="14"/>
              </w:rPr>
            </w:pPr>
            <w:r w:rsidRPr="00230C9D">
              <w:rPr>
                <w:rFonts w:eastAsia="Times New Roman"/>
                <w:b/>
                <w:i/>
                <w:iCs/>
                <w:sz w:val="14"/>
              </w:rPr>
              <w:t>Other</w:t>
            </w:r>
          </w:p>
        </w:tc>
      </w:tr>
      <w:tr w:rsidR="00135D5D" w14:paraId="6CD51C14" w14:textId="77777777" w:rsidTr="009A3758">
        <w:tc>
          <w:tcPr>
            <w:tcW w:w="4675" w:type="dxa"/>
          </w:tcPr>
          <w:p w14:paraId="6F74F1DB"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Biomass</w:t>
            </w:r>
          </w:p>
          <w:p w14:paraId="6EB2FAAC" w14:textId="77777777" w:rsidR="00135D5D" w:rsidRPr="00230C9D" w:rsidRDefault="00135D5D" w:rsidP="009A3758">
            <w:pPr>
              <w:spacing w:before="100" w:beforeAutospacing="1" w:after="100" w:afterAutospacing="1"/>
              <w:contextualSpacing/>
              <w:rPr>
                <w:rFonts w:eastAsia="Times New Roman"/>
                <w:bCs/>
                <w:sz w:val="14"/>
              </w:rPr>
            </w:pPr>
            <w:r w:rsidRPr="00230C9D">
              <w:rPr>
                <w:rFonts w:eastAsia="Times New Roman"/>
                <w:bCs/>
                <w:sz w:val="14"/>
              </w:rPr>
              <w:t>Electricity</w:t>
            </w:r>
          </w:p>
        </w:tc>
        <w:tc>
          <w:tcPr>
            <w:tcW w:w="4675" w:type="dxa"/>
          </w:tcPr>
          <w:p w14:paraId="4A24476E" w14:textId="593BC46E" w:rsidR="00135D5D" w:rsidRPr="00230C9D" w:rsidRDefault="00135D5D" w:rsidP="009A3758">
            <w:pPr>
              <w:spacing w:before="100" w:beforeAutospacing="1" w:after="100" w:afterAutospacing="1"/>
              <w:contextualSpacing/>
              <w:rPr>
                <w:rFonts w:eastAsia="Times New Roman"/>
                <w:bCs/>
                <w:sz w:val="14"/>
              </w:rPr>
            </w:pPr>
          </w:p>
        </w:tc>
      </w:tr>
      <w:tr w:rsidR="0043180B" w14:paraId="22EEB782" w14:textId="77777777" w:rsidTr="00356488">
        <w:tc>
          <w:tcPr>
            <w:tcW w:w="9350" w:type="dxa"/>
            <w:gridSpan w:val="2"/>
          </w:tcPr>
          <w:p w14:paraId="0DE4F098" w14:textId="0DC64591" w:rsidR="0043180B" w:rsidRPr="00230C9D" w:rsidRDefault="0043180B" w:rsidP="0043180B">
            <w:pPr>
              <w:spacing w:before="100" w:beforeAutospacing="1" w:after="100" w:afterAutospacing="1"/>
              <w:jc w:val="center"/>
              <w:rPr>
                <w:rFonts w:eastAsia="Times New Roman"/>
                <w:bCs/>
                <w:sz w:val="14"/>
              </w:rPr>
            </w:pPr>
            <w:r w:rsidRPr="0043180B">
              <w:rPr>
                <w:rFonts w:eastAsia="Times New Roman"/>
                <w:b/>
                <w:sz w:val="14"/>
              </w:rPr>
              <w:t>Non-CO2</w:t>
            </w:r>
          </w:p>
        </w:tc>
      </w:tr>
      <w:tr w:rsidR="0043180B" w14:paraId="36E133C0" w14:textId="77777777" w:rsidTr="009A3758">
        <w:tc>
          <w:tcPr>
            <w:tcW w:w="4675" w:type="dxa"/>
          </w:tcPr>
          <w:p w14:paraId="3B02CA39" w14:textId="605635F7" w:rsidR="0043180B" w:rsidRPr="00230C9D" w:rsidRDefault="0043180B" w:rsidP="009A3758">
            <w:pPr>
              <w:spacing w:before="100" w:beforeAutospacing="1" w:after="100" w:afterAutospacing="1"/>
              <w:contextualSpacing/>
              <w:rPr>
                <w:rFonts w:eastAsia="Times New Roman"/>
                <w:bCs/>
                <w:sz w:val="14"/>
              </w:rPr>
            </w:pPr>
            <w:r>
              <w:rPr>
                <w:rFonts w:eastAsia="Times New Roman"/>
                <w:bCs/>
                <w:sz w:val="14"/>
              </w:rPr>
              <w:t>Enteric fermentation + Digester + Cogeneration (Agriculture)</w:t>
            </w:r>
          </w:p>
        </w:tc>
        <w:tc>
          <w:tcPr>
            <w:tcW w:w="4675" w:type="dxa"/>
          </w:tcPr>
          <w:p w14:paraId="7514B7EF" w14:textId="4BC92226" w:rsidR="0043180B" w:rsidRPr="00230C9D" w:rsidRDefault="006B16AA" w:rsidP="009A3758">
            <w:pPr>
              <w:spacing w:before="100" w:beforeAutospacing="1" w:after="100" w:afterAutospacing="1"/>
              <w:contextualSpacing/>
              <w:rPr>
                <w:rFonts w:eastAsia="Times New Roman"/>
                <w:bCs/>
                <w:sz w:val="14"/>
              </w:rPr>
            </w:pPr>
            <w:r>
              <w:rPr>
                <w:rFonts w:eastAsia="Times New Roman"/>
                <w:bCs/>
                <w:sz w:val="14"/>
              </w:rPr>
              <w:t>Flare gas recovery + on site use</w:t>
            </w:r>
          </w:p>
        </w:tc>
      </w:tr>
      <w:tr w:rsidR="0043180B" w14:paraId="2B6F1815" w14:textId="77777777" w:rsidTr="009A3758">
        <w:tc>
          <w:tcPr>
            <w:tcW w:w="4675" w:type="dxa"/>
          </w:tcPr>
          <w:p w14:paraId="788B2430" w14:textId="252D208B" w:rsidR="0043180B" w:rsidRPr="00230C9D" w:rsidRDefault="0043180B" w:rsidP="009A3758">
            <w:pPr>
              <w:spacing w:before="100" w:beforeAutospacing="1" w:after="100" w:afterAutospacing="1"/>
              <w:contextualSpacing/>
              <w:rPr>
                <w:rFonts w:eastAsia="Times New Roman"/>
                <w:bCs/>
                <w:sz w:val="14"/>
              </w:rPr>
            </w:pPr>
            <w:proofErr w:type="gramStart"/>
            <w:r>
              <w:rPr>
                <w:rFonts w:eastAsia="Times New Roman"/>
                <w:bCs/>
                <w:sz w:val="14"/>
              </w:rPr>
              <w:t>Waste water</w:t>
            </w:r>
            <w:proofErr w:type="gramEnd"/>
            <w:r>
              <w:rPr>
                <w:rFonts w:eastAsia="Times New Roman"/>
                <w:bCs/>
                <w:sz w:val="14"/>
              </w:rPr>
              <w:t xml:space="preserve"> processing with recovery + cogeneration (Industry)</w:t>
            </w:r>
          </w:p>
        </w:tc>
        <w:tc>
          <w:tcPr>
            <w:tcW w:w="4675" w:type="dxa"/>
          </w:tcPr>
          <w:p w14:paraId="0CF844AB" w14:textId="75D0329B" w:rsidR="0043180B" w:rsidRPr="00230C9D" w:rsidRDefault="006B16AA" w:rsidP="006B16AA">
            <w:pPr>
              <w:spacing w:before="100" w:beforeAutospacing="1" w:after="100" w:afterAutospacing="1"/>
              <w:contextualSpacing/>
              <w:rPr>
                <w:rFonts w:eastAsia="Times New Roman"/>
                <w:bCs/>
                <w:sz w:val="14"/>
              </w:rPr>
            </w:pPr>
            <w:r>
              <w:rPr>
                <w:rFonts w:eastAsia="Times New Roman"/>
                <w:bCs/>
                <w:sz w:val="14"/>
              </w:rPr>
              <w:t>Flare gas recovery + compression + distribution</w:t>
            </w:r>
          </w:p>
        </w:tc>
      </w:tr>
    </w:tbl>
    <w:p w14:paraId="2271B0B5" w14:textId="77777777" w:rsidR="00230C9D" w:rsidRDefault="00230C9D" w:rsidP="00AA6C68">
      <w:pPr>
        <w:pStyle w:val="ListParagraph"/>
        <w:spacing w:before="100" w:beforeAutospacing="1" w:after="100" w:afterAutospacing="1" w:line="240" w:lineRule="auto"/>
        <w:rPr>
          <w:rFonts w:eastAsia="Times New Roman"/>
          <w:u w:val="single"/>
        </w:rPr>
      </w:pPr>
    </w:p>
    <w:p w14:paraId="356840D4" w14:textId="77777777" w:rsidR="009163B3" w:rsidRPr="00AA6C68" w:rsidRDefault="009163B3" w:rsidP="00AA6C68">
      <w:pPr>
        <w:pStyle w:val="ListParagraph"/>
        <w:numPr>
          <w:ilvl w:val="0"/>
          <w:numId w:val="1"/>
        </w:numPr>
        <w:spacing w:before="100" w:beforeAutospacing="1" w:after="100" w:afterAutospacing="1" w:line="240" w:lineRule="auto"/>
        <w:rPr>
          <w:rFonts w:eastAsia="Times New Roman"/>
          <w:b/>
          <w:u w:val="single"/>
        </w:rPr>
      </w:pPr>
      <w:r w:rsidRPr="00AA6C68">
        <w:rPr>
          <w:rFonts w:eastAsia="Times New Roman"/>
          <w:b/>
          <w:u w:val="single"/>
        </w:rPr>
        <w:t>Economic rationale and model solution</w:t>
      </w:r>
    </w:p>
    <w:p w14:paraId="166A1711" w14:textId="342D0834" w:rsidR="00F37E50" w:rsidRPr="00F37E50" w:rsidRDefault="00F37E50" w:rsidP="0098169A">
      <w:pPr>
        <w:spacing w:after="0" w:line="240" w:lineRule="auto"/>
        <w:jc w:val="both"/>
        <w:rPr>
          <w:rFonts w:eastAsia="Times New Roman"/>
        </w:rPr>
      </w:pPr>
      <w:r>
        <w:rPr>
          <w:rFonts w:eastAsia="Times New Roman"/>
        </w:rPr>
        <w:t>According to its analytical paradigm, t</w:t>
      </w:r>
      <w:r w:rsidRPr="00F37E50">
        <w:rPr>
          <w:rFonts w:eastAsia="Times New Roman"/>
        </w:rPr>
        <w:t>he</w:t>
      </w:r>
      <w:r>
        <w:rPr>
          <w:rFonts w:eastAsia="Times New Roman"/>
        </w:rPr>
        <w:t xml:space="preserve"> TIMES-CAC</w:t>
      </w:r>
      <w:r w:rsidRPr="00F37E50">
        <w:rPr>
          <w:rFonts w:eastAsia="Times New Roman"/>
        </w:rPr>
        <w:t xml:space="preserve"> model computes a dynamic inter-temporal partial equilibrium for the </w:t>
      </w:r>
      <w:r w:rsidR="00290FFF">
        <w:rPr>
          <w:rFonts w:eastAsia="Times New Roman"/>
        </w:rPr>
        <w:t>(mu</w:t>
      </w:r>
      <w:r>
        <w:rPr>
          <w:rFonts w:eastAsia="Times New Roman"/>
        </w:rPr>
        <w:t xml:space="preserve">lti-) </w:t>
      </w:r>
      <w:r w:rsidRPr="00F37E50">
        <w:rPr>
          <w:rFonts w:eastAsia="Times New Roman"/>
        </w:rPr>
        <w:t>regional energy and emission markets</w:t>
      </w:r>
      <w:r w:rsidR="00290FFF">
        <w:rPr>
          <w:rFonts w:eastAsia="Times New Roman"/>
        </w:rPr>
        <w:t>,</w:t>
      </w:r>
      <w:r w:rsidRPr="00F37E50">
        <w:rPr>
          <w:rFonts w:eastAsia="Times New Roman"/>
        </w:rPr>
        <w:t xml:space="preserve"> based on th</w:t>
      </w:r>
      <w:r w:rsidR="00290FFF">
        <w:rPr>
          <w:rFonts w:eastAsia="Times New Roman"/>
        </w:rPr>
        <w:t>e maximization of total surplus</w:t>
      </w:r>
      <w:r w:rsidRPr="00F37E50">
        <w:rPr>
          <w:rFonts w:eastAsia="Times New Roman"/>
        </w:rPr>
        <w:t xml:space="preserve"> defined as the sum of surplus of the suppliers and consumers. In other words, it is assumed that the </w:t>
      </w:r>
      <w:r>
        <w:rPr>
          <w:rFonts w:eastAsia="Times New Roman"/>
        </w:rPr>
        <w:t xml:space="preserve">multi-regional </w:t>
      </w:r>
      <w:r w:rsidRPr="00F37E50">
        <w:rPr>
          <w:rFonts w:eastAsia="Times New Roman"/>
        </w:rPr>
        <w:t>system evolves, while maintaining intra-temporal and inter-temporal partial economic equilibrium, and always occupies the technical possibility frontier. The process of solving the model determines the optimal mix of technologies (capacity and activity) and fuels at each period, the associated emissions, the mining and “trading activities”, the quantity and prices of all commodities, all in time series from the base year to the time horizon of the model.</w:t>
      </w:r>
    </w:p>
    <w:p w14:paraId="0E076616" w14:textId="41E248C5" w:rsidR="00F37E50" w:rsidRPr="00F37E50" w:rsidRDefault="00F37E50" w:rsidP="0098169A">
      <w:pPr>
        <w:spacing w:after="0" w:line="240" w:lineRule="auto"/>
        <w:jc w:val="both"/>
        <w:rPr>
          <w:rFonts w:eastAsia="Times New Roman"/>
        </w:rPr>
      </w:pPr>
      <w:r>
        <w:rPr>
          <w:rFonts w:eastAsia="Times New Roman"/>
        </w:rPr>
        <w:t>T</w:t>
      </w:r>
      <w:r w:rsidRPr="00F37E50">
        <w:rPr>
          <w:rFonts w:eastAsia="Times New Roman"/>
        </w:rPr>
        <w:t>he model was</w:t>
      </w:r>
      <w:r>
        <w:rPr>
          <w:rFonts w:eastAsia="Times New Roman"/>
        </w:rPr>
        <w:t xml:space="preserve"> mainly</w:t>
      </w:r>
      <w:r w:rsidRPr="00F37E50">
        <w:rPr>
          <w:rFonts w:eastAsia="Times New Roman"/>
        </w:rPr>
        <w:t xml:space="preserve"> developed and used to assess the dynamics of the </w:t>
      </w:r>
      <w:r>
        <w:rPr>
          <w:rFonts w:eastAsia="Times New Roman"/>
        </w:rPr>
        <w:t>national energy system of the area</w:t>
      </w:r>
      <w:r w:rsidR="008E4263">
        <w:rPr>
          <w:rFonts w:eastAsia="Times New Roman"/>
        </w:rPr>
        <w:t xml:space="preserve"> in cooperative and non-cooperative </w:t>
      </w:r>
      <w:proofErr w:type="gramStart"/>
      <w:r w:rsidR="008E4263">
        <w:rPr>
          <w:rFonts w:eastAsia="Times New Roman"/>
        </w:rPr>
        <w:t>manner</w:t>
      </w:r>
      <w:r w:rsidRPr="00F37E50">
        <w:rPr>
          <w:rFonts w:eastAsia="Times New Roman"/>
        </w:rPr>
        <w:t>, when</w:t>
      </w:r>
      <w:proofErr w:type="gramEnd"/>
      <w:r w:rsidRPr="00F37E50">
        <w:rPr>
          <w:rFonts w:eastAsia="Times New Roman"/>
        </w:rPr>
        <w:t xml:space="preserve"> energy export levels are </w:t>
      </w:r>
      <w:r>
        <w:rPr>
          <w:rFonts w:eastAsia="Times New Roman"/>
        </w:rPr>
        <w:t>determined</w:t>
      </w:r>
      <w:r w:rsidRPr="00F37E50">
        <w:rPr>
          <w:rFonts w:eastAsia="Times New Roman"/>
        </w:rPr>
        <w:t xml:space="preserve"> by the </w:t>
      </w:r>
      <w:r>
        <w:rPr>
          <w:rFonts w:eastAsia="Times New Roman"/>
        </w:rPr>
        <w:t>willingness to pay of the different “importers/customers”</w:t>
      </w:r>
      <w:r w:rsidRPr="00F37E50">
        <w:rPr>
          <w:rFonts w:eastAsia="Times New Roman"/>
          <w:vertAlign w:val="superscript"/>
        </w:rPr>
        <w:footnoteReference w:id="2"/>
      </w:r>
      <w:r w:rsidRPr="00F37E50">
        <w:rPr>
          <w:rFonts w:eastAsia="Times New Roman"/>
        </w:rPr>
        <w:t>.</w:t>
      </w:r>
    </w:p>
    <w:p w14:paraId="4CB4753D" w14:textId="61ACFD32" w:rsidR="00C430E5" w:rsidRDefault="00F37E50" w:rsidP="00C430E5">
      <w:pPr>
        <w:spacing w:after="0" w:line="240" w:lineRule="auto"/>
        <w:jc w:val="both"/>
        <w:rPr>
          <w:rFonts w:eastAsia="Times New Roman"/>
        </w:rPr>
      </w:pPr>
      <w:r w:rsidRPr="00F37E50">
        <w:rPr>
          <w:rFonts w:eastAsia="Times New Roman"/>
        </w:rPr>
        <w:lastRenderedPageBreak/>
        <w:t xml:space="preserve">The model responds to economic incentives (such as revenues from the exports) by </w:t>
      </w:r>
      <w:proofErr w:type="spellStart"/>
      <w:r w:rsidRPr="00F37E50">
        <w:rPr>
          <w:rFonts w:eastAsia="Times New Roman"/>
        </w:rPr>
        <w:t>optimising</w:t>
      </w:r>
      <w:proofErr w:type="spellEnd"/>
      <w:r w:rsidRPr="00F37E50">
        <w:rPr>
          <w:rFonts w:eastAsia="Times New Roman"/>
        </w:rPr>
        <w:t xml:space="preserve"> the domestic energy system (supply and demand of each energy form), the energy exchanges with</w:t>
      </w:r>
      <w:r w:rsidR="008E4263">
        <w:rPr>
          <w:rFonts w:eastAsia="Times New Roman"/>
        </w:rPr>
        <w:t>in the multiregional system (CAC area)</w:t>
      </w:r>
      <w:r w:rsidRPr="00F37E50">
        <w:rPr>
          <w:rFonts w:eastAsia="Times New Roman"/>
        </w:rPr>
        <w:t xml:space="preserve">, and with the external markets, in an </w:t>
      </w:r>
      <w:r w:rsidR="008E4263">
        <w:rPr>
          <w:rFonts w:eastAsia="Times New Roman"/>
        </w:rPr>
        <w:t>“</w:t>
      </w:r>
      <w:r w:rsidRPr="00F37E50">
        <w:rPr>
          <w:rFonts w:eastAsia="Times New Roman"/>
        </w:rPr>
        <w:t>integrated</w:t>
      </w:r>
      <w:r w:rsidR="008E4263">
        <w:rPr>
          <w:rFonts w:eastAsia="Times New Roman"/>
        </w:rPr>
        <w:t>”</w:t>
      </w:r>
      <w:r w:rsidRPr="00F37E50">
        <w:rPr>
          <w:rFonts w:eastAsia="Times New Roman"/>
        </w:rPr>
        <w:t xml:space="preserve"> manner.</w:t>
      </w:r>
      <w:r w:rsidR="00C430E5">
        <w:rPr>
          <w:rFonts w:eastAsia="Times New Roman"/>
        </w:rPr>
        <w:t xml:space="preserve"> </w:t>
      </w:r>
      <w:r w:rsidR="00AF041C">
        <w:rPr>
          <w:rFonts w:eastAsia="Times New Roman"/>
        </w:rPr>
        <w:t xml:space="preserve">A “discount” factor of 5% per year is used to value the costs of the energy system at different time points in the future. In other words, a cost of $100 one year in the future would </w:t>
      </w:r>
      <w:proofErr w:type="gramStart"/>
      <w:r w:rsidR="00AF041C">
        <w:rPr>
          <w:rFonts w:eastAsia="Times New Roman"/>
        </w:rPr>
        <w:t>be equated</w:t>
      </w:r>
      <w:proofErr w:type="gramEnd"/>
      <w:r w:rsidR="00AF041C">
        <w:rPr>
          <w:rFonts w:eastAsia="Times New Roman"/>
        </w:rPr>
        <w:t xml:space="preserve"> to a cost of $95 today. This </w:t>
      </w:r>
      <w:r>
        <w:rPr>
          <w:rFonts w:eastAsia="Times New Roman"/>
        </w:rPr>
        <w:t xml:space="preserve">discount factor can be changed. Implicit discount rates are also used at </w:t>
      </w:r>
      <w:proofErr w:type="gramStart"/>
      <w:r>
        <w:rPr>
          <w:rFonts w:eastAsia="Times New Roman"/>
        </w:rPr>
        <w:t>sectoral</w:t>
      </w:r>
      <w:proofErr w:type="gramEnd"/>
      <w:r>
        <w:rPr>
          <w:rFonts w:eastAsia="Times New Roman"/>
        </w:rPr>
        <w:t xml:space="preserve"> level.</w:t>
      </w:r>
    </w:p>
    <w:p w14:paraId="1DE2973E" w14:textId="771F1A07" w:rsidR="00DB7CD1" w:rsidRDefault="00C430E5" w:rsidP="0098169A">
      <w:pPr>
        <w:spacing w:before="100" w:beforeAutospacing="1" w:after="100" w:afterAutospacing="1" w:line="240" w:lineRule="auto"/>
        <w:jc w:val="both"/>
        <w:rPr>
          <w:rFonts w:eastAsia="Times New Roman"/>
        </w:rPr>
      </w:pPr>
      <w:r w:rsidRPr="00AC33B5">
        <w:t xml:space="preserve">The TIMES-CAC model is solved using </w:t>
      </w:r>
      <w:r>
        <w:t xml:space="preserve">a </w:t>
      </w:r>
      <w:r w:rsidRPr="00AC33B5">
        <w:t xml:space="preserve">mixed-integer-linear programming (MILP) </w:t>
      </w:r>
      <w:r>
        <w:t xml:space="preserve">option of the CPLEX </w:t>
      </w:r>
      <w:r w:rsidRPr="00AC33B5">
        <w:t>solver</w:t>
      </w:r>
      <w:r>
        <w:t xml:space="preserve">, </w:t>
      </w:r>
      <w:r>
        <w:rPr>
          <w:rFonts w:cs="Times New Roman"/>
        </w:rPr>
        <w:t>through</w:t>
      </w:r>
      <w:r w:rsidRPr="006A5F77">
        <w:rPr>
          <w:rFonts w:cs="Times New Roman"/>
        </w:rPr>
        <w:t xml:space="preserve"> which the mo</w:t>
      </w:r>
      <w:r>
        <w:rPr>
          <w:rFonts w:cs="Times New Roman"/>
        </w:rPr>
        <w:t>st</w:t>
      </w:r>
      <w:r w:rsidRPr="006A5F77">
        <w:rPr>
          <w:rFonts w:cs="Times New Roman"/>
        </w:rPr>
        <w:t xml:space="preserve"> suitable </w:t>
      </w:r>
      <w:r>
        <w:rPr>
          <w:rFonts w:cs="Times New Roman"/>
        </w:rPr>
        <w:t>“</w:t>
      </w:r>
      <w:r w:rsidRPr="006A5F77">
        <w:rPr>
          <w:rFonts w:cs="Times New Roman"/>
        </w:rPr>
        <w:t>size</w:t>
      </w:r>
      <w:r>
        <w:rPr>
          <w:rFonts w:cs="Times New Roman"/>
        </w:rPr>
        <w:t>” (capacity of the process)</w:t>
      </w:r>
      <w:r w:rsidRPr="006A5F77">
        <w:rPr>
          <w:rFonts w:cs="Times New Roman"/>
        </w:rPr>
        <w:t xml:space="preserve"> of each cross-</w:t>
      </w:r>
      <w:r>
        <w:rPr>
          <w:rFonts w:cs="Times New Roman"/>
        </w:rPr>
        <w:t>c</w:t>
      </w:r>
      <w:r w:rsidRPr="006A5F77">
        <w:rPr>
          <w:rFonts w:cs="Times New Roman"/>
        </w:rPr>
        <w:t>ountry infrastructure is selected (included in the optimal solution).</w:t>
      </w:r>
      <w:r w:rsidR="00DB7CD1">
        <w:rPr>
          <w:rFonts w:eastAsia="Times New Roman"/>
        </w:rPr>
        <w:br w:type="page"/>
      </w:r>
    </w:p>
    <w:p w14:paraId="16DFA10A" w14:textId="09645DCE" w:rsidR="009163B3" w:rsidRPr="00AA6C68" w:rsidRDefault="00D41308" w:rsidP="00AA6C68">
      <w:pPr>
        <w:pStyle w:val="ListParagraph"/>
        <w:numPr>
          <w:ilvl w:val="0"/>
          <w:numId w:val="1"/>
        </w:numPr>
        <w:spacing w:before="100" w:beforeAutospacing="1" w:after="100" w:afterAutospacing="1" w:line="240" w:lineRule="auto"/>
        <w:rPr>
          <w:rFonts w:eastAsia="Times New Roman"/>
          <w:b/>
          <w:u w:val="single"/>
        </w:rPr>
      </w:pPr>
      <w:r>
        <w:rPr>
          <w:rFonts w:eastAsia="Times New Roman"/>
          <w:b/>
          <w:u w:val="single"/>
        </w:rPr>
        <w:lastRenderedPageBreak/>
        <w:t>K</w:t>
      </w:r>
      <w:r w:rsidR="007900AC" w:rsidRPr="00AA6C68">
        <w:rPr>
          <w:rFonts w:eastAsia="Times New Roman"/>
          <w:b/>
          <w:u w:val="single"/>
        </w:rPr>
        <w:t xml:space="preserve">ey parameters </w:t>
      </w:r>
    </w:p>
    <w:p w14:paraId="6A6F5FF4" w14:textId="72C5EB1D" w:rsidR="00D41308" w:rsidRPr="00A7250B" w:rsidRDefault="00A7250B" w:rsidP="0098169A">
      <w:pPr>
        <w:spacing w:line="240" w:lineRule="auto"/>
        <w:jc w:val="both"/>
        <w:rPr>
          <w:rFonts w:ascii="Calibri" w:eastAsia="Times New Roman" w:hAnsi="Calibri" w:cs="Calibri"/>
        </w:rPr>
      </w:pPr>
      <w:r w:rsidRPr="00A7250B">
        <w:rPr>
          <w:rFonts w:ascii="Calibri" w:eastAsia="Times New Roman" w:hAnsi="Calibri" w:cs="Calibri"/>
        </w:rPr>
        <w:t>The TIMES-CAC model</w:t>
      </w:r>
      <w:r>
        <w:rPr>
          <w:rFonts w:ascii="Calibri" w:eastAsia="Times New Roman" w:hAnsi="Calibri" w:cs="Calibri"/>
        </w:rPr>
        <w:t xml:space="preserve"> is “by paradigm” a technology rich tool where techno-economic information </w:t>
      </w:r>
      <w:proofErr w:type="gramStart"/>
      <w:r>
        <w:rPr>
          <w:rFonts w:ascii="Calibri" w:eastAsia="Times New Roman" w:hAnsi="Calibri" w:cs="Calibri"/>
        </w:rPr>
        <w:t>are</w:t>
      </w:r>
      <w:proofErr w:type="gramEnd"/>
      <w:r>
        <w:rPr>
          <w:rFonts w:ascii="Calibri" w:eastAsia="Times New Roman" w:hAnsi="Calibri" w:cs="Calibri"/>
        </w:rPr>
        <w:t xml:space="preserve"> assigned to each process (existing and future) of the system, and therefore many data/parameters can be extracted and reported.</w:t>
      </w:r>
    </w:p>
    <w:p w14:paraId="5E4D157D" w14:textId="5AFCEBAF" w:rsidR="005A1E23" w:rsidRDefault="0091737E" w:rsidP="0098169A">
      <w:pPr>
        <w:spacing w:line="240" w:lineRule="auto"/>
        <w:jc w:val="both"/>
        <w:rPr>
          <w:rFonts w:ascii="Calibri" w:eastAsia="Times New Roman" w:hAnsi="Calibri" w:cs="Calibri"/>
        </w:rPr>
      </w:pPr>
      <w:r>
        <w:rPr>
          <w:rFonts w:ascii="Calibri" w:eastAsia="Times New Roman" w:hAnsi="Calibri" w:cs="Calibri"/>
        </w:rPr>
        <w:t xml:space="preserve">Based on the </w:t>
      </w:r>
      <w:r w:rsidR="00A7250B">
        <w:rPr>
          <w:rFonts w:ascii="Calibri" w:eastAsia="Times New Roman" w:hAnsi="Calibri" w:cs="Calibri"/>
        </w:rPr>
        <w:t xml:space="preserve">geopolitical and strategic role of the </w:t>
      </w:r>
      <w:r>
        <w:rPr>
          <w:rFonts w:ascii="Calibri" w:eastAsia="Times New Roman" w:hAnsi="Calibri" w:cs="Calibri"/>
        </w:rPr>
        <w:t xml:space="preserve">CAC </w:t>
      </w:r>
      <w:r w:rsidR="00A7250B">
        <w:rPr>
          <w:rFonts w:ascii="Calibri" w:eastAsia="Times New Roman" w:hAnsi="Calibri" w:cs="Calibri"/>
        </w:rPr>
        <w:t>area</w:t>
      </w:r>
      <w:r w:rsidR="00E45F7E">
        <w:rPr>
          <w:rFonts w:ascii="Calibri" w:eastAsia="Times New Roman" w:hAnsi="Calibri" w:cs="Calibri"/>
        </w:rPr>
        <w:t xml:space="preserve"> in the</w:t>
      </w:r>
      <w:r w:rsidR="00813E5A">
        <w:rPr>
          <w:rFonts w:ascii="Calibri" w:eastAsia="Times New Roman" w:hAnsi="Calibri" w:cs="Calibri"/>
        </w:rPr>
        <w:t xml:space="preserve"> international</w:t>
      </w:r>
      <w:r w:rsidR="00E45F7E">
        <w:rPr>
          <w:rFonts w:ascii="Calibri" w:eastAsia="Times New Roman" w:hAnsi="Calibri" w:cs="Calibri"/>
        </w:rPr>
        <w:t xml:space="preserve"> </w:t>
      </w:r>
      <w:r>
        <w:rPr>
          <w:rFonts w:ascii="Calibri" w:eastAsia="Times New Roman" w:hAnsi="Calibri" w:cs="Calibri"/>
        </w:rPr>
        <w:t>“</w:t>
      </w:r>
      <w:r w:rsidR="00E45F7E">
        <w:rPr>
          <w:rFonts w:ascii="Calibri" w:eastAsia="Times New Roman" w:hAnsi="Calibri" w:cs="Calibri"/>
        </w:rPr>
        <w:t>energy</w:t>
      </w:r>
      <w:r>
        <w:rPr>
          <w:rFonts w:ascii="Calibri" w:eastAsia="Times New Roman" w:hAnsi="Calibri" w:cs="Calibri"/>
        </w:rPr>
        <w:t>”</w:t>
      </w:r>
      <w:r w:rsidR="00E45F7E">
        <w:rPr>
          <w:rFonts w:ascii="Calibri" w:eastAsia="Times New Roman" w:hAnsi="Calibri" w:cs="Calibri"/>
        </w:rPr>
        <w:t xml:space="preserve"> context</w:t>
      </w:r>
      <w:r w:rsidR="00A7250B">
        <w:rPr>
          <w:rFonts w:ascii="Calibri" w:eastAsia="Times New Roman" w:hAnsi="Calibri" w:cs="Calibri"/>
        </w:rPr>
        <w:t>,</w:t>
      </w:r>
      <w:r w:rsidR="006631E0">
        <w:rPr>
          <w:rFonts w:ascii="Calibri" w:eastAsia="Times New Roman" w:hAnsi="Calibri" w:cs="Calibri"/>
        </w:rPr>
        <w:t xml:space="preserve"> </w:t>
      </w:r>
      <w:r>
        <w:rPr>
          <w:rFonts w:ascii="Calibri" w:eastAsia="Times New Roman" w:hAnsi="Calibri" w:cs="Calibri"/>
        </w:rPr>
        <w:t xml:space="preserve">and </w:t>
      </w:r>
      <w:r w:rsidR="006631E0">
        <w:rPr>
          <w:rFonts w:ascii="Calibri" w:eastAsia="Times New Roman" w:hAnsi="Calibri" w:cs="Calibri"/>
        </w:rPr>
        <w:t xml:space="preserve">on its </w:t>
      </w:r>
      <w:r w:rsidR="00E45F7E">
        <w:rPr>
          <w:rFonts w:ascii="Calibri" w:eastAsia="Times New Roman" w:hAnsi="Calibri" w:cs="Calibri"/>
        </w:rPr>
        <w:t xml:space="preserve">specific </w:t>
      </w:r>
      <w:r w:rsidR="006631E0">
        <w:rPr>
          <w:rFonts w:ascii="Calibri" w:eastAsia="Times New Roman" w:hAnsi="Calibri" w:cs="Calibri"/>
        </w:rPr>
        <w:t xml:space="preserve">technical and market characteristics which affect the </w:t>
      </w:r>
      <w:r w:rsidR="00E45F7E">
        <w:rPr>
          <w:rFonts w:ascii="Calibri" w:eastAsia="Times New Roman" w:hAnsi="Calibri" w:cs="Calibri"/>
        </w:rPr>
        <w:t>local</w:t>
      </w:r>
      <w:r>
        <w:rPr>
          <w:rFonts w:ascii="Calibri" w:eastAsia="Times New Roman" w:hAnsi="Calibri" w:cs="Calibri"/>
        </w:rPr>
        <w:t xml:space="preserve"> </w:t>
      </w:r>
      <w:r w:rsidR="006631E0">
        <w:rPr>
          <w:rFonts w:ascii="Calibri" w:eastAsia="Times New Roman" w:hAnsi="Calibri" w:cs="Calibri"/>
        </w:rPr>
        <w:t xml:space="preserve">energy </w:t>
      </w:r>
      <w:r w:rsidR="00104B44">
        <w:rPr>
          <w:rFonts w:ascii="Calibri" w:eastAsia="Times New Roman" w:hAnsi="Calibri" w:cs="Calibri"/>
        </w:rPr>
        <w:t>and climate plans</w:t>
      </w:r>
      <w:r w:rsidR="006631E0">
        <w:rPr>
          <w:rFonts w:ascii="Calibri" w:eastAsia="Times New Roman" w:hAnsi="Calibri" w:cs="Calibri"/>
        </w:rPr>
        <w:t>,</w:t>
      </w:r>
      <w:r w:rsidR="00A7250B">
        <w:rPr>
          <w:rFonts w:ascii="Calibri" w:eastAsia="Times New Roman" w:hAnsi="Calibri" w:cs="Calibri"/>
        </w:rPr>
        <w:t xml:space="preserve"> the following key information are </w:t>
      </w:r>
      <w:r>
        <w:rPr>
          <w:rFonts w:ascii="Calibri" w:eastAsia="Times New Roman" w:hAnsi="Calibri" w:cs="Calibri"/>
        </w:rPr>
        <w:t xml:space="preserve">selected as </w:t>
      </w:r>
      <w:r w:rsidR="00A7250B">
        <w:rPr>
          <w:rFonts w:ascii="Calibri" w:eastAsia="Times New Roman" w:hAnsi="Calibri" w:cs="Calibri"/>
        </w:rPr>
        <w:t>the “</w:t>
      </w:r>
      <w:r w:rsidR="007C021D">
        <w:rPr>
          <w:rFonts w:ascii="Calibri" w:eastAsia="Times New Roman" w:hAnsi="Calibri" w:cs="Calibri"/>
        </w:rPr>
        <w:t>most important</w:t>
      </w:r>
      <w:r w:rsidR="00A7250B">
        <w:rPr>
          <w:rFonts w:ascii="Calibri" w:eastAsia="Times New Roman" w:hAnsi="Calibri" w:cs="Calibri"/>
        </w:rPr>
        <w:t xml:space="preserve">” parameters </w:t>
      </w:r>
      <w:r>
        <w:rPr>
          <w:rFonts w:ascii="Calibri" w:eastAsia="Times New Roman" w:hAnsi="Calibri" w:cs="Calibri"/>
        </w:rPr>
        <w:t>to</w:t>
      </w:r>
      <w:r w:rsidR="00A7250B">
        <w:rPr>
          <w:rFonts w:ascii="Calibri" w:eastAsia="Times New Roman" w:hAnsi="Calibri" w:cs="Calibri"/>
        </w:rPr>
        <w:t xml:space="preserve"> </w:t>
      </w:r>
      <w:r>
        <w:rPr>
          <w:rFonts w:ascii="Calibri" w:eastAsia="Times New Roman" w:hAnsi="Calibri" w:cs="Calibri"/>
        </w:rPr>
        <w:t xml:space="preserve">monitor, </w:t>
      </w:r>
      <w:proofErr w:type="gramStart"/>
      <w:r w:rsidR="00A7250B">
        <w:rPr>
          <w:rFonts w:ascii="Calibri" w:eastAsia="Times New Roman" w:hAnsi="Calibri" w:cs="Calibri"/>
        </w:rPr>
        <w:t>discuss</w:t>
      </w:r>
      <w:proofErr w:type="gramEnd"/>
      <w:r w:rsidR="00A7250B">
        <w:rPr>
          <w:rFonts w:ascii="Calibri" w:eastAsia="Times New Roman" w:hAnsi="Calibri" w:cs="Calibri"/>
        </w:rPr>
        <w:t xml:space="preserve"> and </w:t>
      </w:r>
      <w:r>
        <w:rPr>
          <w:rFonts w:ascii="Calibri" w:eastAsia="Times New Roman" w:hAnsi="Calibri" w:cs="Calibri"/>
        </w:rPr>
        <w:t>evaluate</w:t>
      </w:r>
      <w:r w:rsidR="00A7250B">
        <w:rPr>
          <w:rFonts w:ascii="Calibri" w:eastAsia="Times New Roman" w:hAnsi="Calibri" w:cs="Calibri"/>
        </w:rPr>
        <w:t xml:space="preserve"> in the framework of the </w:t>
      </w:r>
      <w:r w:rsidR="00A7250B" w:rsidRPr="0091737E">
        <w:rPr>
          <w:rFonts w:ascii="Calibri" w:eastAsia="Times New Roman" w:hAnsi="Calibri" w:cs="Calibri"/>
          <w:i/>
        </w:rPr>
        <w:t xml:space="preserve">Paris </w:t>
      </w:r>
      <w:r w:rsidR="00104B44" w:rsidRPr="0091737E">
        <w:rPr>
          <w:rFonts w:ascii="Calibri" w:eastAsia="Times New Roman" w:hAnsi="Calibri" w:cs="Calibri"/>
          <w:i/>
        </w:rPr>
        <w:t>R</w:t>
      </w:r>
      <w:r w:rsidR="00A7250B" w:rsidRPr="0091737E">
        <w:rPr>
          <w:rFonts w:ascii="Calibri" w:eastAsia="Times New Roman" w:hAnsi="Calibri" w:cs="Calibri"/>
          <w:i/>
        </w:rPr>
        <w:t>einforce</w:t>
      </w:r>
      <w:r w:rsidR="00A7250B">
        <w:rPr>
          <w:rFonts w:ascii="Calibri" w:eastAsia="Times New Roman" w:hAnsi="Calibri" w:cs="Calibri"/>
        </w:rPr>
        <w:t xml:space="preserve"> project for a successful integration of th</w:t>
      </w:r>
      <w:r w:rsidR="006631E0">
        <w:rPr>
          <w:rFonts w:ascii="Calibri" w:eastAsia="Times New Roman" w:hAnsi="Calibri" w:cs="Calibri"/>
        </w:rPr>
        <w:t>is model with the other</w:t>
      </w:r>
      <w:r w:rsidR="00A7250B">
        <w:rPr>
          <w:rFonts w:ascii="Calibri" w:eastAsia="Times New Roman" w:hAnsi="Calibri" w:cs="Calibri"/>
        </w:rPr>
        <w:t xml:space="preserve"> tools</w:t>
      </w:r>
      <w:r w:rsidR="00104B44">
        <w:rPr>
          <w:rFonts w:ascii="Calibri" w:eastAsia="Times New Roman" w:hAnsi="Calibri" w:cs="Calibri"/>
        </w:rPr>
        <w:t xml:space="preserve"> and </w:t>
      </w:r>
      <w:r w:rsidR="006631E0">
        <w:rPr>
          <w:rFonts w:ascii="Calibri" w:eastAsia="Times New Roman" w:hAnsi="Calibri" w:cs="Calibri"/>
        </w:rPr>
        <w:t>analyses</w:t>
      </w:r>
      <w:r w:rsidR="00A7250B">
        <w:rPr>
          <w:rFonts w:ascii="Calibri" w:eastAsia="Times New Roman" w:hAnsi="Calibri" w:cs="Calibri"/>
        </w:rPr>
        <w:t>:</w:t>
      </w:r>
    </w:p>
    <w:p w14:paraId="5B3EB8D8" w14:textId="06C51775" w:rsidR="00A7250B" w:rsidRDefault="006631E0" w:rsidP="0098169A">
      <w:pPr>
        <w:pStyle w:val="ListParagraph"/>
        <w:numPr>
          <w:ilvl w:val="0"/>
          <w:numId w:val="14"/>
        </w:numPr>
        <w:spacing w:line="240" w:lineRule="auto"/>
        <w:jc w:val="both"/>
        <w:rPr>
          <w:rFonts w:ascii="Calibri" w:eastAsia="Times New Roman" w:hAnsi="Calibri" w:cs="Calibri"/>
        </w:rPr>
      </w:pPr>
      <w:r>
        <w:rPr>
          <w:rFonts w:ascii="Calibri" w:eastAsia="Times New Roman" w:hAnsi="Calibri" w:cs="Calibri"/>
        </w:rPr>
        <w:t xml:space="preserve">Fossil fuels </w:t>
      </w:r>
      <w:r w:rsidR="008A7AB2">
        <w:rPr>
          <w:rFonts w:ascii="Calibri" w:eastAsia="Times New Roman" w:hAnsi="Calibri" w:cs="Calibri"/>
        </w:rPr>
        <w:t xml:space="preserve">proven/possible </w:t>
      </w:r>
      <w:r>
        <w:rPr>
          <w:rFonts w:ascii="Calibri" w:eastAsia="Times New Roman" w:hAnsi="Calibri" w:cs="Calibri"/>
        </w:rPr>
        <w:t>r</w:t>
      </w:r>
      <w:r w:rsidR="00A7250B">
        <w:rPr>
          <w:rFonts w:ascii="Calibri" w:eastAsia="Times New Roman" w:hAnsi="Calibri" w:cs="Calibri"/>
        </w:rPr>
        <w:t>eserves (mainly oil and gas)</w:t>
      </w:r>
      <w:r>
        <w:rPr>
          <w:rFonts w:ascii="Calibri" w:eastAsia="Times New Roman" w:hAnsi="Calibri" w:cs="Calibri"/>
        </w:rPr>
        <w:t xml:space="preserve"> and </w:t>
      </w:r>
      <w:r w:rsidR="00104B44">
        <w:rPr>
          <w:rFonts w:ascii="Calibri" w:eastAsia="Times New Roman" w:hAnsi="Calibri" w:cs="Calibri"/>
        </w:rPr>
        <w:t xml:space="preserve">expected </w:t>
      </w:r>
      <w:r>
        <w:rPr>
          <w:rFonts w:ascii="Calibri" w:eastAsia="Times New Roman" w:hAnsi="Calibri" w:cs="Calibri"/>
        </w:rPr>
        <w:t>production rates (P/R).</w:t>
      </w:r>
    </w:p>
    <w:p w14:paraId="4C47DD81" w14:textId="57A6D7DC" w:rsidR="00A7250B" w:rsidRDefault="006631E0" w:rsidP="0098169A">
      <w:pPr>
        <w:pStyle w:val="ListParagraph"/>
        <w:numPr>
          <w:ilvl w:val="0"/>
          <w:numId w:val="14"/>
        </w:numPr>
        <w:spacing w:line="240" w:lineRule="auto"/>
        <w:jc w:val="both"/>
        <w:rPr>
          <w:rFonts w:ascii="Calibri" w:eastAsia="Times New Roman" w:hAnsi="Calibri" w:cs="Calibri"/>
        </w:rPr>
      </w:pPr>
      <w:r>
        <w:rPr>
          <w:rFonts w:ascii="Calibri" w:eastAsia="Times New Roman" w:hAnsi="Calibri" w:cs="Calibri"/>
        </w:rPr>
        <w:t>Quantities and (</w:t>
      </w:r>
      <w:r w:rsidR="00A7250B">
        <w:rPr>
          <w:rFonts w:ascii="Calibri" w:eastAsia="Times New Roman" w:hAnsi="Calibri" w:cs="Calibri"/>
        </w:rPr>
        <w:t>or)</w:t>
      </w:r>
      <w:r>
        <w:rPr>
          <w:rFonts w:ascii="Calibri" w:eastAsia="Times New Roman" w:hAnsi="Calibri" w:cs="Calibri"/>
        </w:rPr>
        <w:t xml:space="preserve"> prices of </w:t>
      </w:r>
      <w:proofErr w:type="gramStart"/>
      <w:r>
        <w:rPr>
          <w:rFonts w:ascii="Calibri" w:eastAsia="Times New Roman" w:hAnsi="Calibri" w:cs="Calibri"/>
        </w:rPr>
        <w:t>trades</w:t>
      </w:r>
      <w:proofErr w:type="gramEnd"/>
      <w:r>
        <w:rPr>
          <w:rFonts w:ascii="Calibri" w:eastAsia="Times New Roman" w:hAnsi="Calibri" w:cs="Calibri"/>
        </w:rPr>
        <w:t xml:space="preserve"> (mainly for oil and gas), by area of import. </w:t>
      </w:r>
    </w:p>
    <w:p w14:paraId="2FEE0943" w14:textId="77777777" w:rsidR="006631E0" w:rsidRDefault="006631E0" w:rsidP="0098169A">
      <w:pPr>
        <w:pStyle w:val="ListParagraph"/>
        <w:numPr>
          <w:ilvl w:val="0"/>
          <w:numId w:val="14"/>
        </w:numPr>
        <w:spacing w:line="240" w:lineRule="auto"/>
        <w:jc w:val="both"/>
        <w:rPr>
          <w:rFonts w:ascii="Calibri" w:eastAsia="Times New Roman" w:hAnsi="Calibri" w:cs="Calibri"/>
        </w:rPr>
      </w:pPr>
      <w:r>
        <w:rPr>
          <w:rFonts w:ascii="Calibri" w:eastAsia="Times New Roman" w:hAnsi="Calibri" w:cs="Calibri"/>
        </w:rPr>
        <w:t>Information about under construction/planned/possible energy projects/infrastructures.</w:t>
      </w:r>
    </w:p>
    <w:p w14:paraId="15FFDAF1" w14:textId="19007F64" w:rsidR="006631E0" w:rsidRDefault="006631E0" w:rsidP="0098169A">
      <w:pPr>
        <w:pStyle w:val="ListParagraph"/>
        <w:numPr>
          <w:ilvl w:val="0"/>
          <w:numId w:val="14"/>
        </w:numPr>
        <w:spacing w:line="240" w:lineRule="auto"/>
        <w:jc w:val="both"/>
        <w:rPr>
          <w:rFonts w:ascii="Calibri" w:eastAsia="Times New Roman" w:hAnsi="Calibri" w:cs="Calibri"/>
        </w:rPr>
      </w:pPr>
      <w:proofErr w:type="gramStart"/>
      <w:r>
        <w:rPr>
          <w:rFonts w:ascii="Calibri" w:eastAsia="Times New Roman" w:hAnsi="Calibri" w:cs="Calibri"/>
        </w:rPr>
        <w:t>Burden</w:t>
      </w:r>
      <w:proofErr w:type="gramEnd"/>
      <w:r>
        <w:rPr>
          <w:rFonts w:ascii="Calibri" w:eastAsia="Times New Roman" w:hAnsi="Calibri" w:cs="Calibri"/>
        </w:rPr>
        <w:t>/contribution of the countries/area to global climate targets (based on previous experiences, this is particularly relevant with respect to the gas allocation</w:t>
      </w:r>
      <w:r w:rsidR="0091737E">
        <w:rPr>
          <w:rFonts w:ascii="Calibri" w:eastAsia="Times New Roman" w:hAnsi="Calibri" w:cs="Calibri"/>
        </w:rPr>
        <w:t>: domestic use VS export</w:t>
      </w:r>
      <w:r>
        <w:rPr>
          <w:rFonts w:ascii="Calibri" w:eastAsia="Times New Roman" w:hAnsi="Calibri" w:cs="Calibri"/>
        </w:rPr>
        <w:t>)</w:t>
      </w:r>
      <w:r w:rsidR="0091737E">
        <w:rPr>
          <w:rFonts w:ascii="Calibri" w:eastAsia="Times New Roman" w:hAnsi="Calibri" w:cs="Calibri"/>
        </w:rPr>
        <w:t>,</w:t>
      </w:r>
      <w:r w:rsidR="00E45F7E">
        <w:rPr>
          <w:rFonts w:ascii="Calibri" w:eastAsia="Times New Roman" w:hAnsi="Calibri" w:cs="Calibri"/>
        </w:rPr>
        <w:t xml:space="preserve"> and national emission reduction goals</w:t>
      </w:r>
      <w:r>
        <w:rPr>
          <w:rFonts w:ascii="Calibri" w:eastAsia="Times New Roman" w:hAnsi="Calibri" w:cs="Calibri"/>
        </w:rPr>
        <w:t>.</w:t>
      </w:r>
    </w:p>
    <w:p w14:paraId="28DA05B2" w14:textId="6EFD0DA5" w:rsidR="006631E0" w:rsidRDefault="006631E0" w:rsidP="0098169A">
      <w:pPr>
        <w:pStyle w:val="ListParagraph"/>
        <w:numPr>
          <w:ilvl w:val="0"/>
          <w:numId w:val="14"/>
        </w:numPr>
        <w:spacing w:line="240" w:lineRule="auto"/>
        <w:jc w:val="both"/>
        <w:rPr>
          <w:rFonts w:ascii="Calibri" w:eastAsia="Times New Roman" w:hAnsi="Calibri" w:cs="Calibri"/>
        </w:rPr>
      </w:pPr>
      <w:r>
        <w:rPr>
          <w:rFonts w:ascii="Calibri" w:eastAsia="Times New Roman" w:hAnsi="Calibri" w:cs="Calibri"/>
        </w:rPr>
        <w:t xml:space="preserve">Energy efficiency </w:t>
      </w:r>
      <w:proofErr w:type="gramStart"/>
      <w:r>
        <w:rPr>
          <w:rFonts w:ascii="Calibri" w:eastAsia="Times New Roman" w:hAnsi="Calibri" w:cs="Calibri"/>
        </w:rPr>
        <w:t>improvements</w:t>
      </w:r>
      <w:proofErr w:type="gramEnd"/>
      <w:r>
        <w:rPr>
          <w:rFonts w:ascii="Calibri" w:eastAsia="Times New Roman" w:hAnsi="Calibri" w:cs="Calibri"/>
        </w:rPr>
        <w:t xml:space="preserve"> costs/limits</w:t>
      </w:r>
      <w:r w:rsidR="00104B44">
        <w:rPr>
          <w:rFonts w:ascii="Calibri" w:eastAsia="Times New Roman" w:hAnsi="Calibri" w:cs="Calibri"/>
        </w:rPr>
        <w:t xml:space="preserve"> (from the supply side to the demand side)</w:t>
      </w:r>
      <w:r>
        <w:rPr>
          <w:rFonts w:ascii="Calibri" w:eastAsia="Times New Roman" w:hAnsi="Calibri" w:cs="Calibri"/>
        </w:rPr>
        <w:t>.</w:t>
      </w:r>
    </w:p>
    <w:p w14:paraId="79A15F59" w14:textId="73EFC03B" w:rsidR="006631E0" w:rsidRDefault="006631E0" w:rsidP="0098169A">
      <w:pPr>
        <w:pStyle w:val="ListParagraph"/>
        <w:numPr>
          <w:ilvl w:val="0"/>
          <w:numId w:val="14"/>
        </w:numPr>
        <w:spacing w:line="240" w:lineRule="auto"/>
        <w:jc w:val="both"/>
        <w:rPr>
          <w:rFonts w:ascii="Calibri" w:eastAsia="Times New Roman" w:hAnsi="Calibri" w:cs="Calibri"/>
        </w:rPr>
      </w:pPr>
      <w:r>
        <w:rPr>
          <w:rFonts w:ascii="Calibri" w:eastAsia="Times New Roman" w:hAnsi="Calibri" w:cs="Calibri"/>
        </w:rPr>
        <w:t xml:space="preserve">Renewable energy </w:t>
      </w:r>
      <w:r w:rsidR="00104B44">
        <w:rPr>
          <w:rFonts w:ascii="Calibri" w:eastAsia="Times New Roman" w:hAnsi="Calibri" w:cs="Calibri"/>
        </w:rPr>
        <w:t xml:space="preserve">and CCS </w:t>
      </w:r>
      <w:r>
        <w:rPr>
          <w:rFonts w:ascii="Calibri" w:eastAsia="Times New Roman" w:hAnsi="Calibri" w:cs="Calibri"/>
        </w:rPr>
        <w:t xml:space="preserve">costs/potentials. </w:t>
      </w:r>
    </w:p>
    <w:p w14:paraId="24E64975" w14:textId="482E2714" w:rsidR="00104B44" w:rsidRDefault="008A7AB2" w:rsidP="0098169A">
      <w:pPr>
        <w:pStyle w:val="ListParagraph"/>
        <w:numPr>
          <w:ilvl w:val="0"/>
          <w:numId w:val="14"/>
        </w:numPr>
        <w:spacing w:line="240" w:lineRule="auto"/>
        <w:jc w:val="both"/>
        <w:rPr>
          <w:rFonts w:ascii="Calibri" w:eastAsia="Times New Roman" w:hAnsi="Calibri" w:cs="Calibri"/>
        </w:rPr>
      </w:pPr>
      <w:r>
        <w:rPr>
          <w:rFonts w:ascii="Calibri" w:eastAsia="Times New Roman" w:hAnsi="Calibri" w:cs="Calibri"/>
        </w:rPr>
        <w:t>Others (</w:t>
      </w:r>
      <w:proofErr w:type="spellStart"/>
      <w:r>
        <w:rPr>
          <w:rFonts w:ascii="Calibri" w:eastAsia="Times New Roman" w:hAnsi="Calibri" w:cs="Calibri"/>
        </w:rPr>
        <w:t>tbd</w:t>
      </w:r>
      <w:proofErr w:type="spellEnd"/>
      <w:r>
        <w:rPr>
          <w:rFonts w:ascii="Calibri" w:eastAsia="Times New Roman" w:hAnsi="Calibri" w:cs="Calibri"/>
        </w:rPr>
        <w:t>).</w:t>
      </w:r>
    </w:p>
    <w:p w14:paraId="7FCE0303" w14:textId="0FC9342B" w:rsidR="00E54D5A" w:rsidRPr="008A7AB2" w:rsidRDefault="00E54D5A" w:rsidP="0098169A">
      <w:pPr>
        <w:pStyle w:val="ListParagraph"/>
        <w:numPr>
          <w:ilvl w:val="0"/>
          <w:numId w:val="14"/>
        </w:numPr>
        <w:spacing w:line="240" w:lineRule="auto"/>
        <w:jc w:val="both"/>
        <w:rPr>
          <w:rFonts w:ascii="Calibri" w:eastAsia="Times New Roman" w:hAnsi="Calibri" w:cs="Calibri"/>
        </w:rPr>
      </w:pPr>
      <w:proofErr w:type="gramStart"/>
      <w:r>
        <w:rPr>
          <w:rFonts w:ascii="Calibri" w:eastAsia="Times New Roman" w:hAnsi="Calibri" w:cs="Calibri"/>
        </w:rPr>
        <w:t>Locals</w:t>
      </w:r>
      <w:proofErr w:type="gramEnd"/>
      <w:r>
        <w:rPr>
          <w:rFonts w:ascii="Calibri" w:eastAsia="Times New Roman" w:hAnsi="Calibri" w:cs="Calibri"/>
        </w:rPr>
        <w:t>-specific priorities, targets, plans.</w:t>
      </w:r>
    </w:p>
    <w:p w14:paraId="63A8DEF7" w14:textId="504420E3" w:rsidR="00104B44" w:rsidRPr="007C021D" w:rsidRDefault="00E45F7E" w:rsidP="007C021D">
      <w:pPr>
        <w:spacing w:line="240" w:lineRule="auto"/>
        <w:jc w:val="both"/>
        <w:rPr>
          <w:rFonts w:eastAsia="Times New Roman"/>
          <w:bCs/>
        </w:rPr>
      </w:pPr>
      <w:r>
        <w:rPr>
          <w:rFonts w:eastAsia="Times New Roman"/>
          <w:bCs/>
        </w:rPr>
        <w:t xml:space="preserve">Parameters can be revised and updated in the framework of the </w:t>
      </w:r>
      <w:r w:rsidRPr="0091737E">
        <w:rPr>
          <w:rFonts w:eastAsia="Times New Roman"/>
          <w:bCs/>
          <w:i/>
        </w:rPr>
        <w:t>Paris Reinforce</w:t>
      </w:r>
      <w:r>
        <w:rPr>
          <w:rFonts w:eastAsia="Times New Roman"/>
          <w:bCs/>
        </w:rPr>
        <w:t xml:space="preserve"> project, </w:t>
      </w:r>
      <w:r w:rsidR="006D219C">
        <w:rPr>
          <w:rFonts w:eastAsia="Times New Roman"/>
          <w:bCs/>
        </w:rPr>
        <w:t>following the feedback of local experts (stakeholder engagement)</w:t>
      </w:r>
      <w:r w:rsidR="008A7AB2">
        <w:rPr>
          <w:rFonts w:eastAsia="Times New Roman"/>
          <w:bCs/>
        </w:rPr>
        <w:t>,</w:t>
      </w:r>
      <w:r w:rsidR="006D219C">
        <w:rPr>
          <w:rFonts w:eastAsia="Times New Roman"/>
          <w:bCs/>
        </w:rPr>
        <w:t xml:space="preserve"> the comparative assessment with other modelling experience</w:t>
      </w:r>
      <w:r w:rsidR="007C021D">
        <w:rPr>
          <w:rFonts w:eastAsia="Times New Roman"/>
          <w:bCs/>
        </w:rPr>
        <w:t>s</w:t>
      </w:r>
      <w:r w:rsidR="00813E5A">
        <w:rPr>
          <w:rFonts w:eastAsia="Times New Roman"/>
          <w:bCs/>
        </w:rPr>
        <w:t>, and the discussion with the partners (</w:t>
      </w:r>
      <w:proofErr w:type="spellStart"/>
      <w:r w:rsidR="00813E5A">
        <w:rPr>
          <w:rFonts w:eastAsia="Times New Roman"/>
          <w:bCs/>
        </w:rPr>
        <w:t>modellers</w:t>
      </w:r>
      <w:proofErr w:type="spellEnd"/>
      <w:r w:rsidR="00813E5A">
        <w:rPr>
          <w:rFonts w:eastAsia="Times New Roman"/>
          <w:bCs/>
        </w:rPr>
        <w:t>)</w:t>
      </w:r>
      <w:r w:rsidR="007C021D">
        <w:rPr>
          <w:rFonts w:eastAsia="Times New Roman"/>
          <w:bCs/>
        </w:rPr>
        <w:t>.</w:t>
      </w:r>
    </w:p>
    <w:p w14:paraId="4451660C" w14:textId="41D1A307" w:rsidR="000E6215" w:rsidRPr="00AA6C68" w:rsidRDefault="009A3758">
      <w:pPr>
        <w:pStyle w:val="ListParagraph"/>
        <w:spacing w:before="100" w:beforeAutospacing="1" w:after="100" w:afterAutospacing="1" w:line="240" w:lineRule="auto"/>
        <w:rPr>
          <w:rFonts w:ascii="Calibri" w:eastAsia="Times New Roman" w:hAnsi="Calibri" w:cs="Calibri"/>
          <w:b/>
          <w:u w:val="single"/>
        </w:rPr>
      </w:pPr>
      <w:r>
        <w:rPr>
          <w:rFonts w:ascii="Calibri" w:eastAsia="Times New Roman" w:hAnsi="Calibri" w:cs="Calibri"/>
          <w:b/>
          <w:u w:val="single"/>
        </w:rPr>
        <w:t xml:space="preserve">9. </w:t>
      </w:r>
      <w:r w:rsidR="000E6215" w:rsidRPr="00AA6C68">
        <w:rPr>
          <w:rFonts w:ascii="Calibri" w:eastAsia="Times New Roman" w:hAnsi="Calibri" w:cs="Calibri"/>
          <w:b/>
          <w:u w:val="single"/>
        </w:rPr>
        <w:t>Policy questions and SDGs</w:t>
      </w:r>
    </w:p>
    <w:p w14:paraId="01C4A657" w14:textId="1B2FA9B2" w:rsidR="000E6215" w:rsidRDefault="009A3758" w:rsidP="00AA6C68">
      <w:pPr>
        <w:spacing w:before="100" w:beforeAutospacing="1" w:after="100" w:afterAutospacing="1" w:line="240" w:lineRule="auto"/>
        <w:rPr>
          <w:rFonts w:ascii="Calibri" w:eastAsia="Times New Roman" w:hAnsi="Calibri" w:cs="Calibri"/>
          <w:i/>
          <w:u w:val="single"/>
        </w:rPr>
      </w:pPr>
      <w:r>
        <w:rPr>
          <w:rFonts w:ascii="Calibri" w:eastAsia="Times New Roman" w:hAnsi="Calibri" w:cs="Calibri"/>
          <w:i/>
          <w:u w:val="single"/>
        </w:rPr>
        <w:t>9</w:t>
      </w:r>
      <w:r w:rsidR="000E6215" w:rsidRPr="00AA6C68">
        <w:rPr>
          <w:rFonts w:ascii="Calibri" w:eastAsia="Times New Roman" w:hAnsi="Calibri" w:cs="Calibri"/>
          <w:i/>
          <w:u w:val="single"/>
        </w:rPr>
        <w:t xml:space="preserve">.1 Key policies that can be </w:t>
      </w:r>
      <w:proofErr w:type="gramStart"/>
      <w:r w:rsidR="000E6215" w:rsidRPr="00AA6C68">
        <w:rPr>
          <w:rFonts w:ascii="Calibri" w:eastAsia="Times New Roman" w:hAnsi="Calibri" w:cs="Calibri"/>
          <w:i/>
          <w:u w:val="single"/>
        </w:rPr>
        <w:t>addressed</w:t>
      </w:r>
      <w:proofErr w:type="gramEnd"/>
    </w:p>
    <w:p w14:paraId="18304FC5" w14:textId="77ED5A80" w:rsidR="00AF041C" w:rsidRPr="007C021D" w:rsidRDefault="00AA3F1C" w:rsidP="009B4B2E">
      <w:pPr>
        <w:spacing w:before="100" w:beforeAutospacing="1" w:after="100" w:afterAutospacing="1" w:line="240" w:lineRule="auto"/>
        <w:jc w:val="both"/>
        <w:rPr>
          <w:rFonts w:eastAsia="Times New Roman"/>
          <w:color w:val="000000" w:themeColor="text1"/>
        </w:rPr>
      </w:pPr>
      <w:r w:rsidRPr="007C021D">
        <w:rPr>
          <w:rFonts w:eastAsia="Times New Roman"/>
          <w:color w:val="000000" w:themeColor="text1"/>
        </w:rPr>
        <w:t xml:space="preserve">As </w:t>
      </w:r>
      <w:r w:rsidR="00784EA6">
        <w:rPr>
          <w:rFonts w:eastAsia="Times New Roman"/>
          <w:color w:val="000000" w:themeColor="text1"/>
        </w:rPr>
        <w:t xml:space="preserve">for </w:t>
      </w:r>
      <w:r w:rsidRPr="007C021D">
        <w:rPr>
          <w:rFonts w:eastAsia="Times New Roman"/>
          <w:color w:val="000000" w:themeColor="text1"/>
        </w:rPr>
        <w:t xml:space="preserve">all the TIMES-based models, the </w:t>
      </w:r>
      <w:r w:rsidR="00AF041C" w:rsidRPr="007C021D">
        <w:rPr>
          <w:rFonts w:eastAsia="Times New Roman"/>
          <w:color w:val="000000" w:themeColor="text1"/>
        </w:rPr>
        <w:t>T</w:t>
      </w:r>
      <w:r w:rsidRPr="007C021D">
        <w:rPr>
          <w:rFonts w:eastAsia="Times New Roman"/>
          <w:color w:val="000000" w:themeColor="text1"/>
        </w:rPr>
        <w:t>IMES-CAC</w:t>
      </w:r>
      <w:r w:rsidR="00AF041C" w:rsidRPr="007C021D">
        <w:rPr>
          <w:rFonts w:eastAsia="Times New Roman"/>
          <w:color w:val="000000" w:themeColor="text1"/>
        </w:rPr>
        <w:t xml:space="preserve"> predominantly works by specifying either a carbon price (imposed as a tax) or a carbon emissions constraint in each region that it represents, or alternatively all regions simultaneously. </w:t>
      </w:r>
      <w:r w:rsidR="00A8569F" w:rsidRPr="007C021D">
        <w:rPr>
          <w:rFonts w:eastAsia="Times New Roman"/>
          <w:color w:val="000000" w:themeColor="text1"/>
        </w:rPr>
        <w:t xml:space="preserve">For </w:t>
      </w:r>
      <w:proofErr w:type="gramStart"/>
      <w:r w:rsidR="00A8569F" w:rsidRPr="007C021D">
        <w:rPr>
          <w:rFonts w:eastAsia="Times New Roman"/>
          <w:color w:val="000000" w:themeColor="text1"/>
        </w:rPr>
        <w:t>example</w:t>
      </w:r>
      <w:proofErr w:type="gramEnd"/>
      <w:r w:rsidR="00A8569F" w:rsidRPr="007C021D">
        <w:rPr>
          <w:rFonts w:eastAsia="Times New Roman"/>
          <w:color w:val="000000" w:themeColor="text1"/>
        </w:rPr>
        <w:t xml:space="preserve"> t</w:t>
      </w:r>
      <w:r w:rsidR="00AF041C" w:rsidRPr="007C021D">
        <w:rPr>
          <w:rFonts w:eastAsia="Times New Roman"/>
          <w:color w:val="000000" w:themeColor="text1"/>
        </w:rPr>
        <w:t>he following further policies can be implemented:</w:t>
      </w:r>
    </w:p>
    <w:p w14:paraId="107109B8" w14:textId="7C3D0BD4" w:rsidR="00AF041C" w:rsidRPr="007C021D" w:rsidRDefault="00AF041C" w:rsidP="009B4B2E">
      <w:pPr>
        <w:pStyle w:val="ListParagraph"/>
        <w:numPr>
          <w:ilvl w:val="0"/>
          <w:numId w:val="6"/>
        </w:numPr>
        <w:spacing w:before="100" w:beforeAutospacing="1" w:after="100" w:afterAutospacing="1" w:line="240" w:lineRule="auto"/>
        <w:jc w:val="both"/>
        <w:rPr>
          <w:rFonts w:eastAsia="Times New Roman"/>
          <w:color w:val="000000" w:themeColor="text1"/>
        </w:rPr>
      </w:pPr>
      <w:r w:rsidRPr="007C021D">
        <w:rPr>
          <w:rFonts w:eastAsia="Times New Roman"/>
          <w:color w:val="000000" w:themeColor="text1"/>
        </w:rPr>
        <w:t>Minimum / maximum capacity factors on</w:t>
      </w:r>
      <w:r w:rsidR="009A3758" w:rsidRPr="007C021D">
        <w:rPr>
          <w:rFonts w:eastAsia="Times New Roman"/>
          <w:color w:val="000000" w:themeColor="text1"/>
        </w:rPr>
        <w:t xml:space="preserve"> fossil fuel</w:t>
      </w:r>
      <w:r w:rsidRPr="007C021D">
        <w:rPr>
          <w:rFonts w:eastAsia="Times New Roman"/>
          <w:color w:val="000000" w:themeColor="text1"/>
        </w:rPr>
        <w:t xml:space="preserve"> power generation plants</w:t>
      </w:r>
      <w:r w:rsidR="009A3758" w:rsidRPr="007C021D">
        <w:rPr>
          <w:rFonts w:eastAsia="Times New Roman"/>
          <w:color w:val="000000" w:themeColor="text1"/>
        </w:rPr>
        <w:t xml:space="preserve"> (</w:t>
      </w:r>
      <w:proofErr w:type="gramStart"/>
      <w:r w:rsidR="009A3758" w:rsidRPr="007C021D">
        <w:rPr>
          <w:rFonts w:eastAsia="Times New Roman"/>
          <w:color w:val="000000" w:themeColor="text1"/>
        </w:rPr>
        <w:t>e.g.</w:t>
      </w:r>
      <w:proofErr w:type="gramEnd"/>
      <w:r w:rsidR="009A3758" w:rsidRPr="007C021D">
        <w:rPr>
          <w:rFonts w:eastAsia="Times New Roman"/>
          <w:color w:val="000000" w:themeColor="text1"/>
        </w:rPr>
        <w:t xml:space="preserve"> to simulate minimum or maximum desired levels of operation)</w:t>
      </w:r>
      <w:r w:rsidR="007A1F01" w:rsidRPr="007C021D">
        <w:rPr>
          <w:rFonts w:eastAsia="Times New Roman"/>
          <w:color w:val="000000" w:themeColor="text1"/>
        </w:rPr>
        <w:t>;</w:t>
      </w:r>
    </w:p>
    <w:p w14:paraId="5B8E8074" w14:textId="2DAEEF4A" w:rsidR="00AF041C" w:rsidRPr="007C021D" w:rsidRDefault="00AF041C" w:rsidP="009B4B2E">
      <w:pPr>
        <w:pStyle w:val="ListParagraph"/>
        <w:numPr>
          <w:ilvl w:val="0"/>
          <w:numId w:val="6"/>
        </w:numPr>
        <w:spacing w:before="100" w:beforeAutospacing="1" w:after="100" w:afterAutospacing="1" w:line="240" w:lineRule="auto"/>
        <w:jc w:val="both"/>
        <w:rPr>
          <w:rFonts w:eastAsia="Times New Roman"/>
          <w:color w:val="000000" w:themeColor="text1"/>
        </w:rPr>
      </w:pPr>
      <w:r w:rsidRPr="007C021D">
        <w:rPr>
          <w:rFonts w:eastAsia="Times New Roman"/>
          <w:color w:val="000000" w:themeColor="text1"/>
        </w:rPr>
        <w:t>Subsidies on particular technologies (through adjusting their costs</w:t>
      </w:r>
      <w:r w:rsidR="009B4B2E" w:rsidRPr="007C021D">
        <w:rPr>
          <w:rFonts w:eastAsia="Times New Roman"/>
          <w:color w:val="000000" w:themeColor="text1"/>
        </w:rPr>
        <w:t xml:space="preserve"> or the explicit assignment of incentives</w:t>
      </w:r>
      <w:proofErr w:type="gramStart"/>
      <w:r w:rsidRPr="007C021D">
        <w:rPr>
          <w:rFonts w:eastAsia="Times New Roman"/>
          <w:color w:val="000000" w:themeColor="text1"/>
        </w:rPr>
        <w:t>)</w:t>
      </w:r>
      <w:r w:rsidR="007A1F01" w:rsidRPr="007C021D">
        <w:rPr>
          <w:rFonts w:eastAsia="Times New Roman"/>
          <w:color w:val="000000" w:themeColor="text1"/>
        </w:rPr>
        <w:t>;</w:t>
      </w:r>
      <w:proofErr w:type="gramEnd"/>
    </w:p>
    <w:p w14:paraId="05DA681B" w14:textId="3E810895" w:rsidR="007A1F01" w:rsidRPr="007C021D" w:rsidRDefault="007A1F01" w:rsidP="009B4B2E">
      <w:pPr>
        <w:pStyle w:val="ListParagraph"/>
        <w:numPr>
          <w:ilvl w:val="0"/>
          <w:numId w:val="6"/>
        </w:numPr>
        <w:spacing w:before="100" w:beforeAutospacing="1" w:after="100" w:afterAutospacing="1" w:line="240" w:lineRule="auto"/>
        <w:jc w:val="both"/>
        <w:rPr>
          <w:rFonts w:eastAsia="Times New Roman"/>
          <w:color w:val="000000" w:themeColor="text1"/>
        </w:rPr>
      </w:pPr>
      <w:r w:rsidRPr="007C021D">
        <w:rPr>
          <w:rFonts w:eastAsia="Times New Roman"/>
          <w:color w:val="000000" w:themeColor="text1"/>
        </w:rPr>
        <w:t>Constraints on the availability of particular technologies (</w:t>
      </w:r>
      <w:proofErr w:type="gramStart"/>
      <w:r w:rsidRPr="007C021D">
        <w:rPr>
          <w:rFonts w:eastAsia="Times New Roman"/>
          <w:color w:val="000000" w:themeColor="text1"/>
        </w:rPr>
        <w:t>e.g.</w:t>
      </w:r>
      <w:proofErr w:type="gramEnd"/>
      <w:r w:rsidRPr="007C021D">
        <w:rPr>
          <w:rFonts w:eastAsia="Times New Roman"/>
          <w:color w:val="000000" w:themeColor="text1"/>
        </w:rPr>
        <w:t xml:space="preserve"> “no nuclear”, variable renewables accounting for no more than 50% of electricity generation);</w:t>
      </w:r>
    </w:p>
    <w:p w14:paraId="7733227A" w14:textId="75D61A2A" w:rsidR="007A1F01" w:rsidRPr="007C021D" w:rsidRDefault="007A1F01" w:rsidP="009B4B2E">
      <w:pPr>
        <w:pStyle w:val="ListParagraph"/>
        <w:numPr>
          <w:ilvl w:val="0"/>
          <w:numId w:val="6"/>
        </w:numPr>
        <w:spacing w:before="100" w:beforeAutospacing="1" w:after="100" w:afterAutospacing="1" w:line="240" w:lineRule="auto"/>
        <w:jc w:val="both"/>
        <w:rPr>
          <w:rFonts w:eastAsia="Times New Roman"/>
          <w:color w:val="000000" w:themeColor="text1"/>
        </w:rPr>
      </w:pPr>
      <w:r w:rsidRPr="007C021D">
        <w:rPr>
          <w:rFonts w:eastAsia="Times New Roman"/>
          <w:color w:val="000000" w:themeColor="text1"/>
        </w:rPr>
        <w:t>Constraints on the growth rates of particular technologies (</w:t>
      </w:r>
      <w:proofErr w:type="gramStart"/>
      <w:r w:rsidRPr="007C021D">
        <w:rPr>
          <w:rFonts w:eastAsia="Times New Roman"/>
          <w:color w:val="000000" w:themeColor="text1"/>
        </w:rPr>
        <w:t>e.g.</w:t>
      </w:r>
      <w:proofErr w:type="gramEnd"/>
      <w:r w:rsidRPr="007C021D">
        <w:rPr>
          <w:rFonts w:eastAsia="Times New Roman"/>
          <w:color w:val="000000" w:themeColor="text1"/>
        </w:rPr>
        <w:t xml:space="preserve"> carbon capture and storage power generation capacity cannot grow at more than 20% per year)</w:t>
      </w:r>
    </w:p>
    <w:p w14:paraId="24B36C3C" w14:textId="06A574F8" w:rsidR="007A1F01" w:rsidRPr="007C021D" w:rsidRDefault="00AF041C" w:rsidP="009B4B2E">
      <w:pPr>
        <w:pStyle w:val="ListParagraph"/>
        <w:numPr>
          <w:ilvl w:val="0"/>
          <w:numId w:val="6"/>
        </w:numPr>
        <w:spacing w:before="100" w:beforeAutospacing="1" w:after="100" w:afterAutospacing="1" w:line="240" w:lineRule="auto"/>
        <w:jc w:val="both"/>
        <w:rPr>
          <w:rFonts w:eastAsia="Times New Roman"/>
          <w:color w:val="000000" w:themeColor="text1"/>
        </w:rPr>
      </w:pPr>
      <w:r w:rsidRPr="007C021D">
        <w:rPr>
          <w:rFonts w:eastAsia="Times New Roman"/>
          <w:color w:val="000000" w:themeColor="text1"/>
        </w:rPr>
        <w:t>Inter-regional emissions trading (or no trading</w:t>
      </w:r>
      <w:proofErr w:type="gramStart"/>
      <w:r w:rsidRPr="007C021D">
        <w:rPr>
          <w:rFonts w:eastAsia="Times New Roman"/>
          <w:color w:val="000000" w:themeColor="text1"/>
        </w:rPr>
        <w:t>)</w:t>
      </w:r>
      <w:r w:rsidR="007A1F01" w:rsidRPr="007C021D">
        <w:rPr>
          <w:rFonts w:eastAsia="Times New Roman"/>
          <w:color w:val="000000" w:themeColor="text1"/>
        </w:rPr>
        <w:t>;</w:t>
      </w:r>
      <w:proofErr w:type="gramEnd"/>
    </w:p>
    <w:p w14:paraId="31F7B1A1" w14:textId="0191786C" w:rsidR="00474AB6" w:rsidRPr="007C021D" w:rsidRDefault="009B4B2E" w:rsidP="009B4B2E">
      <w:pPr>
        <w:spacing w:after="120" w:line="240" w:lineRule="auto"/>
        <w:jc w:val="both"/>
        <w:rPr>
          <w:color w:val="000000" w:themeColor="text1"/>
        </w:rPr>
      </w:pPr>
      <w:proofErr w:type="gramStart"/>
      <w:r w:rsidRPr="007C021D">
        <w:rPr>
          <w:color w:val="000000" w:themeColor="text1"/>
        </w:rPr>
        <w:t>More in particular, the</w:t>
      </w:r>
      <w:proofErr w:type="gramEnd"/>
      <w:r w:rsidRPr="007C021D">
        <w:rPr>
          <w:color w:val="000000" w:themeColor="text1"/>
        </w:rPr>
        <w:t xml:space="preserve"> TIMES-CAC is capable</w:t>
      </w:r>
      <w:r w:rsidR="00474AB6" w:rsidRPr="007C021D">
        <w:rPr>
          <w:color w:val="000000" w:themeColor="text1"/>
        </w:rPr>
        <w:t xml:space="preserve"> </w:t>
      </w:r>
      <w:proofErr w:type="gramStart"/>
      <w:r w:rsidR="00474AB6" w:rsidRPr="007C021D">
        <w:rPr>
          <w:color w:val="000000" w:themeColor="text1"/>
        </w:rPr>
        <w:t>to explore</w:t>
      </w:r>
      <w:proofErr w:type="gramEnd"/>
      <w:r w:rsidR="00474AB6" w:rsidRPr="007C021D">
        <w:rPr>
          <w:color w:val="000000" w:themeColor="text1"/>
        </w:rPr>
        <w:t xml:space="preserve"> the direct economic advantage of cooperation policies in the energy and climate change mitigation sectors</w:t>
      </w:r>
      <w:r w:rsidRPr="007C021D">
        <w:rPr>
          <w:color w:val="000000" w:themeColor="text1"/>
        </w:rPr>
        <w:t xml:space="preserve"> for the represented countries</w:t>
      </w:r>
      <w:r w:rsidR="00474AB6" w:rsidRPr="007C021D">
        <w:rPr>
          <w:color w:val="000000" w:themeColor="text1"/>
        </w:rPr>
        <w:t xml:space="preserve">. The following cooperation policies in the area </w:t>
      </w:r>
      <w:r w:rsidR="00784EA6">
        <w:rPr>
          <w:color w:val="000000" w:themeColor="text1"/>
        </w:rPr>
        <w:t>can be</w:t>
      </w:r>
      <w:r w:rsidR="00474AB6" w:rsidRPr="007C021D">
        <w:rPr>
          <w:color w:val="000000" w:themeColor="text1"/>
        </w:rPr>
        <w:t xml:space="preserve"> directly modelled:</w:t>
      </w:r>
    </w:p>
    <w:p w14:paraId="06662AB5" w14:textId="24F2A956" w:rsidR="00474AB6" w:rsidRPr="007C021D" w:rsidRDefault="00474AB6" w:rsidP="009B4B2E">
      <w:pPr>
        <w:pStyle w:val="ListParagraph"/>
        <w:numPr>
          <w:ilvl w:val="0"/>
          <w:numId w:val="15"/>
        </w:numPr>
        <w:spacing w:after="120" w:line="240" w:lineRule="auto"/>
        <w:jc w:val="both"/>
        <w:rPr>
          <w:color w:val="000000" w:themeColor="text1"/>
        </w:rPr>
      </w:pPr>
      <w:r w:rsidRPr="007C021D">
        <w:rPr>
          <w:color w:val="000000" w:themeColor="text1"/>
        </w:rPr>
        <w:lastRenderedPageBreak/>
        <w:t xml:space="preserve">exploitation of Caspian oil and natural gas </w:t>
      </w:r>
      <w:proofErr w:type="gramStart"/>
      <w:r w:rsidRPr="007C021D">
        <w:rPr>
          <w:color w:val="000000" w:themeColor="text1"/>
        </w:rPr>
        <w:t>resources;</w:t>
      </w:r>
      <w:proofErr w:type="gramEnd"/>
    </w:p>
    <w:p w14:paraId="18812498" w14:textId="7F530E71" w:rsidR="00474AB6" w:rsidRPr="007C021D" w:rsidRDefault="00474AB6" w:rsidP="009B4B2E">
      <w:pPr>
        <w:pStyle w:val="ListParagraph"/>
        <w:numPr>
          <w:ilvl w:val="0"/>
          <w:numId w:val="15"/>
        </w:numPr>
        <w:spacing w:after="120" w:line="240" w:lineRule="auto"/>
        <w:jc w:val="both"/>
        <w:rPr>
          <w:color w:val="000000" w:themeColor="text1"/>
        </w:rPr>
      </w:pPr>
      <w:r w:rsidRPr="007C021D">
        <w:rPr>
          <w:color w:val="000000" w:themeColor="text1"/>
        </w:rPr>
        <w:t xml:space="preserve">investment in the construction of </w:t>
      </w:r>
      <w:r w:rsidR="009B4B2E" w:rsidRPr="007C021D">
        <w:rPr>
          <w:color w:val="000000" w:themeColor="text1"/>
        </w:rPr>
        <w:t xml:space="preserve">cross-national </w:t>
      </w:r>
      <w:r w:rsidRPr="007C021D">
        <w:rPr>
          <w:color w:val="000000" w:themeColor="text1"/>
        </w:rPr>
        <w:t xml:space="preserve">new </w:t>
      </w:r>
      <w:proofErr w:type="gramStart"/>
      <w:r w:rsidRPr="007C021D">
        <w:rPr>
          <w:color w:val="000000" w:themeColor="text1"/>
        </w:rPr>
        <w:t>pipelines;</w:t>
      </w:r>
      <w:proofErr w:type="gramEnd"/>
    </w:p>
    <w:p w14:paraId="798C77F1" w14:textId="7EBE9883" w:rsidR="00474AB6" w:rsidRPr="007C021D" w:rsidRDefault="00474AB6" w:rsidP="009B4B2E">
      <w:pPr>
        <w:pStyle w:val="ListParagraph"/>
        <w:numPr>
          <w:ilvl w:val="0"/>
          <w:numId w:val="15"/>
        </w:numPr>
        <w:spacing w:after="120" w:line="240" w:lineRule="auto"/>
        <w:jc w:val="both"/>
        <w:rPr>
          <w:color w:val="000000" w:themeColor="text1"/>
        </w:rPr>
      </w:pPr>
      <w:r w:rsidRPr="007C021D">
        <w:rPr>
          <w:color w:val="000000" w:themeColor="text1"/>
        </w:rPr>
        <w:t>maintenance of free exchange in the energy sector</w:t>
      </w:r>
      <w:r w:rsidR="009B4B2E" w:rsidRPr="007C021D">
        <w:rPr>
          <w:color w:val="000000" w:themeColor="text1"/>
        </w:rPr>
        <w:t xml:space="preserve"> across the region</w:t>
      </w:r>
      <w:r w:rsidRPr="007C021D">
        <w:rPr>
          <w:color w:val="000000" w:themeColor="text1"/>
        </w:rPr>
        <w:t>; and</w:t>
      </w:r>
    </w:p>
    <w:p w14:paraId="3272C888" w14:textId="1CE2474C" w:rsidR="00AA3F1C" w:rsidRPr="007C021D" w:rsidRDefault="00474AB6" w:rsidP="009B4B2E">
      <w:pPr>
        <w:pStyle w:val="ListParagraph"/>
        <w:numPr>
          <w:ilvl w:val="0"/>
          <w:numId w:val="15"/>
        </w:numPr>
        <w:spacing w:after="120" w:line="240" w:lineRule="auto"/>
        <w:jc w:val="both"/>
        <w:rPr>
          <w:color w:val="000000" w:themeColor="text1"/>
        </w:rPr>
      </w:pPr>
      <w:r w:rsidRPr="007C021D">
        <w:rPr>
          <w:color w:val="000000" w:themeColor="text1"/>
        </w:rPr>
        <w:t>creation of a joint CO2 emission permit system in the area.</w:t>
      </w:r>
    </w:p>
    <w:p w14:paraId="180EE58C" w14:textId="77485D9F" w:rsidR="009B4B2E" w:rsidRDefault="009B4B2E" w:rsidP="00590C0F">
      <w:pPr>
        <w:spacing w:after="0" w:line="240" w:lineRule="auto"/>
        <w:jc w:val="both"/>
        <w:rPr>
          <w:color w:val="000000" w:themeColor="text1"/>
        </w:rPr>
      </w:pPr>
      <w:r w:rsidRPr="007C021D">
        <w:rPr>
          <w:color w:val="000000" w:themeColor="text1"/>
        </w:rPr>
        <w:t>Furthermore, t</w:t>
      </w:r>
      <w:r w:rsidR="00474AB6" w:rsidRPr="007C021D">
        <w:rPr>
          <w:color w:val="000000" w:themeColor="text1"/>
        </w:rPr>
        <w:t>he structure of the TIMES-CAC model allows to full</w:t>
      </w:r>
      <w:r w:rsidRPr="007C021D">
        <w:rPr>
          <w:color w:val="000000" w:themeColor="text1"/>
        </w:rPr>
        <w:t xml:space="preserve">y include the concept of “energy </w:t>
      </w:r>
      <w:r w:rsidR="00474AB6" w:rsidRPr="007C021D">
        <w:rPr>
          <w:color w:val="000000" w:themeColor="text1"/>
        </w:rPr>
        <w:t>security</w:t>
      </w:r>
      <w:r w:rsidRPr="007C021D">
        <w:rPr>
          <w:color w:val="000000" w:themeColor="text1"/>
        </w:rPr>
        <w:t>”</w:t>
      </w:r>
      <w:r w:rsidR="00474AB6" w:rsidRPr="007C021D">
        <w:rPr>
          <w:color w:val="000000" w:themeColor="text1"/>
        </w:rPr>
        <w:t xml:space="preserve"> in the analysis</w:t>
      </w:r>
      <w:r w:rsidRPr="007C021D">
        <w:rPr>
          <w:color w:val="000000" w:themeColor="text1"/>
        </w:rPr>
        <w:t xml:space="preserve"> (from the perspective of energy exporters)</w:t>
      </w:r>
      <w:r w:rsidR="00784EA6">
        <w:rPr>
          <w:color w:val="000000" w:themeColor="text1"/>
        </w:rPr>
        <w:t>,</w:t>
      </w:r>
      <w:r w:rsidRPr="007C021D">
        <w:rPr>
          <w:color w:val="000000" w:themeColor="text1"/>
        </w:rPr>
        <w:t xml:space="preserve"> and to test the effects of long-term energy export strategies in the Cen</w:t>
      </w:r>
      <w:r w:rsidR="00784EA6">
        <w:rPr>
          <w:color w:val="000000" w:themeColor="text1"/>
        </w:rPr>
        <w:t>tral Asian Caspian (CAC) region</w:t>
      </w:r>
      <w:r w:rsidRPr="007C021D">
        <w:rPr>
          <w:color w:val="000000" w:themeColor="text1"/>
        </w:rPr>
        <w:t xml:space="preserve"> by exploring the </w:t>
      </w:r>
      <w:r w:rsidRPr="007C021D">
        <w:rPr>
          <w:i/>
          <w:color w:val="000000" w:themeColor="text1"/>
        </w:rPr>
        <w:t>trade-offs</w:t>
      </w:r>
      <w:r w:rsidRPr="007C021D">
        <w:rPr>
          <w:color w:val="000000" w:themeColor="text1"/>
        </w:rPr>
        <w:t xml:space="preserve"> between a “risk” indicator and some key variables of the energy system such as the tota</w:t>
      </w:r>
      <w:r w:rsidR="00784EA6">
        <w:rPr>
          <w:color w:val="000000" w:themeColor="text1"/>
        </w:rPr>
        <w:t>l cost, the quantities exported</w:t>
      </w:r>
      <w:r w:rsidRPr="007C021D">
        <w:rPr>
          <w:color w:val="000000" w:themeColor="text1"/>
        </w:rPr>
        <w:t xml:space="preserve"> and the corresponding rev</w:t>
      </w:r>
      <w:r w:rsidR="00784EA6">
        <w:rPr>
          <w:color w:val="000000" w:themeColor="text1"/>
        </w:rPr>
        <w:t>enues, the climate targets</w:t>
      </w:r>
      <w:r w:rsidR="00813E5A">
        <w:rPr>
          <w:color w:val="000000" w:themeColor="text1"/>
        </w:rPr>
        <w:t xml:space="preserve"> of the region</w:t>
      </w:r>
      <w:r w:rsidR="00784EA6">
        <w:rPr>
          <w:color w:val="000000" w:themeColor="text1"/>
        </w:rPr>
        <w:t xml:space="preserve">. </w:t>
      </w:r>
      <w:r w:rsidR="00813E5A">
        <w:rPr>
          <w:color w:val="000000" w:themeColor="text1"/>
        </w:rPr>
        <w:t>Furthermore</w:t>
      </w:r>
      <w:r w:rsidRPr="007C021D">
        <w:rPr>
          <w:color w:val="000000" w:themeColor="text1"/>
        </w:rPr>
        <w:t xml:space="preserve">, </w:t>
      </w:r>
      <w:r w:rsidR="00813E5A">
        <w:rPr>
          <w:color w:val="000000" w:themeColor="text1"/>
        </w:rPr>
        <w:t xml:space="preserve">(export) </w:t>
      </w:r>
      <w:r w:rsidRPr="007C021D">
        <w:rPr>
          <w:color w:val="000000" w:themeColor="text1"/>
        </w:rPr>
        <w:t>risk reduction goals can be combined with securing a minimum level of revenues from the hydrocarbon exports goals</w:t>
      </w:r>
      <w:r w:rsidR="00813E5A">
        <w:rPr>
          <w:color w:val="000000" w:themeColor="text1"/>
        </w:rPr>
        <w:t>,</w:t>
      </w:r>
      <w:r w:rsidR="00784EA6">
        <w:rPr>
          <w:color w:val="000000" w:themeColor="text1"/>
        </w:rPr>
        <w:t xml:space="preserve"> </w:t>
      </w:r>
      <w:r w:rsidR="00813E5A">
        <w:rPr>
          <w:color w:val="000000" w:themeColor="text1"/>
        </w:rPr>
        <w:t>with the aim</w:t>
      </w:r>
      <w:r w:rsidRPr="007C021D">
        <w:rPr>
          <w:color w:val="000000" w:themeColor="text1"/>
        </w:rPr>
        <w:t xml:space="preserve"> to quantitatively evaluate the response of the energy sector and its sensitivity</w:t>
      </w:r>
      <w:r w:rsidR="00813E5A">
        <w:rPr>
          <w:color w:val="000000" w:themeColor="text1"/>
        </w:rPr>
        <w:t xml:space="preserve"> to different export strategies.</w:t>
      </w:r>
    </w:p>
    <w:p w14:paraId="3A0B79BF" w14:textId="77777777" w:rsidR="00813E5A" w:rsidRDefault="00813E5A" w:rsidP="00590C0F">
      <w:pPr>
        <w:spacing w:after="0" w:line="240" w:lineRule="auto"/>
        <w:jc w:val="both"/>
        <w:rPr>
          <w:color w:val="000000" w:themeColor="text1"/>
        </w:rPr>
      </w:pPr>
    </w:p>
    <w:p w14:paraId="6E17D6DF" w14:textId="59C150BB" w:rsidR="00784EA6" w:rsidRDefault="00784EA6" w:rsidP="00590C0F">
      <w:pPr>
        <w:spacing w:after="0" w:line="240" w:lineRule="auto"/>
        <w:jc w:val="both"/>
        <w:rPr>
          <w:color w:val="000000" w:themeColor="text1"/>
        </w:rPr>
      </w:pPr>
      <w:proofErr w:type="gramStart"/>
      <w:r>
        <w:rPr>
          <w:color w:val="000000" w:themeColor="text1"/>
        </w:rPr>
        <w:t>Table</w:t>
      </w:r>
      <w:proofErr w:type="gramEnd"/>
      <w:r>
        <w:rPr>
          <w:color w:val="000000" w:themeColor="text1"/>
        </w:rPr>
        <w:t xml:space="preserve"> below provides additional information about</w:t>
      </w:r>
      <w:r w:rsidR="00813E5A">
        <w:rPr>
          <w:color w:val="000000" w:themeColor="text1"/>
        </w:rPr>
        <w:t xml:space="preserve"> the</w:t>
      </w:r>
      <w:r>
        <w:rPr>
          <w:color w:val="000000" w:themeColor="text1"/>
        </w:rPr>
        <w:t xml:space="preserve"> capability of the model to represent policies and measures per each key </w:t>
      </w:r>
      <w:proofErr w:type="spellStart"/>
      <w:r w:rsidR="00813E5A">
        <w:rPr>
          <w:color w:val="000000" w:themeColor="text1"/>
        </w:rPr>
        <w:t>energy&amp;climate</w:t>
      </w:r>
      <w:proofErr w:type="spellEnd"/>
      <w:r w:rsidR="00813E5A">
        <w:rPr>
          <w:color w:val="000000" w:themeColor="text1"/>
        </w:rPr>
        <w:t xml:space="preserve"> </w:t>
      </w:r>
      <w:r>
        <w:rPr>
          <w:color w:val="000000" w:themeColor="text1"/>
        </w:rPr>
        <w:t>dimension</w:t>
      </w:r>
      <w:r w:rsidR="00813E5A">
        <w:rPr>
          <w:color w:val="000000" w:themeColor="text1"/>
        </w:rPr>
        <w:t>s</w:t>
      </w:r>
      <w:r>
        <w:rPr>
          <w:color w:val="000000" w:themeColor="text1"/>
        </w:rPr>
        <w:t>.</w:t>
      </w:r>
    </w:p>
    <w:p w14:paraId="71329000" w14:textId="460E960C" w:rsidR="00590C0F" w:rsidRPr="00590C0F" w:rsidRDefault="00590C0F" w:rsidP="00590C0F">
      <w:pPr>
        <w:spacing w:before="100" w:beforeAutospacing="1" w:after="100" w:afterAutospacing="1" w:line="240" w:lineRule="auto"/>
        <w:rPr>
          <w:rFonts w:eastAsia="Times New Roman"/>
          <w:b/>
          <w:bCs/>
          <w:i/>
          <w:iCs/>
          <w:sz w:val="20"/>
          <w:szCs w:val="20"/>
        </w:rPr>
      </w:pPr>
      <w:r w:rsidRPr="00A9375E">
        <w:rPr>
          <w:rFonts w:eastAsia="Times New Roman"/>
          <w:b/>
          <w:bCs/>
          <w:i/>
          <w:iCs/>
          <w:sz w:val="20"/>
          <w:szCs w:val="20"/>
        </w:rPr>
        <w:t xml:space="preserve">Table </w:t>
      </w:r>
      <w:r>
        <w:rPr>
          <w:rFonts w:eastAsia="Times New Roman"/>
          <w:b/>
          <w:bCs/>
          <w:i/>
          <w:iCs/>
          <w:sz w:val="20"/>
          <w:szCs w:val="20"/>
        </w:rPr>
        <w:t>3</w:t>
      </w:r>
      <w:r w:rsidRPr="00A9375E">
        <w:rPr>
          <w:rFonts w:eastAsia="Times New Roman"/>
          <w:b/>
          <w:bCs/>
          <w:i/>
          <w:iCs/>
          <w:sz w:val="20"/>
          <w:szCs w:val="20"/>
        </w:rPr>
        <w:t xml:space="preserve"> </w:t>
      </w:r>
      <w:r>
        <w:rPr>
          <w:rFonts w:eastAsia="Times New Roman"/>
          <w:b/>
          <w:bCs/>
          <w:i/>
          <w:iCs/>
          <w:sz w:val="20"/>
          <w:szCs w:val="20"/>
        </w:rPr>
        <w:t>-</w:t>
      </w:r>
      <w:r w:rsidRPr="00A9375E">
        <w:rPr>
          <w:rFonts w:eastAsia="Times New Roman"/>
          <w:b/>
          <w:bCs/>
          <w:i/>
          <w:iCs/>
          <w:sz w:val="20"/>
          <w:szCs w:val="20"/>
        </w:rPr>
        <w:t xml:space="preserve"> </w:t>
      </w:r>
      <w:r>
        <w:rPr>
          <w:rFonts w:eastAsia="Times New Roman"/>
          <w:b/>
          <w:bCs/>
          <w:i/>
          <w:iCs/>
          <w:sz w:val="20"/>
          <w:szCs w:val="20"/>
        </w:rPr>
        <w:t>Capability of the</w:t>
      </w:r>
      <w:r w:rsidRPr="00A9375E">
        <w:rPr>
          <w:rFonts w:eastAsia="Times New Roman"/>
          <w:b/>
          <w:bCs/>
          <w:i/>
          <w:iCs/>
          <w:sz w:val="20"/>
          <w:szCs w:val="20"/>
        </w:rPr>
        <w:t xml:space="preserve"> T</w:t>
      </w:r>
      <w:r>
        <w:rPr>
          <w:rFonts w:eastAsia="Times New Roman"/>
          <w:b/>
          <w:bCs/>
          <w:i/>
          <w:iCs/>
          <w:sz w:val="20"/>
          <w:szCs w:val="20"/>
        </w:rPr>
        <w:t xml:space="preserve">IMES-CAC to address </w:t>
      </w:r>
      <w:proofErr w:type="spellStart"/>
      <w:proofErr w:type="gramStart"/>
      <w:r>
        <w:rPr>
          <w:rFonts w:eastAsia="Times New Roman"/>
          <w:b/>
          <w:bCs/>
          <w:i/>
          <w:iCs/>
          <w:sz w:val="20"/>
          <w:szCs w:val="20"/>
        </w:rPr>
        <w:t>PaMs</w:t>
      </w:r>
      <w:proofErr w:type="spellEnd"/>
      <w:proofErr w:type="gramEnd"/>
    </w:p>
    <w:tbl>
      <w:tblPr>
        <w:tblStyle w:val="TableGrid"/>
        <w:tblW w:w="5000" w:type="pct"/>
        <w:tblLook w:val="04A0" w:firstRow="1" w:lastRow="0" w:firstColumn="1" w:lastColumn="0" w:noHBand="0" w:noVBand="1"/>
      </w:tblPr>
      <w:tblGrid>
        <w:gridCol w:w="4045"/>
        <w:gridCol w:w="5305"/>
      </w:tblGrid>
      <w:tr w:rsidR="00E1388B" w:rsidRPr="007C021D" w14:paraId="10577708" w14:textId="77777777" w:rsidTr="00784EA6">
        <w:tc>
          <w:tcPr>
            <w:tcW w:w="2163" w:type="pct"/>
          </w:tcPr>
          <w:p w14:paraId="673FD23C" w14:textId="082F5A44" w:rsidR="00E1388B" w:rsidRPr="007C021D" w:rsidRDefault="00E1388B" w:rsidP="00E94A83">
            <w:pPr>
              <w:spacing w:before="100" w:beforeAutospacing="1" w:after="100" w:afterAutospacing="1"/>
              <w:rPr>
                <w:rFonts w:ascii="Calibri" w:eastAsia="Times New Roman" w:hAnsi="Calibri" w:cs="Calibri"/>
                <w:b/>
                <w:color w:val="000000" w:themeColor="text1"/>
                <w:sz w:val="20"/>
                <w:szCs w:val="20"/>
              </w:rPr>
            </w:pPr>
            <w:proofErr w:type="spellStart"/>
            <w:r>
              <w:rPr>
                <w:rFonts w:ascii="Calibri" w:eastAsia="Times New Roman" w:hAnsi="Calibri" w:cs="Calibri"/>
                <w:b/>
                <w:color w:val="000000" w:themeColor="text1"/>
                <w:sz w:val="20"/>
                <w:szCs w:val="20"/>
              </w:rPr>
              <w:t>PaMs</w:t>
            </w:r>
            <w:proofErr w:type="spellEnd"/>
            <w:r>
              <w:rPr>
                <w:rFonts w:ascii="Calibri" w:eastAsia="Times New Roman" w:hAnsi="Calibri" w:cs="Calibri"/>
                <w:b/>
                <w:color w:val="000000" w:themeColor="text1"/>
                <w:sz w:val="20"/>
                <w:szCs w:val="20"/>
              </w:rPr>
              <w:t xml:space="preserve"> (by dimension)</w:t>
            </w:r>
            <w:r>
              <w:rPr>
                <w:rStyle w:val="FootnoteReference"/>
                <w:rFonts w:ascii="Calibri" w:eastAsia="Times New Roman" w:hAnsi="Calibri" w:cs="Calibri"/>
                <w:b/>
                <w:color w:val="000000" w:themeColor="text1"/>
                <w:sz w:val="20"/>
                <w:szCs w:val="20"/>
              </w:rPr>
              <w:footnoteReference w:id="3"/>
            </w:r>
          </w:p>
        </w:tc>
        <w:tc>
          <w:tcPr>
            <w:tcW w:w="2837" w:type="pct"/>
          </w:tcPr>
          <w:p w14:paraId="167136FE" w14:textId="77777777" w:rsidR="00E1388B" w:rsidRPr="007C021D" w:rsidRDefault="00E1388B" w:rsidP="00E94A83">
            <w:pPr>
              <w:spacing w:before="100" w:beforeAutospacing="1" w:after="100" w:afterAutospacing="1"/>
              <w:jc w:val="both"/>
              <w:rPr>
                <w:rFonts w:ascii="Calibri" w:eastAsia="Times New Roman" w:hAnsi="Calibri" w:cs="Calibri"/>
                <w:b/>
                <w:color w:val="000000" w:themeColor="text1"/>
                <w:sz w:val="20"/>
                <w:szCs w:val="20"/>
              </w:rPr>
            </w:pPr>
            <w:r w:rsidRPr="007C021D">
              <w:rPr>
                <w:rFonts w:ascii="Calibri" w:eastAsia="Times New Roman" w:hAnsi="Calibri" w:cs="Calibri"/>
                <w:b/>
                <w:color w:val="000000" w:themeColor="text1"/>
                <w:sz w:val="20"/>
                <w:szCs w:val="20"/>
              </w:rPr>
              <w:t>TIMES-CAC</w:t>
            </w:r>
          </w:p>
        </w:tc>
      </w:tr>
      <w:tr w:rsidR="00E1388B" w:rsidRPr="007C021D" w14:paraId="26291DF0" w14:textId="77777777" w:rsidTr="00784EA6">
        <w:tc>
          <w:tcPr>
            <w:tcW w:w="2163" w:type="pct"/>
          </w:tcPr>
          <w:p w14:paraId="067E2FB2" w14:textId="3AB07C09" w:rsidR="00E1388B" w:rsidRPr="007C021D" w:rsidRDefault="00591F99" w:rsidP="00E94A83">
            <w:pPr>
              <w:spacing w:before="100" w:beforeAutospacing="1" w:after="100" w:afterAutospacing="1"/>
              <w:rPr>
                <w:rFonts w:ascii="Calibri" w:eastAsia="Times New Roman" w:hAnsi="Calibri" w:cs="Calibri"/>
                <w:bCs/>
                <w:color w:val="000000" w:themeColor="text1"/>
                <w:sz w:val="20"/>
                <w:szCs w:val="20"/>
                <w:lang w:val="en-GB"/>
              </w:rPr>
            </w:pPr>
            <w:r>
              <w:rPr>
                <w:rFonts w:ascii="Calibri" w:eastAsia="Times New Roman" w:hAnsi="Calibri" w:cs="Calibri"/>
                <w:bCs/>
                <w:color w:val="000000" w:themeColor="text1"/>
                <w:sz w:val="20"/>
                <w:szCs w:val="20"/>
                <w:lang w:val="en-GB"/>
              </w:rPr>
              <w:t>Decarbonisation</w:t>
            </w:r>
          </w:p>
        </w:tc>
        <w:tc>
          <w:tcPr>
            <w:tcW w:w="2837" w:type="pct"/>
          </w:tcPr>
          <w:p w14:paraId="31F88593" w14:textId="1C7F848B" w:rsidR="00E1388B" w:rsidRPr="007C021D" w:rsidRDefault="005407C4" w:rsidP="00E94A83">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High</w:t>
            </w:r>
            <w:r>
              <w:rPr>
                <w:rFonts w:ascii="Calibri" w:eastAsia="Times New Roman" w:hAnsi="Calibri" w:cs="Calibri"/>
                <w:bCs/>
                <w:color w:val="000000" w:themeColor="text1"/>
                <w:sz w:val="20"/>
                <w:szCs w:val="20"/>
                <w:lang w:val="en-GB"/>
              </w:rPr>
              <w:t xml:space="preserve"> capability (several mitigation options, regulatory and economic measures, etc.) </w:t>
            </w:r>
          </w:p>
        </w:tc>
      </w:tr>
      <w:tr w:rsidR="005407C4" w:rsidRPr="007C021D" w14:paraId="0DA94852" w14:textId="77777777" w:rsidTr="00784EA6">
        <w:tc>
          <w:tcPr>
            <w:tcW w:w="2163" w:type="pct"/>
          </w:tcPr>
          <w:p w14:paraId="126E493F" w14:textId="105F4C27" w:rsidR="00E1388B" w:rsidRPr="007C021D" w:rsidRDefault="00591F99" w:rsidP="00E94A83">
            <w:pPr>
              <w:spacing w:before="100" w:beforeAutospacing="1" w:after="100" w:afterAutospacing="1"/>
              <w:rPr>
                <w:rFonts w:ascii="Calibri" w:eastAsia="Times New Roman" w:hAnsi="Calibri" w:cs="Calibri"/>
                <w:bCs/>
                <w:color w:val="000000" w:themeColor="text1"/>
                <w:sz w:val="20"/>
                <w:szCs w:val="20"/>
                <w:lang w:val="en-GB"/>
              </w:rPr>
            </w:pPr>
            <w:r>
              <w:rPr>
                <w:rFonts w:ascii="Calibri" w:eastAsia="Times New Roman" w:hAnsi="Calibri" w:cs="Calibri"/>
                <w:bCs/>
                <w:color w:val="000000" w:themeColor="text1"/>
                <w:sz w:val="20"/>
                <w:szCs w:val="20"/>
                <w:lang w:val="en-GB"/>
              </w:rPr>
              <w:t xml:space="preserve">Energy Efficiency </w:t>
            </w:r>
          </w:p>
        </w:tc>
        <w:tc>
          <w:tcPr>
            <w:tcW w:w="2837" w:type="pct"/>
          </w:tcPr>
          <w:p w14:paraId="178CBFDD" w14:textId="33B00C25" w:rsidR="00E1388B" w:rsidRPr="007C021D" w:rsidRDefault="005407C4" w:rsidP="005407C4">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High</w:t>
            </w:r>
            <w:r>
              <w:rPr>
                <w:rFonts w:ascii="Calibri" w:eastAsia="Times New Roman" w:hAnsi="Calibri" w:cs="Calibri"/>
                <w:bCs/>
                <w:color w:val="000000" w:themeColor="text1"/>
                <w:sz w:val="20"/>
                <w:szCs w:val="20"/>
                <w:lang w:val="en-GB"/>
              </w:rPr>
              <w:t xml:space="preserve"> capability (several energy efficiency options, regulatory and economic measures, etc.)</w:t>
            </w:r>
          </w:p>
        </w:tc>
      </w:tr>
      <w:tr w:rsidR="00E1388B" w:rsidRPr="007C021D" w14:paraId="493A6055" w14:textId="77777777" w:rsidTr="00784EA6">
        <w:tc>
          <w:tcPr>
            <w:tcW w:w="2163" w:type="pct"/>
          </w:tcPr>
          <w:p w14:paraId="32482CC2" w14:textId="100411C4" w:rsidR="00E1388B" w:rsidRPr="007C021D" w:rsidRDefault="00591F99" w:rsidP="00591F99">
            <w:pPr>
              <w:spacing w:before="100" w:beforeAutospacing="1" w:after="100" w:afterAutospacing="1"/>
              <w:rPr>
                <w:rFonts w:ascii="Calibri" w:eastAsia="Times New Roman" w:hAnsi="Calibri" w:cs="Calibri"/>
                <w:bCs/>
                <w:color w:val="000000" w:themeColor="text1"/>
                <w:sz w:val="20"/>
                <w:szCs w:val="20"/>
                <w:lang w:val="en-GB"/>
              </w:rPr>
            </w:pPr>
            <w:r>
              <w:rPr>
                <w:rFonts w:ascii="Calibri" w:eastAsia="Times New Roman" w:hAnsi="Calibri" w:cs="Calibri"/>
                <w:bCs/>
                <w:color w:val="000000" w:themeColor="text1"/>
                <w:sz w:val="20"/>
                <w:szCs w:val="20"/>
                <w:lang w:val="en-GB"/>
              </w:rPr>
              <w:t>Energy Security</w:t>
            </w:r>
          </w:p>
        </w:tc>
        <w:tc>
          <w:tcPr>
            <w:tcW w:w="2837" w:type="pct"/>
          </w:tcPr>
          <w:p w14:paraId="15E9E672" w14:textId="5A69B6BD" w:rsidR="00E1388B" w:rsidRPr="007C021D" w:rsidRDefault="005407C4" w:rsidP="00E94A83">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High</w:t>
            </w:r>
            <w:r>
              <w:rPr>
                <w:rFonts w:ascii="Calibri" w:eastAsia="Times New Roman" w:hAnsi="Calibri" w:cs="Calibri"/>
                <w:bCs/>
                <w:color w:val="000000" w:themeColor="text1"/>
                <w:sz w:val="20"/>
                <w:szCs w:val="20"/>
                <w:lang w:val="en-GB"/>
              </w:rPr>
              <w:t xml:space="preserve"> capability</w:t>
            </w:r>
            <w:r w:rsidR="00590C0F">
              <w:rPr>
                <w:rFonts w:ascii="Calibri" w:eastAsia="Times New Roman" w:hAnsi="Calibri" w:cs="Calibri"/>
                <w:bCs/>
                <w:color w:val="000000" w:themeColor="text1"/>
                <w:sz w:val="20"/>
                <w:szCs w:val="20"/>
                <w:lang w:val="en-GB"/>
              </w:rPr>
              <w:t xml:space="preserve"> (key focus of the TIMES-CAC, </w:t>
            </w:r>
            <w:proofErr w:type="gramStart"/>
            <w:r w:rsidR="00590C0F">
              <w:rPr>
                <w:rFonts w:ascii="Calibri" w:eastAsia="Times New Roman" w:hAnsi="Calibri" w:cs="Calibri"/>
                <w:bCs/>
                <w:color w:val="000000" w:themeColor="text1"/>
                <w:sz w:val="20"/>
                <w:szCs w:val="20"/>
                <w:lang w:val="en-GB"/>
              </w:rPr>
              <w:t>risk</w:t>
            </w:r>
            <w:proofErr w:type="gramEnd"/>
            <w:r w:rsidR="00590C0F">
              <w:rPr>
                <w:rFonts w:ascii="Calibri" w:eastAsia="Times New Roman" w:hAnsi="Calibri" w:cs="Calibri"/>
                <w:bCs/>
                <w:color w:val="000000" w:themeColor="text1"/>
                <w:sz w:val="20"/>
                <w:szCs w:val="20"/>
                <w:lang w:val="en-GB"/>
              </w:rPr>
              <w:t xml:space="preserve"> and diversification targets)</w:t>
            </w:r>
          </w:p>
        </w:tc>
      </w:tr>
      <w:tr w:rsidR="00590C0F" w:rsidRPr="007C021D" w14:paraId="45AE879A" w14:textId="77777777" w:rsidTr="00784EA6">
        <w:tc>
          <w:tcPr>
            <w:tcW w:w="2163" w:type="pct"/>
          </w:tcPr>
          <w:p w14:paraId="5F8E6A34" w14:textId="661DA433" w:rsidR="00E1388B" w:rsidRPr="007C021D" w:rsidRDefault="00591F99" w:rsidP="00E94A83">
            <w:pPr>
              <w:spacing w:before="100" w:beforeAutospacing="1" w:after="100" w:afterAutospacing="1"/>
              <w:rPr>
                <w:rFonts w:ascii="Calibri" w:eastAsia="Times New Roman" w:hAnsi="Calibri" w:cs="Calibri"/>
                <w:bCs/>
                <w:color w:val="000000" w:themeColor="text1"/>
                <w:sz w:val="20"/>
                <w:szCs w:val="20"/>
                <w:lang w:val="en-GB"/>
              </w:rPr>
            </w:pPr>
            <w:r>
              <w:rPr>
                <w:rFonts w:ascii="Calibri" w:eastAsia="Times New Roman" w:hAnsi="Calibri" w:cs="Calibri"/>
                <w:bCs/>
                <w:color w:val="000000" w:themeColor="text1"/>
                <w:sz w:val="20"/>
                <w:szCs w:val="20"/>
                <w:lang w:val="en-GB"/>
              </w:rPr>
              <w:t>Internal energy markets</w:t>
            </w:r>
          </w:p>
        </w:tc>
        <w:tc>
          <w:tcPr>
            <w:tcW w:w="2837" w:type="pct"/>
          </w:tcPr>
          <w:p w14:paraId="758D381C" w14:textId="424F5F91" w:rsidR="00E1388B" w:rsidRPr="007C021D" w:rsidRDefault="005407C4" w:rsidP="00590C0F">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Medium</w:t>
            </w:r>
            <w:r>
              <w:rPr>
                <w:rFonts w:ascii="Calibri" w:eastAsia="Times New Roman" w:hAnsi="Calibri" w:cs="Calibri"/>
                <w:bCs/>
                <w:color w:val="000000" w:themeColor="text1"/>
                <w:sz w:val="20"/>
                <w:szCs w:val="20"/>
                <w:lang w:val="en-GB"/>
              </w:rPr>
              <w:t xml:space="preserve"> capability</w:t>
            </w:r>
            <w:r w:rsidR="00590C0F">
              <w:rPr>
                <w:rFonts w:ascii="Calibri" w:eastAsia="Times New Roman" w:hAnsi="Calibri" w:cs="Calibri"/>
                <w:bCs/>
                <w:color w:val="000000" w:themeColor="text1"/>
                <w:sz w:val="20"/>
                <w:szCs w:val="20"/>
                <w:lang w:val="en-GB"/>
              </w:rPr>
              <w:t xml:space="preserve"> (gasification of the systems, electrifications, partial/complete phase-out of fuel subsidies, etc.)</w:t>
            </w:r>
          </w:p>
        </w:tc>
      </w:tr>
      <w:tr w:rsidR="00E1388B" w:rsidRPr="007C021D" w14:paraId="7E562BC0" w14:textId="77777777" w:rsidTr="00784EA6">
        <w:tc>
          <w:tcPr>
            <w:tcW w:w="2163" w:type="pct"/>
          </w:tcPr>
          <w:p w14:paraId="5394FB7B" w14:textId="6C894125" w:rsidR="00E1388B" w:rsidRPr="007C021D" w:rsidRDefault="00591F99" w:rsidP="00E94A83">
            <w:pPr>
              <w:spacing w:before="100" w:beforeAutospacing="1" w:after="100" w:afterAutospacing="1"/>
              <w:rPr>
                <w:rFonts w:ascii="Calibri" w:eastAsia="Times New Roman" w:hAnsi="Calibri" w:cs="Calibri"/>
                <w:bCs/>
                <w:color w:val="000000" w:themeColor="text1"/>
                <w:sz w:val="20"/>
                <w:szCs w:val="20"/>
                <w:lang w:val="en-GB"/>
              </w:rPr>
            </w:pPr>
            <w:r>
              <w:rPr>
                <w:rFonts w:ascii="Calibri" w:eastAsia="Times New Roman" w:hAnsi="Calibri" w:cs="Calibri"/>
                <w:bCs/>
                <w:color w:val="000000" w:themeColor="text1"/>
                <w:sz w:val="20"/>
                <w:szCs w:val="20"/>
                <w:lang w:val="en-GB"/>
              </w:rPr>
              <w:t xml:space="preserve">Research, </w:t>
            </w:r>
            <w:proofErr w:type="gramStart"/>
            <w:r>
              <w:rPr>
                <w:rFonts w:ascii="Calibri" w:eastAsia="Times New Roman" w:hAnsi="Calibri" w:cs="Calibri"/>
                <w:bCs/>
                <w:color w:val="000000" w:themeColor="text1"/>
                <w:sz w:val="20"/>
                <w:szCs w:val="20"/>
                <w:lang w:val="en-GB"/>
              </w:rPr>
              <w:t>Innovation</w:t>
            </w:r>
            <w:proofErr w:type="gramEnd"/>
            <w:r>
              <w:rPr>
                <w:rFonts w:ascii="Calibri" w:eastAsia="Times New Roman" w:hAnsi="Calibri" w:cs="Calibri"/>
                <w:bCs/>
                <w:color w:val="000000" w:themeColor="text1"/>
                <w:sz w:val="20"/>
                <w:szCs w:val="20"/>
                <w:lang w:val="en-GB"/>
              </w:rPr>
              <w:t xml:space="preserve"> and competitiveness</w:t>
            </w:r>
          </w:p>
        </w:tc>
        <w:tc>
          <w:tcPr>
            <w:tcW w:w="2837" w:type="pct"/>
          </w:tcPr>
          <w:p w14:paraId="1580840A" w14:textId="19B7C2AD" w:rsidR="00E1388B" w:rsidRPr="007C021D" w:rsidRDefault="005407C4" w:rsidP="00E94A83">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Low-Medium</w:t>
            </w:r>
            <w:r>
              <w:rPr>
                <w:rFonts w:ascii="Calibri" w:eastAsia="Times New Roman" w:hAnsi="Calibri" w:cs="Calibri"/>
                <w:bCs/>
                <w:color w:val="000000" w:themeColor="text1"/>
                <w:sz w:val="20"/>
                <w:szCs w:val="20"/>
                <w:lang w:val="en-GB"/>
              </w:rPr>
              <w:t xml:space="preserve"> capability</w:t>
            </w:r>
            <w:r w:rsidR="00590C0F">
              <w:rPr>
                <w:rFonts w:ascii="Calibri" w:eastAsia="Times New Roman" w:hAnsi="Calibri" w:cs="Calibri"/>
                <w:bCs/>
                <w:color w:val="000000" w:themeColor="text1"/>
                <w:sz w:val="20"/>
                <w:szCs w:val="20"/>
                <w:lang w:val="en-GB"/>
              </w:rPr>
              <w:t xml:space="preserve"> (implicit and/or ex-post)</w:t>
            </w:r>
          </w:p>
        </w:tc>
      </w:tr>
    </w:tbl>
    <w:p w14:paraId="760946CE" w14:textId="77777777" w:rsidR="00E1388B" w:rsidRPr="007C021D" w:rsidRDefault="00E1388B" w:rsidP="00474AB6">
      <w:pPr>
        <w:spacing w:after="120" w:line="240" w:lineRule="auto"/>
        <w:rPr>
          <w:color w:val="000000" w:themeColor="text1"/>
        </w:rPr>
      </w:pPr>
    </w:p>
    <w:p w14:paraId="702E121F" w14:textId="30828C2D" w:rsidR="000E6215" w:rsidRDefault="009A3758" w:rsidP="00AA6C68">
      <w:pPr>
        <w:spacing w:before="100" w:beforeAutospacing="1" w:after="100" w:afterAutospacing="1" w:line="240" w:lineRule="auto"/>
        <w:rPr>
          <w:rFonts w:ascii="Calibri" w:eastAsia="Times New Roman" w:hAnsi="Calibri" w:cs="Calibri"/>
          <w:i/>
          <w:color w:val="000000" w:themeColor="text1"/>
          <w:u w:val="single"/>
        </w:rPr>
      </w:pPr>
      <w:r w:rsidRPr="007C021D">
        <w:rPr>
          <w:rFonts w:ascii="Calibri" w:eastAsia="Times New Roman" w:hAnsi="Calibri" w:cs="Calibri"/>
          <w:i/>
          <w:color w:val="000000" w:themeColor="text1"/>
          <w:u w:val="single"/>
        </w:rPr>
        <w:t>9</w:t>
      </w:r>
      <w:r w:rsidR="000E6215" w:rsidRPr="007C021D">
        <w:rPr>
          <w:rFonts w:ascii="Calibri" w:eastAsia="Times New Roman" w:hAnsi="Calibri" w:cs="Calibri"/>
          <w:i/>
          <w:color w:val="000000" w:themeColor="text1"/>
          <w:u w:val="single"/>
        </w:rPr>
        <w:t>.2 Implications for other SDGs</w:t>
      </w:r>
    </w:p>
    <w:p w14:paraId="1B486F8B" w14:textId="09E9942C" w:rsidR="00591F99" w:rsidRDefault="00784EA6" w:rsidP="00784EA6">
      <w:pPr>
        <w:spacing w:before="100" w:beforeAutospacing="1" w:after="100" w:afterAutospacing="1" w:line="240" w:lineRule="auto"/>
        <w:jc w:val="both"/>
        <w:rPr>
          <w:rFonts w:ascii="Calibri" w:eastAsia="Times New Roman" w:hAnsi="Calibri" w:cs="Calibri"/>
          <w:color w:val="000000" w:themeColor="text1"/>
        </w:rPr>
      </w:pPr>
      <w:r>
        <w:rPr>
          <w:rFonts w:ascii="Calibri" w:eastAsia="Times New Roman" w:hAnsi="Calibri" w:cs="Calibri"/>
          <w:color w:val="000000" w:themeColor="text1"/>
        </w:rPr>
        <w:t xml:space="preserve">Apart from the </w:t>
      </w:r>
      <w:proofErr w:type="gramStart"/>
      <w:r>
        <w:rPr>
          <w:rFonts w:ascii="Calibri" w:eastAsia="Times New Roman" w:hAnsi="Calibri" w:cs="Calibri"/>
          <w:color w:val="000000" w:themeColor="text1"/>
        </w:rPr>
        <w:t>above mentioned</w:t>
      </w:r>
      <w:proofErr w:type="gramEnd"/>
      <w:r>
        <w:rPr>
          <w:rFonts w:ascii="Calibri" w:eastAsia="Times New Roman" w:hAnsi="Calibri" w:cs="Calibri"/>
          <w:color w:val="000000" w:themeColor="text1"/>
        </w:rPr>
        <w:t xml:space="preserve"> dimensions, a</w:t>
      </w:r>
      <w:r w:rsidR="00591F99" w:rsidRPr="00591F99">
        <w:rPr>
          <w:rFonts w:ascii="Calibri" w:eastAsia="Times New Roman" w:hAnsi="Calibri" w:cs="Calibri"/>
          <w:color w:val="000000" w:themeColor="text1"/>
        </w:rPr>
        <w:t xml:space="preserve"> nu</w:t>
      </w:r>
      <w:r w:rsidR="00591F99">
        <w:rPr>
          <w:rFonts w:ascii="Calibri" w:eastAsia="Times New Roman" w:hAnsi="Calibri" w:cs="Calibri"/>
          <w:color w:val="000000" w:themeColor="text1"/>
        </w:rPr>
        <w:t>m</w:t>
      </w:r>
      <w:r w:rsidR="00591F99" w:rsidRPr="00591F99">
        <w:rPr>
          <w:rFonts w:ascii="Calibri" w:eastAsia="Times New Roman" w:hAnsi="Calibri" w:cs="Calibri"/>
          <w:color w:val="000000" w:themeColor="text1"/>
        </w:rPr>
        <w:t xml:space="preserve">ber of other SDGs can be </w:t>
      </w:r>
      <w:r w:rsidR="00591F99">
        <w:rPr>
          <w:rFonts w:ascii="Calibri" w:eastAsia="Times New Roman" w:hAnsi="Calibri" w:cs="Calibri"/>
          <w:color w:val="000000" w:themeColor="text1"/>
        </w:rPr>
        <w:t>taken into consideration</w:t>
      </w:r>
      <w:r>
        <w:rPr>
          <w:rFonts w:ascii="Calibri" w:eastAsia="Times New Roman" w:hAnsi="Calibri" w:cs="Calibri"/>
          <w:color w:val="000000" w:themeColor="text1"/>
        </w:rPr>
        <w:t xml:space="preserve"> and investigated</w:t>
      </w:r>
      <w:r w:rsidR="00591F99">
        <w:rPr>
          <w:rFonts w:ascii="Calibri" w:eastAsia="Times New Roman" w:hAnsi="Calibri" w:cs="Calibri"/>
          <w:color w:val="000000" w:themeColor="text1"/>
        </w:rPr>
        <w:t xml:space="preserve"> </w:t>
      </w:r>
      <w:r>
        <w:rPr>
          <w:rFonts w:ascii="Calibri" w:eastAsia="Times New Roman" w:hAnsi="Calibri" w:cs="Calibri"/>
          <w:color w:val="000000" w:themeColor="text1"/>
        </w:rPr>
        <w:t>making use of</w:t>
      </w:r>
      <w:r w:rsidR="00591F99">
        <w:rPr>
          <w:rFonts w:ascii="Calibri" w:eastAsia="Times New Roman" w:hAnsi="Calibri" w:cs="Calibri"/>
          <w:color w:val="000000" w:themeColor="text1"/>
        </w:rPr>
        <w:t xml:space="preserve"> the TIMES-CAC model</w:t>
      </w:r>
      <w:r>
        <w:rPr>
          <w:rFonts w:ascii="Calibri" w:eastAsia="Times New Roman" w:hAnsi="Calibri" w:cs="Calibri"/>
          <w:color w:val="000000" w:themeColor="text1"/>
        </w:rPr>
        <w:t>,</w:t>
      </w:r>
      <w:r w:rsidR="00591F99">
        <w:rPr>
          <w:rFonts w:ascii="Calibri" w:eastAsia="Times New Roman" w:hAnsi="Calibri" w:cs="Calibri"/>
          <w:color w:val="000000" w:themeColor="text1"/>
        </w:rPr>
        <w:t xml:space="preserve"> as shown below.</w:t>
      </w:r>
    </w:p>
    <w:p w14:paraId="2CCBC32E" w14:textId="6AD82AB8" w:rsidR="00590C0F" w:rsidRPr="00590C0F" w:rsidRDefault="00590C0F" w:rsidP="00AA6C68">
      <w:pPr>
        <w:spacing w:before="100" w:beforeAutospacing="1" w:after="100" w:afterAutospacing="1" w:line="240" w:lineRule="auto"/>
        <w:rPr>
          <w:rFonts w:eastAsia="Times New Roman"/>
          <w:b/>
          <w:bCs/>
          <w:i/>
          <w:iCs/>
          <w:sz w:val="20"/>
          <w:szCs w:val="20"/>
        </w:rPr>
      </w:pPr>
      <w:r w:rsidRPr="00A9375E">
        <w:rPr>
          <w:rFonts w:eastAsia="Times New Roman"/>
          <w:b/>
          <w:bCs/>
          <w:i/>
          <w:iCs/>
          <w:sz w:val="20"/>
          <w:szCs w:val="20"/>
        </w:rPr>
        <w:t xml:space="preserve">Table </w:t>
      </w:r>
      <w:r>
        <w:rPr>
          <w:rFonts w:eastAsia="Times New Roman"/>
          <w:b/>
          <w:bCs/>
          <w:i/>
          <w:iCs/>
          <w:sz w:val="20"/>
          <w:szCs w:val="20"/>
        </w:rPr>
        <w:t>4</w:t>
      </w:r>
      <w:r w:rsidRPr="00A9375E">
        <w:rPr>
          <w:rFonts w:eastAsia="Times New Roman"/>
          <w:b/>
          <w:bCs/>
          <w:i/>
          <w:iCs/>
          <w:sz w:val="20"/>
          <w:szCs w:val="20"/>
        </w:rPr>
        <w:t xml:space="preserve"> </w:t>
      </w:r>
      <w:r>
        <w:rPr>
          <w:rFonts w:eastAsia="Times New Roman"/>
          <w:b/>
          <w:bCs/>
          <w:i/>
          <w:iCs/>
          <w:sz w:val="20"/>
          <w:szCs w:val="20"/>
        </w:rPr>
        <w:t>-</w:t>
      </w:r>
      <w:r w:rsidRPr="00A9375E">
        <w:rPr>
          <w:rFonts w:eastAsia="Times New Roman"/>
          <w:b/>
          <w:bCs/>
          <w:i/>
          <w:iCs/>
          <w:sz w:val="20"/>
          <w:szCs w:val="20"/>
        </w:rPr>
        <w:t xml:space="preserve"> </w:t>
      </w:r>
      <w:r>
        <w:rPr>
          <w:rFonts w:eastAsia="Times New Roman"/>
          <w:b/>
          <w:bCs/>
          <w:i/>
          <w:iCs/>
          <w:sz w:val="20"/>
          <w:szCs w:val="20"/>
        </w:rPr>
        <w:t>Capability of the</w:t>
      </w:r>
      <w:r w:rsidRPr="00A9375E">
        <w:rPr>
          <w:rFonts w:eastAsia="Times New Roman"/>
          <w:b/>
          <w:bCs/>
          <w:i/>
          <w:iCs/>
          <w:sz w:val="20"/>
          <w:szCs w:val="20"/>
        </w:rPr>
        <w:t xml:space="preserve"> T</w:t>
      </w:r>
      <w:r>
        <w:rPr>
          <w:rFonts w:eastAsia="Times New Roman"/>
          <w:b/>
          <w:bCs/>
          <w:i/>
          <w:iCs/>
          <w:sz w:val="20"/>
          <w:szCs w:val="20"/>
        </w:rPr>
        <w:t xml:space="preserve">IMES-CAC consider/assess other </w:t>
      </w:r>
      <w:proofErr w:type="gramStart"/>
      <w:r>
        <w:rPr>
          <w:rFonts w:eastAsia="Times New Roman"/>
          <w:b/>
          <w:bCs/>
          <w:i/>
          <w:iCs/>
          <w:sz w:val="20"/>
          <w:szCs w:val="20"/>
        </w:rPr>
        <w:t>SDGs</w:t>
      </w:r>
      <w:proofErr w:type="gramEnd"/>
    </w:p>
    <w:tbl>
      <w:tblPr>
        <w:tblStyle w:val="TableGrid"/>
        <w:tblW w:w="5000" w:type="pct"/>
        <w:tblLook w:val="04A0" w:firstRow="1" w:lastRow="0" w:firstColumn="1" w:lastColumn="0" w:noHBand="0" w:noVBand="1"/>
      </w:tblPr>
      <w:tblGrid>
        <w:gridCol w:w="4045"/>
        <w:gridCol w:w="5305"/>
      </w:tblGrid>
      <w:tr w:rsidR="00AA3F1C" w:rsidRPr="007C021D" w14:paraId="41C8F879" w14:textId="77777777" w:rsidTr="00784EA6">
        <w:tc>
          <w:tcPr>
            <w:tcW w:w="2163" w:type="pct"/>
          </w:tcPr>
          <w:p w14:paraId="3716ECD0" w14:textId="6CA6D11E" w:rsidR="00AA3F1C" w:rsidRPr="007C021D" w:rsidRDefault="00AA312D" w:rsidP="002B0624">
            <w:pPr>
              <w:spacing w:before="100" w:beforeAutospacing="1" w:after="100" w:afterAutospacing="1"/>
              <w:rPr>
                <w:rFonts w:ascii="Calibri" w:eastAsia="Times New Roman" w:hAnsi="Calibri" w:cs="Calibri"/>
                <w:b/>
                <w:color w:val="000000" w:themeColor="text1"/>
                <w:sz w:val="20"/>
                <w:szCs w:val="20"/>
              </w:rPr>
            </w:pPr>
            <w:r w:rsidRPr="007C021D">
              <w:rPr>
                <w:rFonts w:ascii="Calibri" w:eastAsia="Times New Roman" w:hAnsi="Calibri" w:cs="Calibri"/>
                <w:b/>
                <w:color w:val="000000" w:themeColor="text1"/>
                <w:sz w:val="20"/>
                <w:szCs w:val="20"/>
              </w:rPr>
              <w:t>SDGs</w:t>
            </w:r>
          </w:p>
        </w:tc>
        <w:tc>
          <w:tcPr>
            <w:tcW w:w="2837" w:type="pct"/>
          </w:tcPr>
          <w:p w14:paraId="0587B21F" w14:textId="4CB26D30" w:rsidR="00AA3F1C" w:rsidRPr="007C021D" w:rsidRDefault="00AA312D" w:rsidP="002B0624">
            <w:pPr>
              <w:spacing w:before="100" w:beforeAutospacing="1" w:after="100" w:afterAutospacing="1"/>
              <w:jc w:val="both"/>
              <w:rPr>
                <w:rFonts w:ascii="Calibri" w:eastAsia="Times New Roman" w:hAnsi="Calibri" w:cs="Calibri"/>
                <w:b/>
                <w:color w:val="000000" w:themeColor="text1"/>
                <w:sz w:val="20"/>
                <w:szCs w:val="20"/>
              </w:rPr>
            </w:pPr>
            <w:r w:rsidRPr="007C021D">
              <w:rPr>
                <w:rFonts w:ascii="Calibri" w:eastAsia="Times New Roman" w:hAnsi="Calibri" w:cs="Calibri"/>
                <w:b/>
                <w:color w:val="000000" w:themeColor="text1"/>
                <w:sz w:val="20"/>
                <w:szCs w:val="20"/>
              </w:rPr>
              <w:t>TIMES-CAC</w:t>
            </w:r>
          </w:p>
        </w:tc>
      </w:tr>
      <w:tr w:rsidR="00D07795" w:rsidRPr="007C021D" w14:paraId="7D327BCB" w14:textId="77777777" w:rsidTr="00784EA6">
        <w:tc>
          <w:tcPr>
            <w:tcW w:w="2163" w:type="pct"/>
          </w:tcPr>
          <w:p w14:paraId="1C019140" w14:textId="043C2479" w:rsidR="00AA3F1C" w:rsidRPr="007C021D" w:rsidRDefault="00AA312D" w:rsidP="002B0624">
            <w:pPr>
              <w:spacing w:before="100" w:beforeAutospacing="1" w:after="100" w:afterAutospacing="1"/>
              <w:rPr>
                <w:rFonts w:ascii="Calibri" w:eastAsia="Times New Roman" w:hAnsi="Calibri" w:cs="Calibri"/>
                <w:bCs/>
                <w:color w:val="000000" w:themeColor="text1"/>
                <w:sz w:val="20"/>
                <w:szCs w:val="20"/>
                <w:lang w:val="en-GB"/>
              </w:rPr>
            </w:pPr>
            <w:r w:rsidRPr="007C021D">
              <w:rPr>
                <w:rFonts w:ascii="Calibri" w:eastAsia="Times New Roman" w:hAnsi="Calibri" w:cs="Calibri"/>
                <w:bCs/>
                <w:color w:val="000000" w:themeColor="text1"/>
                <w:sz w:val="20"/>
                <w:szCs w:val="20"/>
                <w:lang w:val="en-GB"/>
              </w:rPr>
              <w:t>§1. No Poverty (e.g., intra-country distributional impact by income level)</w:t>
            </w:r>
          </w:p>
        </w:tc>
        <w:tc>
          <w:tcPr>
            <w:tcW w:w="2837" w:type="pct"/>
          </w:tcPr>
          <w:p w14:paraId="17965473" w14:textId="4F56E028" w:rsidR="00AA3F1C" w:rsidRPr="007C021D" w:rsidRDefault="00D07795" w:rsidP="00D07795">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Partial</w:t>
            </w:r>
            <w:r>
              <w:rPr>
                <w:rFonts w:ascii="Calibri" w:eastAsia="Times New Roman" w:hAnsi="Calibri" w:cs="Calibri"/>
                <w:bCs/>
                <w:color w:val="000000" w:themeColor="text1"/>
                <w:sz w:val="20"/>
                <w:szCs w:val="20"/>
                <w:lang w:val="en-GB"/>
              </w:rPr>
              <w:t xml:space="preserve">. </w:t>
            </w:r>
            <w:r w:rsidR="00AA312D" w:rsidRPr="007C021D">
              <w:rPr>
                <w:rFonts w:ascii="Calibri" w:eastAsia="Times New Roman" w:hAnsi="Calibri" w:cs="Calibri"/>
                <w:bCs/>
                <w:color w:val="000000" w:themeColor="text1"/>
                <w:sz w:val="20"/>
                <w:szCs w:val="20"/>
                <w:lang w:val="en-GB"/>
              </w:rPr>
              <w:t xml:space="preserve">Trade-offs </w:t>
            </w:r>
            <w:r>
              <w:rPr>
                <w:rFonts w:ascii="Calibri" w:eastAsia="Times New Roman" w:hAnsi="Calibri" w:cs="Calibri"/>
                <w:bCs/>
                <w:color w:val="000000" w:themeColor="text1"/>
                <w:sz w:val="20"/>
                <w:szCs w:val="20"/>
                <w:lang w:val="en-GB"/>
              </w:rPr>
              <w:t xml:space="preserve">between </w:t>
            </w:r>
            <w:r w:rsidR="00AA312D" w:rsidRPr="007C021D">
              <w:rPr>
                <w:rFonts w:ascii="Calibri" w:eastAsia="Times New Roman" w:hAnsi="Calibri" w:cs="Calibri"/>
                <w:bCs/>
                <w:color w:val="000000" w:themeColor="text1"/>
                <w:sz w:val="20"/>
                <w:szCs w:val="20"/>
                <w:lang w:val="en-GB"/>
              </w:rPr>
              <w:t>energy poverty redu</w:t>
            </w:r>
            <w:r>
              <w:rPr>
                <w:rFonts w:ascii="Calibri" w:eastAsia="Times New Roman" w:hAnsi="Calibri" w:cs="Calibri"/>
                <w:bCs/>
                <w:color w:val="000000" w:themeColor="text1"/>
                <w:sz w:val="20"/>
                <w:szCs w:val="20"/>
                <w:lang w:val="en-GB"/>
              </w:rPr>
              <w:t>c</w:t>
            </w:r>
            <w:r w:rsidR="00AA312D" w:rsidRPr="007C021D">
              <w:rPr>
                <w:rFonts w:ascii="Calibri" w:eastAsia="Times New Roman" w:hAnsi="Calibri" w:cs="Calibri"/>
                <w:bCs/>
                <w:color w:val="000000" w:themeColor="text1"/>
                <w:sz w:val="20"/>
                <w:szCs w:val="20"/>
                <w:lang w:val="en-GB"/>
              </w:rPr>
              <w:t>tion</w:t>
            </w:r>
            <w:r w:rsidR="00083F2B">
              <w:rPr>
                <w:rFonts w:ascii="Calibri" w:eastAsia="Times New Roman" w:hAnsi="Calibri" w:cs="Calibri"/>
                <w:bCs/>
                <w:color w:val="000000" w:themeColor="text1"/>
                <w:sz w:val="20"/>
                <w:szCs w:val="20"/>
                <w:lang w:val="en-GB"/>
              </w:rPr>
              <w:t xml:space="preserve"> (residential)</w:t>
            </w:r>
            <w:r>
              <w:rPr>
                <w:rFonts w:ascii="Calibri" w:eastAsia="Times New Roman" w:hAnsi="Calibri" w:cs="Calibri"/>
                <w:bCs/>
                <w:color w:val="000000" w:themeColor="text1"/>
                <w:sz w:val="20"/>
                <w:szCs w:val="20"/>
                <w:lang w:val="en-GB"/>
              </w:rPr>
              <w:t xml:space="preserve"> measures</w:t>
            </w:r>
            <w:r w:rsidR="00AA312D" w:rsidRPr="007C021D">
              <w:rPr>
                <w:rFonts w:ascii="Calibri" w:eastAsia="Times New Roman" w:hAnsi="Calibri" w:cs="Calibri"/>
                <w:bCs/>
                <w:color w:val="000000" w:themeColor="text1"/>
                <w:sz w:val="20"/>
                <w:szCs w:val="20"/>
                <w:lang w:val="en-GB"/>
              </w:rPr>
              <w:t xml:space="preserve"> VS energy </w:t>
            </w:r>
            <w:r>
              <w:rPr>
                <w:rFonts w:ascii="Calibri" w:eastAsia="Times New Roman" w:hAnsi="Calibri" w:cs="Calibri"/>
                <w:bCs/>
                <w:color w:val="000000" w:themeColor="text1"/>
                <w:sz w:val="20"/>
                <w:szCs w:val="20"/>
                <w:lang w:val="en-GB"/>
              </w:rPr>
              <w:t>consumptions can be partially explored.</w:t>
            </w:r>
          </w:p>
        </w:tc>
      </w:tr>
      <w:tr w:rsidR="00530A3F" w:rsidRPr="007C021D" w14:paraId="5C9AC613" w14:textId="77777777" w:rsidTr="00784EA6">
        <w:tc>
          <w:tcPr>
            <w:tcW w:w="2163" w:type="pct"/>
          </w:tcPr>
          <w:p w14:paraId="42D4A7D1" w14:textId="34EB0E47" w:rsidR="00AA3F1C" w:rsidRPr="007C021D" w:rsidRDefault="00AA312D" w:rsidP="002B0624">
            <w:pPr>
              <w:spacing w:before="100" w:beforeAutospacing="1" w:after="100" w:afterAutospacing="1"/>
              <w:rPr>
                <w:rFonts w:ascii="Calibri" w:eastAsia="Times New Roman" w:hAnsi="Calibri" w:cs="Calibri"/>
                <w:bCs/>
                <w:color w:val="000000" w:themeColor="text1"/>
                <w:sz w:val="20"/>
                <w:szCs w:val="20"/>
                <w:lang w:val="en-GB"/>
              </w:rPr>
            </w:pPr>
            <w:r w:rsidRPr="007C021D">
              <w:rPr>
                <w:rFonts w:ascii="Calibri" w:eastAsia="Times New Roman" w:hAnsi="Calibri" w:cs="Calibri"/>
                <w:bCs/>
                <w:color w:val="000000" w:themeColor="text1"/>
                <w:sz w:val="20"/>
                <w:szCs w:val="20"/>
                <w:lang w:val="en-GB"/>
              </w:rPr>
              <w:t>§3. Health (e.g., air-pollution related mortality)</w:t>
            </w:r>
          </w:p>
        </w:tc>
        <w:tc>
          <w:tcPr>
            <w:tcW w:w="2837" w:type="pct"/>
          </w:tcPr>
          <w:p w14:paraId="19EE0DF9" w14:textId="6F4AF02E" w:rsidR="00AA3F1C" w:rsidRPr="007C021D" w:rsidRDefault="00AA312D" w:rsidP="00530A3F">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Implicitly</w:t>
            </w:r>
            <w:r w:rsidR="00D07795">
              <w:rPr>
                <w:rFonts w:ascii="Calibri" w:eastAsia="Times New Roman" w:hAnsi="Calibri" w:cs="Calibri"/>
                <w:bCs/>
                <w:color w:val="000000" w:themeColor="text1"/>
                <w:sz w:val="20"/>
                <w:szCs w:val="20"/>
                <w:lang w:val="en-GB"/>
              </w:rPr>
              <w:t>.</w:t>
            </w:r>
            <w:r w:rsidRPr="007C021D">
              <w:rPr>
                <w:rFonts w:ascii="Calibri" w:eastAsia="Times New Roman" w:hAnsi="Calibri" w:cs="Calibri"/>
                <w:bCs/>
                <w:color w:val="000000" w:themeColor="text1"/>
                <w:sz w:val="20"/>
                <w:szCs w:val="20"/>
                <w:lang w:val="en-GB"/>
              </w:rPr>
              <w:t xml:space="preserve"> </w:t>
            </w:r>
            <w:r w:rsidR="00D07795">
              <w:rPr>
                <w:rFonts w:ascii="Calibri" w:eastAsia="Times New Roman" w:hAnsi="Calibri" w:cs="Calibri"/>
                <w:bCs/>
                <w:color w:val="000000" w:themeColor="text1"/>
                <w:sz w:val="20"/>
                <w:szCs w:val="20"/>
                <w:lang w:val="en-GB"/>
              </w:rPr>
              <w:t xml:space="preserve">Measures to tackle the use of solid fuels in buildings (not negligible fractions in the CAC area, and direct cause of </w:t>
            </w:r>
            <w:r w:rsidR="00530A3F">
              <w:rPr>
                <w:rFonts w:ascii="Calibri" w:eastAsia="Times New Roman" w:hAnsi="Calibri" w:cs="Calibri"/>
                <w:bCs/>
                <w:color w:val="000000" w:themeColor="text1"/>
                <w:sz w:val="20"/>
                <w:szCs w:val="20"/>
                <w:lang w:val="en-GB"/>
              </w:rPr>
              <w:t xml:space="preserve">pollution-related </w:t>
            </w:r>
            <w:r w:rsidR="00D07795">
              <w:rPr>
                <w:rFonts w:ascii="Calibri" w:eastAsia="Times New Roman" w:hAnsi="Calibri" w:cs="Calibri"/>
                <w:bCs/>
                <w:color w:val="000000" w:themeColor="text1"/>
                <w:sz w:val="20"/>
                <w:szCs w:val="20"/>
                <w:lang w:val="en-GB"/>
              </w:rPr>
              <w:t xml:space="preserve">mortality) can be included. </w:t>
            </w:r>
          </w:p>
        </w:tc>
      </w:tr>
      <w:tr w:rsidR="00530A3F" w:rsidRPr="007C021D" w14:paraId="55900498" w14:textId="77777777" w:rsidTr="00784EA6">
        <w:tc>
          <w:tcPr>
            <w:tcW w:w="2163" w:type="pct"/>
          </w:tcPr>
          <w:p w14:paraId="77AECE2F" w14:textId="1D7EE739" w:rsidR="00AA3F1C" w:rsidRPr="007C021D" w:rsidRDefault="00AA312D" w:rsidP="002B0624">
            <w:pPr>
              <w:spacing w:before="100" w:beforeAutospacing="1" w:after="100" w:afterAutospacing="1"/>
              <w:rPr>
                <w:rFonts w:ascii="Calibri" w:eastAsia="Times New Roman" w:hAnsi="Calibri" w:cs="Calibri"/>
                <w:bCs/>
                <w:color w:val="000000" w:themeColor="text1"/>
                <w:sz w:val="20"/>
                <w:szCs w:val="20"/>
                <w:lang w:val="en-GB"/>
              </w:rPr>
            </w:pPr>
            <w:r w:rsidRPr="007C021D">
              <w:rPr>
                <w:rFonts w:ascii="Calibri" w:eastAsia="Times New Roman" w:hAnsi="Calibri" w:cs="Calibri"/>
                <w:bCs/>
                <w:color w:val="000000" w:themeColor="text1"/>
                <w:sz w:val="20"/>
                <w:szCs w:val="20"/>
                <w:lang w:val="en-GB"/>
              </w:rPr>
              <w:t>§7. Affordable and clean energy (e.g., traditional biomass use, %renewable energy)</w:t>
            </w:r>
          </w:p>
        </w:tc>
        <w:tc>
          <w:tcPr>
            <w:tcW w:w="2837" w:type="pct"/>
          </w:tcPr>
          <w:p w14:paraId="22B359FD" w14:textId="737A8FE7" w:rsidR="00AA3F1C" w:rsidRPr="007C021D" w:rsidRDefault="00AA312D" w:rsidP="00083F2B">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Full</w:t>
            </w:r>
            <w:r w:rsidR="00530A3F">
              <w:rPr>
                <w:rFonts w:ascii="Calibri" w:eastAsia="Times New Roman" w:hAnsi="Calibri" w:cs="Calibri"/>
                <w:bCs/>
                <w:color w:val="000000" w:themeColor="text1"/>
                <w:sz w:val="20"/>
                <w:szCs w:val="20"/>
                <w:lang w:val="en-GB"/>
              </w:rPr>
              <w:t>.</w:t>
            </w:r>
            <w:r w:rsidR="00083F2B">
              <w:rPr>
                <w:rFonts w:ascii="Calibri" w:eastAsia="Times New Roman" w:hAnsi="Calibri" w:cs="Calibri"/>
                <w:bCs/>
                <w:color w:val="000000" w:themeColor="text1"/>
                <w:sz w:val="20"/>
                <w:szCs w:val="20"/>
                <w:lang w:val="en-GB"/>
              </w:rPr>
              <w:t xml:space="preserve"> Cost-effectiveness of RES within a specific storyline.</w:t>
            </w:r>
          </w:p>
        </w:tc>
      </w:tr>
      <w:tr w:rsidR="00530A3F" w:rsidRPr="007C021D" w14:paraId="64FB90EC" w14:textId="77777777" w:rsidTr="00784EA6">
        <w:tc>
          <w:tcPr>
            <w:tcW w:w="2163" w:type="pct"/>
          </w:tcPr>
          <w:p w14:paraId="3D807709" w14:textId="4FCE0C77" w:rsidR="00AA3F1C" w:rsidRPr="007C021D" w:rsidRDefault="00AA312D" w:rsidP="002B0624">
            <w:pPr>
              <w:spacing w:before="100" w:beforeAutospacing="1" w:after="100" w:afterAutospacing="1"/>
              <w:rPr>
                <w:rFonts w:ascii="Calibri" w:eastAsia="Times New Roman" w:hAnsi="Calibri" w:cs="Calibri"/>
                <w:bCs/>
                <w:color w:val="000000" w:themeColor="text1"/>
                <w:sz w:val="20"/>
                <w:szCs w:val="20"/>
                <w:lang w:val="en-GB"/>
              </w:rPr>
            </w:pPr>
            <w:r w:rsidRPr="007C021D">
              <w:rPr>
                <w:rFonts w:ascii="Calibri" w:eastAsia="Times New Roman" w:hAnsi="Calibri" w:cs="Calibri"/>
                <w:bCs/>
                <w:color w:val="000000" w:themeColor="text1"/>
                <w:sz w:val="20"/>
                <w:szCs w:val="20"/>
                <w:lang w:val="en-GB"/>
              </w:rPr>
              <w:lastRenderedPageBreak/>
              <w:t xml:space="preserve">§8. Decent work &amp; economic growth (e.g., impact on </w:t>
            </w:r>
            <w:proofErr w:type="spellStart"/>
            <w:r w:rsidRPr="007C021D">
              <w:rPr>
                <w:rFonts w:ascii="Calibri" w:eastAsia="Times New Roman" w:hAnsi="Calibri" w:cs="Calibri"/>
                <w:bCs/>
                <w:color w:val="000000" w:themeColor="text1"/>
                <w:sz w:val="20"/>
                <w:szCs w:val="20"/>
                <w:lang w:val="en-GB"/>
              </w:rPr>
              <w:t>GDPpc</w:t>
            </w:r>
            <w:proofErr w:type="spellEnd"/>
            <w:r w:rsidRPr="007C021D">
              <w:rPr>
                <w:rFonts w:ascii="Calibri" w:eastAsia="Times New Roman" w:hAnsi="Calibri" w:cs="Calibri"/>
                <w:bCs/>
                <w:color w:val="000000" w:themeColor="text1"/>
                <w:sz w:val="20"/>
                <w:szCs w:val="20"/>
                <w:lang w:val="en-GB"/>
              </w:rPr>
              <w:t>, jobs)</w:t>
            </w:r>
          </w:p>
        </w:tc>
        <w:tc>
          <w:tcPr>
            <w:tcW w:w="2837" w:type="pct"/>
          </w:tcPr>
          <w:p w14:paraId="75EB752F" w14:textId="10DEE9A0" w:rsidR="00AA3F1C" w:rsidRPr="007C021D" w:rsidRDefault="00530A3F" w:rsidP="00083F2B">
            <w:pPr>
              <w:spacing w:before="100" w:beforeAutospacing="1" w:after="100" w:afterAutospacing="1"/>
              <w:jc w:val="both"/>
              <w:rPr>
                <w:rFonts w:ascii="Calibri" w:eastAsia="Times New Roman" w:hAnsi="Calibri" w:cs="Calibri"/>
                <w:bCs/>
                <w:color w:val="000000" w:themeColor="text1"/>
                <w:sz w:val="20"/>
                <w:szCs w:val="20"/>
                <w:lang w:val="en-GB"/>
              </w:rPr>
            </w:pPr>
            <w:r w:rsidRPr="00992527">
              <w:rPr>
                <w:rFonts w:ascii="Calibri" w:eastAsia="Times New Roman" w:hAnsi="Calibri" w:cs="Calibri"/>
                <w:b/>
                <w:bCs/>
                <w:i/>
                <w:color w:val="000000" w:themeColor="text1"/>
                <w:sz w:val="20"/>
                <w:szCs w:val="20"/>
                <w:lang w:val="en-GB"/>
              </w:rPr>
              <w:t>Partial</w:t>
            </w:r>
            <w:r>
              <w:rPr>
                <w:rFonts w:ascii="Calibri" w:eastAsia="Times New Roman" w:hAnsi="Calibri" w:cs="Calibri"/>
                <w:bCs/>
                <w:color w:val="000000" w:themeColor="text1"/>
                <w:sz w:val="20"/>
                <w:szCs w:val="20"/>
                <w:lang w:val="en-GB"/>
              </w:rPr>
              <w:t xml:space="preserve">. </w:t>
            </w:r>
            <w:r w:rsidR="00AA312D" w:rsidRPr="007C021D">
              <w:rPr>
                <w:rFonts w:ascii="Calibri" w:eastAsia="Times New Roman" w:hAnsi="Calibri" w:cs="Calibri"/>
                <w:bCs/>
                <w:color w:val="000000" w:themeColor="text1"/>
                <w:sz w:val="20"/>
                <w:szCs w:val="20"/>
                <w:lang w:val="en-GB"/>
              </w:rPr>
              <w:t>Energy export revenues</w:t>
            </w:r>
            <w:r>
              <w:rPr>
                <w:rFonts w:ascii="Calibri" w:eastAsia="Times New Roman" w:hAnsi="Calibri" w:cs="Calibri"/>
                <w:bCs/>
                <w:color w:val="000000" w:themeColor="text1"/>
                <w:sz w:val="20"/>
                <w:szCs w:val="20"/>
                <w:lang w:val="en-GB"/>
              </w:rPr>
              <w:t xml:space="preserve"> can be tracked and analysed to evaluate the corresponding relevance/impact on the State budget (</w:t>
            </w:r>
            <w:proofErr w:type="spellStart"/>
            <w:proofErr w:type="gramStart"/>
            <w:r>
              <w:rPr>
                <w:rFonts w:ascii="Calibri" w:eastAsia="Times New Roman" w:hAnsi="Calibri" w:cs="Calibri"/>
                <w:bCs/>
                <w:color w:val="000000" w:themeColor="text1"/>
                <w:sz w:val="20"/>
                <w:szCs w:val="20"/>
                <w:lang w:val="en-GB"/>
              </w:rPr>
              <w:t>eg</w:t>
            </w:r>
            <w:proofErr w:type="spellEnd"/>
            <w:proofErr w:type="gramEnd"/>
            <w:r>
              <w:rPr>
                <w:rFonts w:ascii="Calibri" w:eastAsia="Times New Roman" w:hAnsi="Calibri" w:cs="Calibri"/>
                <w:bCs/>
                <w:color w:val="000000" w:themeColor="text1"/>
                <w:sz w:val="20"/>
                <w:szCs w:val="20"/>
                <w:lang w:val="en-GB"/>
              </w:rPr>
              <w:t xml:space="preserve"> capability to fund RES, etc.)</w:t>
            </w:r>
            <w:r w:rsidR="00083F2B">
              <w:rPr>
                <w:rFonts w:ascii="Calibri" w:eastAsia="Times New Roman" w:hAnsi="Calibri" w:cs="Calibri"/>
                <w:bCs/>
                <w:color w:val="000000" w:themeColor="text1"/>
                <w:sz w:val="20"/>
                <w:szCs w:val="20"/>
                <w:lang w:val="en-GB"/>
              </w:rPr>
              <w:t xml:space="preserve"> and on the domestic macroeconomic indicators</w:t>
            </w:r>
            <w:r>
              <w:rPr>
                <w:rFonts w:ascii="Calibri" w:eastAsia="Times New Roman" w:hAnsi="Calibri" w:cs="Calibri"/>
                <w:bCs/>
                <w:color w:val="000000" w:themeColor="text1"/>
                <w:sz w:val="20"/>
                <w:szCs w:val="20"/>
                <w:lang w:val="en-GB"/>
              </w:rPr>
              <w:t>.</w:t>
            </w:r>
          </w:p>
        </w:tc>
      </w:tr>
      <w:tr w:rsidR="00590C0F" w:rsidRPr="007C021D" w14:paraId="48CF751C" w14:textId="77777777" w:rsidTr="00784EA6">
        <w:tc>
          <w:tcPr>
            <w:tcW w:w="2163" w:type="pct"/>
          </w:tcPr>
          <w:p w14:paraId="7AD5ED20" w14:textId="3D45D50F" w:rsidR="00AA312D" w:rsidRPr="007C021D" w:rsidRDefault="00AA312D" w:rsidP="002B0624">
            <w:pPr>
              <w:spacing w:before="100" w:beforeAutospacing="1" w:after="100" w:afterAutospacing="1"/>
              <w:rPr>
                <w:rFonts w:ascii="Calibri" w:eastAsia="Times New Roman" w:hAnsi="Calibri" w:cs="Calibri"/>
                <w:bCs/>
                <w:color w:val="000000" w:themeColor="text1"/>
                <w:sz w:val="20"/>
                <w:szCs w:val="20"/>
                <w:lang w:val="en-GB"/>
              </w:rPr>
            </w:pPr>
            <w:r w:rsidRPr="007C021D">
              <w:rPr>
                <w:rFonts w:ascii="Calibri" w:eastAsia="Times New Roman" w:hAnsi="Calibri" w:cs="Calibri"/>
                <w:bCs/>
                <w:color w:val="000000" w:themeColor="text1"/>
                <w:sz w:val="20"/>
                <w:szCs w:val="20"/>
                <w:lang w:val="en-GB"/>
              </w:rPr>
              <w:t>§15: Life on land (e.g., land use for forests, rate of land use change)</w:t>
            </w:r>
          </w:p>
        </w:tc>
        <w:tc>
          <w:tcPr>
            <w:tcW w:w="2837" w:type="pct"/>
          </w:tcPr>
          <w:p w14:paraId="7BF6DED4" w14:textId="43505C0B" w:rsidR="00AA312D" w:rsidRPr="007C021D" w:rsidRDefault="00992527" w:rsidP="00773A14">
            <w:pPr>
              <w:spacing w:before="100" w:beforeAutospacing="1" w:after="100" w:afterAutospacing="1"/>
              <w:jc w:val="both"/>
              <w:rPr>
                <w:rFonts w:ascii="Calibri" w:eastAsia="Times New Roman" w:hAnsi="Calibri" w:cs="Calibri"/>
                <w:bCs/>
                <w:color w:val="000000" w:themeColor="text1"/>
                <w:sz w:val="20"/>
                <w:szCs w:val="20"/>
                <w:lang w:val="en-GB"/>
              </w:rPr>
            </w:pPr>
            <w:r>
              <w:rPr>
                <w:rFonts w:ascii="Calibri" w:eastAsia="Times New Roman" w:hAnsi="Calibri" w:cs="Calibri"/>
                <w:b/>
                <w:bCs/>
                <w:i/>
                <w:color w:val="000000" w:themeColor="text1"/>
                <w:sz w:val="20"/>
                <w:szCs w:val="20"/>
                <w:lang w:val="en-GB"/>
              </w:rPr>
              <w:t>Limited/</w:t>
            </w:r>
            <w:r w:rsidR="00AA312D" w:rsidRPr="00992527">
              <w:rPr>
                <w:rFonts w:ascii="Calibri" w:eastAsia="Times New Roman" w:hAnsi="Calibri" w:cs="Calibri"/>
                <w:b/>
                <w:bCs/>
                <w:i/>
                <w:color w:val="000000" w:themeColor="text1"/>
                <w:sz w:val="20"/>
                <w:szCs w:val="20"/>
                <w:lang w:val="en-GB"/>
              </w:rPr>
              <w:t>Simplified</w:t>
            </w:r>
            <w:r w:rsidR="00530A3F">
              <w:rPr>
                <w:rFonts w:ascii="Calibri" w:eastAsia="Times New Roman" w:hAnsi="Calibri" w:cs="Calibri"/>
                <w:bCs/>
                <w:color w:val="000000" w:themeColor="text1"/>
                <w:sz w:val="20"/>
                <w:szCs w:val="20"/>
                <w:lang w:val="en-GB"/>
              </w:rPr>
              <w:t>.</w:t>
            </w:r>
            <w:r w:rsidR="00AA312D" w:rsidRPr="007C021D">
              <w:rPr>
                <w:rFonts w:ascii="Calibri" w:eastAsia="Times New Roman" w:hAnsi="Calibri" w:cs="Calibri"/>
                <w:bCs/>
                <w:color w:val="000000" w:themeColor="text1"/>
                <w:sz w:val="20"/>
                <w:szCs w:val="20"/>
                <w:lang w:val="en-GB"/>
              </w:rPr>
              <w:t xml:space="preserve"> </w:t>
            </w:r>
            <w:r w:rsidR="00530A3F">
              <w:rPr>
                <w:rFonts w:ascii="Calibri" w:eastAsia="Times New Roman" w:hAnsi="Calibri" w:cs="Calibri"/>
                <w:bCs/>
                <w:color w:val="000000" w:themeColor="text1"/>
                <w:sz w:val="20"/>
                <w:szCs w:val="20"/>
                <w:lang w:val="en-GB"/>
              </w:rPr>
              <w:t>A</w:t>
            </w:r>
            <w:r w:rsidR="00AA312D" w:rsidRPr="007C021D">
              <w:rPr>
                <w:rFonts w:ascii="Calibri" w:eastAsia="Times New Roman" w:hAnsi="Calibri" w:cs="Calibri"/>
                <w:bCs/>
                <w:color w:val="000000" w:themeColor="text1"/>
                <w:sz w:val="20"/>
                <w:szCs w:val="20"/>
                <w:lang w:val="en-GB"/>
              </w:rPr>
              <w:t>fforestation</w:t>
            </w:r>
            <w:r w:rsidR="00530A3F">
              <w:rPr>
                <w:rFonts w:ascii="Calibri" w:eastAsia="Times New Roman" w:hAnsi="Calibri" w:cs="Calibri"/>
                <w:bCs/>
                <w:color w:val="000000" w:themeColor="text1"/>
                <w:sz w:val="20"/>
                <w:szCs w:val="20"/>
                <w:lang w:val="en-GB"/>
              </w:rPr>
              <w:t xml:space="preserve"> measures can be taken into account;</w:t>
            </w:r>
            <w:r w:rsidR="00AA312D" w:rsidRPr="007C021D">
              <w:rPr>
                <w:rFonts w:ascii="Calibri" w:eastAsia="Times New Roman" w:hAnsi="Calibri" w:cs="Calibri"/>
                <w:bCs/>
                <w:color w:val="000000" w:themeColor="text1"/>
                <w:sz w:val="20"/>
                <w:szCs w:val="20"/>
                <w:lang w:val="en-GB"/>
              </w:rPr>
              <w:t xml:space="preserve"> RES potential/exploit</w:t>
            </w:r>
            <w:r w:rsidR="00530A3F">
              <w:rPr>
                <w:rFonts w:ascii="Calibri" w:eastAsia="Times New Roman" w:hAnsi="Calibri" w:cs="Calibri"/>
                <w:bCs/>
                <w:color w:val="000000" w:themeColor="text1"/>
                <w:sz w:val="20"/>
                <w:szCs w:val="20"/>
                <w:lang w:val="en-GB"/>
              </w:rPr>
              <w:t>ation and investment decisions (</w:t>
            </w:r>
            <w:proofErr w:type="spellStart"/>
            <w:proofErr w:type="gramStart"/>
            <w:r w:rsidR="00530A3F">
              <w:rPr>
                <w:rFonts w:ascii="Calibri" w:eastAsia="Times New Roman" w:hAnsi="Calibri" w:cs="Calibri"/>
                <w:bCs/>
                <w:color w:val="000000" w:themeColor="text1"/>
                <w:sz w:val="20"/>
                <w:szCs w:val="20"/>
                <w:lang w:val="en-GB"/>
              </w:rPr>
              <w:t>eg</w:t>
            </w:r>
            <w:proofErr w:type="spellEnd"/>
            <w:proofErr w:type="gramEnd"/>
            <w:r w:rsidR="00530A3F">
              <w:rPr>
                <w:rFonts w:ascii="Calibri" w:eastAsia="Times New Roman" w:hAnsi="Calibri" w:cs="Calibri"/>
                <w:bCs/>
                <w:color w:val="000000" w:themeColor="text1"/>
                <w:sz w:val="20"/>
                <w:szCs w:val="20"/>
                <w:lang w:val="en-GB"/>
              </w:rPr>
              <w:t xml:space="preserve"> energy infrastructures) can be subject to land-specific constraints</w:t>
            </w:r>
            <w:r w:rsidR="00083F2B">
              <w:rPr>
                <w:rFonts w:ascii="Calibri" w:eastAsia="Times New Roman" w:hAnsi="Calibri" w:cs="Calibri"/>
                <w:bCs/>
                <w:color w:val="000000" w:themeColor="text1"/>
                <w:sz w:val="20"/>
                <w:szCs w:val="20"/>
                <w:lang w:val="en-GB"/>
              </w:rPr>
              <w:t xml:space="preserve"> (natural and regulatory)</w:t>
            </w:r>
            <w:r w:rsidR="00530A3F">
              <w:rPr>
                <w:rFonts w:ascii="Calibri" w:eastAsia="Times New Roman" w:hAnsi="Calibri" w:cs="Calibri"/>
                <w:bCs/>
                <w:color w:val="000000" w:themeColor="text1"/>
                <w:sz w:val="20"/>
                <w:szCs w:val="20"/>
                <w:lang w:val="en-GB"/>
              </w:rPr>
              <w:t>.</w:t>
            </w:r>
          </w:p>
        </w:tc>
      </w:tr>
    </w:tbl>
    <w:p w14:paraId="13AFBA2A" w14:textId="01EBB940" w:rsidR="009163B3" w:rsidRDefault="009A3758" w:rsidP="00590C0F">
      <w:pPr>
        <w:rPr>
          <w:rFonts w:ascii="Calibri" w:eastAsia="Times New Roman" w:hAnsi="Calibri" w:cs="Calibri"/>
          <w:b/>
          <w:u w:val="single"/>
        </w:rPr>
      </w:pPr>
      <w:r w:rsidRPr="00E45F7E">
        <w:rPr>
          <w:rFonts w:ascii="Calibri" w:eastAsia="Times New Roman" w:hAnsi="Calibri" w:cs="Calibri"/>
          <w:iCs/>
          <w:color w:val="FF0000"/>
        </w:rPr>
        <w:br w:type="page"/>
      </w:r>
      <w:r w:rsidR="00B9341E" w:rsidRPr="00B9341E">
        <w:rPr>
          <w:rFonts w:ascii="Calibri" w:eastAsia="Times New Roman" w:hAnsi="Calibri" w:cs="Calibri"/>
          <w:b/>
          <w:u w:val="single"/>
        </w:rPr>
        <w:lastRenderedPageBreak/>
        <w:t>1</w:t>
      </w:r>
      <w:r>
        <w:rPr>
          <w:rFonts w:ascii="Calibri" w:eastAsia="Times New Roman" w:hAnsi="Calibri" w:cs="Calibri"/>
          <w:b/>
          <w:u w:val="single"/>
        </w:rPr>
        <w:t>0</w:t>
      </w:r>
      <w:r w:rsidR="00B9341E" w:rsidRPr="00B9341E">
        <w:rPr>
          <w:rFonts w:ascii="Calibri" w:eastAsia="Times New Roman" w:hAnsi="Calibri" w:cs="Calibri"/>
          <w:b/>
          <w:u w:val="single"/>
        </w:rPr>
        <w:t xml:space="preserve">. Recent publications </w:t>
      </w:r>
      <w:r>
        <w:rPr>
          <w:rFonts w:ascii="Calibri" w:eastAsia="Times New Roman" w:hAnsi="Calibri" w:cs="Calibri"/>
          <w:b/>
          <w:u w:val="single"/>
        </w:rPr>
        <w:t>using</w:t>
      </w:r>
      <w:r w:rsidR="00B9341E" w:rsidRPr="00B9341E">
        <w:rPr>
          <w:rFonts w:ascii="Calibri" w:eastAsia="Times New Roman" w:hAnsi="Calibri" w:cs="Calibri"/>
          <w:b/>
          <w:u w:val="single"/>
        </w:rPr>
        <w:t xml:space="preserve"> the TI</w:t>
      </w:r>
      <w:r w:rsidR="00742D63">
        <w:rPr>
          <w:rFonts w:ascii="Calibri" w:eastAsia="Times New Roman" w:hAnsi="Calibri" w:cs="Calibri"/>
          <w:b/>
          <w:u w:val="single"/>
        </w:rPr>
        <w:t>MES-CAC</w:t>
      </w:r>
      <w:r w:rsidR="00B9341E" w:rsidRPr="00B9341E">
        <w:rPr>
          <w:rFonts w:ascii="Calibri" w:eastAsia="Times New Roman" w:hAnsi="Calibri" w:cs="Calibri"/>
          <w:b/>
          <w:u w:val="single"/>
        </w:rPr>
        <w:t xml:space="preserve"> model</w:t>
      </w:r>
      <w:r w:rsidR="00742D63">
        <w:rPr>
          <w:rFonts w:ascii="Calibri" w:eastAsia="Times New Roman" w:hAnsi="Calibri" w:cs="Calibri"/>
          <w:b/>
          <w:u w:val="single"/>
        </w:rPr>
        <w:t xml:space="preserve"> (or </w:t>
      </w:r>
      <w:r w:rsidR="00CA143D">
        <w:rPr>
          <w:rFonts w:ascii="Calibri" w:eastAsia="Times New Roman" w:hAnsi="Calibri" w:cs="Calibri"/>
          <w:b/>
          <w:u w:val="single"/>
        </w:rPr>
        <w:t xml:space="preserve">using </w:t>
      </w:r>
      <w:r w:rsidR="00742D63">
        <w:rPr>
          <w:rFonts w:ascii="Calibri" w:eastAsia="Times New Roman" w:hAnsi="Calibri" w:cs="Calibri"/>
          <w:b/>
          <w:u w:val="single"/>
        </w:rPr>
        <w:t xml:space="preserve">national-specific analysis based </w:t>
      </w:r>
      <w:r w:rsidR="00CA143D">
        <w:rPr>
          <w:rFonts w:ascii="Calibri" w:eastAsia="Times New Roman" w:hAnsi="Calibri" w:cs="Calibri"/>
          <w:b/>
          <w:u w:val="single"/>
        </w:rPr>
        <w:t>on the utilization of single-regions tools inherited by the TIMES-CAC</w:t>
      </w:r>
      <w:r w:rsidR="00742D63">
        <w:rPr>
          <w:rFonts w:ascii="Calibri" w:eastAsia="Times New Roman" w:hAnsi="Calibri" w:cs="Calibri"/>
          <w:b/>
          <w:u w:val="single"/>
        </w:rPr>
        <w:t>)</w:t>
      </w:r>
    </w:p>
    <w:tbl>
      <w:tblPr>
        <w:tblStyle w:val="TableGrid"/>
        <w:tblW w:w="5000" w:type="pct"/>
        <w:tblLook w:val="04A0" w:firstRow="1" w:lastRow="0" w:firstColumn="1" w:lastColumn="0" w:noHBand="0" w:noVBand="1"/>
      </w:tblPr>
      <w:tblGrid>
        <w:gridCol w:w="4045"/>
        <w:gridCol w:w="5305"/>
      </w:tblGrid>
      <w:tr w:rsidR="009E6090" w14:paraId="32D4B559" w14:textId="5503C241" w:rsidTr="0050147B">
        <w:tc>
          <w:tcPr>
            <w:tcW w:w="2163" w:type="pct"/>
          </w:tcPr>
          <w:p w14:paraId="34D6CCB6" w14:textId="27B65892" w:rsidR="009E6090" w:rsidRPr="00ED1EA5" w:rsidRDefault="009E6090" w:rsidP="00AF4F99">
            <w:pPr>
              <w:spacing w:before="100" w:beforeAutospacing="1" w:after="100" w:afterAutospacing="1"/>
              <w:rPr>
                <w:rFonts w:ascii="Calibri" w:eastAsia="Times New Roman" w:hAnsi="Calibri" w:cs="Calibri"/>
                <w:b/>
                <w:sz w:val="20"/>
                <w:szCs w:val="20"/>
              </w:rPr>
            </w:pPr>
            <w:r w:rsidRPr="00ED1EA5">
              <w:rPr>
                <w:rFonts w:ascii="Calibri" w:eastAsia="Times New Roman" w:hAnsi="Calibri" w:cs="Calibri"/>
                <w:b/>
                <w:sz w:val="20"/>
                <w:szCs w:val="20"/>
              </w:rPr>
              <w:t>Paper</w:t>
            </w:r>
          </w:p>
        </w:tc>
        <w:tc>
          <w:tcPr>
            <w:tcW w:w="2837" w:type="pct"/>
          </w:tcPr>
          <w:p w14:paraId="2F783D4E" w14:textId="0FB84FBB" w:rsidR="009E6090" w:rsidRPr="00ED1EA5" w:rsidRDefault="009E6090" w:rsidP="00304F29">
            <w:pPr>
              <w:spacing w:before="100" w:beforeAutospacing="1" w:after="100" w:afterAutospacing="1"/>
              <w:jc w:val="both"/>
              <w:rPr>
                <w:rFonts w:ascii="Calibri" w:eastAsia="Times New Roman" w:hAnsi="Calibri" w:cs="Calibri"/>
                <w:b/>
                <w:sz w:val="20"/>
                <w:szCs w:val="20"/>
              </w:rPr>
            </w:pPr>
            <w:r w:rsidRPr="00ED1EA5">
              <w:rPr>
                <w:rFonts w:ascii="Calibri" w:eastAsia="Times New Roman" w:hAnsi="Calibri" w:cs="Calibri"/>
                <w:b/>
                <w:sz w:val="20"/>
                <w:szCs w:val="20"/>
              </w:rPr>
              <w:t>Topic</w:t>
            </w:r>
          </w:p>
        </w:tc>
      </w:tr>
      <w:tr w:rsidR="009E6090" w14:paraId="2723B949" w14:textId="77777777" w:rsidTr="0050147B">
        <w:tc>
          <w:tcPr>
            <w:tcW w:w="2163" w:type="pct"/>
          </w:tcPr>
          <w:p w14:paraId="66AEA8D9" w14:textId="44D58C97" w:rsidR="00304F29" w:rsidRPr="00D14570" w:rsidRDefault="00304F29" w:rsidP="00304F29">
            <w:pPr>
              <w:spacing w:before="100" w:beforeAutospacing="1" w:after="100" w:afterAutospacing="1"/>
              <w:rPr>
                <w:rFonts w:ascii="Calibri" w:eastAsia="Times New Roman" w:hAnsi="Calibri" w:cs="Calibri"/>
                <w:bCs/>
                <w:sz w:val="20"/>
                <w:szCs w:val="20"/>
                <w:lang w:val="it-IT"/>
              </w:rPr>
            </w:pPr>
            <w:r w:rsidRPr="00D14570">
              <w:rPr>
                <w:rFonts w:ascii="Calibri" w:eastAsia="Times New Roman" w:hAnsi="Calibri" w:cs="Calibri"/>
                <w:bCs/>
                <w:sz w:val="20"/>
                <w:szCs w:val="20"/>
                <w:lang w:val="it-IT"/>
              </w:rPr>
              <w:t xml:space="preserve">A. </w:t>
            </w:r>
            <w:proofErr w:type="spellStart"/>
            <w:r w:rsidR="009C1801" w:rsidRPr="00D14570">
              <w:rPr>
                <w:rFonts w:ascii="Calibri" w:eastAsia="Times New Roman" w:hAnsi="Calibri" w:cs="Calibri"/>
                <w:bCs/>
                <w:sz w:val="20"/>
                <w:szCs w:val="20"/>
                <w:lang w:val="it-IT"/>
              </w:rPr>
              <w:t>Kerimray</w:t>
            </w:r>
            <w:proofErr w:type="spellEnd"/>
            <w:r w:rsidR="009C1801" w:rsidRPr="00D14570">
              <w:rPr>
                <w:rFonts w:ascii="Calibri" w:eastAsia="Times New Roman" w:hAnsi="Calibri" w:cs="Calibri"/>
                <w:bCs/>
                <w:sz w:val="20"/>
                <w:szCs w:val="20"/>
                <w:lang w:val="it-IT"/>
              </w:rPr>
              <w:t xml:space="preserve">, B. </w:t>
            </w:r>
            <w:proofErr w:type="spellStart"/>
            <w:r w:rsidR="009C1801" w:rsidRPr="00D14570">
              <w:rPr>
                <w:rFonts w:ascii="Calibri" w:eastAsia="Times New Roman" w:hAnsi="Calibri" w:cs="Calibri"/>
                <w:bCs/>
                <w:sz w:val="20"/>
                <w:szCs w:val="20"/>
                <w:lang w:val="it-IT"/>
              </w:rPr>
              <w:t>Suleimenov</w:t>
            </w:r>
            <w:proofErr w:type="spellEnd"/>
            <w:r w:rsidR="009C1801" w:rsidRPr="00D14570">
              <w:rPr>
                <w:rFonts w:ascii="Calibri" w:eastAsia="Times New Roman" w:hAnsi="Calibri" w:cs="Calibri"/>
                <w:bCs/>
                <w:sz w:val="20"/>
                <w:szCs w:val="20"/>
                <w:lang w:val="it-IT"/>
              </w:rPr>
              <w:t>, R. De Miglio, L. Rojas-</w:t>
            </w:r>
            <w:proofErr w:type="spellStart"/>
            <w:r w:rsidR="009C1801" w:rsidRPr="00D14570">
              <w:rPr>
                <w:rFonts w:ascii="Calibri" w:eastAsia="Times New Roman" w:hAnsi="Calibri" w:cs="Calibri"/>
                <w:bCs/>
                <w:sz w:val="20"/>
                <w:szCs w:val="20"/>
                <w:lang w:val="it-IT"/>
              </w:rPr>
              <w:t>Solórzano</w:t>
            </w:r>
            <w:proofErr w:type="spellEnd"/>
            <w:r w:rsidR="009C1801" w:rsidRPr="00D14570">
              <w:rPr>
                <w:rFonts w:ascii="Calibri" w:eastAsia="Times New Roman" w:hAnsi="Calibri" w:cs="Calibri"/>
                <w:bCs/>
                <w:sz w:val="20"/>
                <w:szCs w:val="20"/>
                <w:lang w:val="it-IT"/>
              </w:rPr>
              <w:t xml:space="preserve">, B. P. Ó </w:t>
            </w:r>
            <w:proofErr w:type="spellStart"/>
            <w:r w:rsidR="009C1801" w:rsidRPr="00D14570">
              <w:rPr>
                <w:rFonts w:ascii="Calibri" w:eastAsia="Times New Roman" w:hAnsi="Calibri" w:cs="Calibri"/>
                <w:bCs/>
                <w:sz w:val="20"/>
                <w:szCs w:val="20"/>
                <w:lang w:val="it-IT"/>
              </w:rPr>
              <w:t>Gallachóir</w:t>
            </w:r>
            <w:proofErr w:type="spellEnd"/>
            <w:r w:rsidR="009C1801" w:rsidRPr="00D14570">
              <w:rPr>
                <w:rFonts w:ascii="Calibri" w:eastAsia="Times New Roman" w:hAnsi="Calibri" w:cs="Calibri"/>
                <w:bCs/>
                <w:sz w:val="20"/>
                <w:szCs w:val="20"/>
                <w:lang w:val="it-IT"/>
              </w:rPr>
              <w:t xml:space="preserve"> (2018). </w:t>
            </w:r>
          </w:p>
          <w:p w14:paraId="13150652" w14:textId="65D49194" w:rsidR="009E6090" w:rsidRPr="00304F29" w:rsidRDefault="00304F29" w:rsidP="00304F29">
            <w:pPr>
              <w:spacing w:before="100" w:beforeAutospacing="1" w:after="100" w:afterAutospacing="1"/>
              <w:rPr>
                <w:rFonts w:ascii="Calibri" w:eastAsia="Times New Roman" w:hAnsi="Calibri" w:cs="Calibri"/>
                <w:bCs/>
                <w:sz w:val="20"/>
                <w:szCs w:val="20"/>
              </w:rPr>
            </w:pPr>
            <w:r w:rsidRPr="003E708F">
              <w:t>Limiting Gl</w:t>
            </w:r>
            <w:r>
              <w:t>obal Warming to Well Below 2 °C</w:t>
            </w:r>
            <w:r w:rsidRPr="00304F29">
              <w:rPr>
                <w:rFonts w:ascii="Calibri" w:eastAsia="Times New Roman" w:hAnsi="Calibri" w:cs="Calibri"/>
                <w:bCs/>
                <w:sz w:val="20"/>
                <w:szCs w:val="20"/>
              </w:rPr>
              <w:t xml:space="preserve"> </w:t>
            </w:r>
            <w:r w:rsidR="009C1801" w:rsidRPr="00304F29">
              <w:rPr>
                <w:rFonts w:ascii="Calibri" w:eastAsia="Times New Roman" w:hAnsi="Calibri" w:cs="Calibri"/>
                <w:bCs/>
                <w:sz w:val="20"/>
                <w:szCs w:val="20"/>
              </w:rPr>
              <w:t>Energy System Modelling and Policy Development. Springer. DOI: 10.1007/978-3-319-74424-7</w:t>
            </w:r>
          </w:p>
        </w:tc>
        <w:tc>
          <w:tcPr>
            <w:tcW w:w="2837" w:type="pct"/>
          </w:tcPr>
          <w:p w14:paraId="7C3A3986" w14:textId="77777777" w:rsidR="009E6090" w:rsidRDefault="00304F29" w:rsidP="0050147B">
            <w:pPr>
              <w:spacing w:before="100" w:beforeAutospacing="1" w:after="100" w:afterAutospacing="1"/>
              <w:jc w:val="both"/>
            </w:pPr>
            <w:r w:rsidRPr="005009A9">
              <w:rPr>
                <w:i/>
              </w:rPr>
              <w:t>Long-Term Climate Change Mitigation in Kazakhstan in a Post Paris Agreement Context</w:t>
            </w:r>
            <w:r>
              <w:t>.</w:t>
            </w:r>
          </w:p>
          <w:p w14:paraId="28A0427F" w14:textId="3315BF5A" w:rsidR="00304F29" w:rsidRPr="00304F29" w:rsidRDefault="00304F29" w:rsidP="0050147B">
            <w:pPr>
              <w:spacing w:before="100" w:beforeAutospacing="1" w:after="100" w:afterAutospacing="1"/>
              <w:jc w:val="both"/>
            </w:pPr>
            <w:r w:rsidRPr="00304F29">
              <w:t xml:space="preserve">Under the Paris Agreement, Kazakhstan’s nationally determined contribution (NDC) target is to reduce its greenhouse gas emissions (GHG) by between 15 and 25% by 2030 compared with 1990 levels. Kazakhstan’s energy system is highly carbon intensive and GHG emissions continue to steadily grow, indicating insufficient progress towards achieving the NDC emissions reductions announced under the Paris Agreement. This chapter presents </w:t>
            </w:r>
            <w:proofErr w:type="gramStart"/>
            <w:r w:rsidRPr="00304F29">
              <w:t>modelling</w:t>
            </w:r>
            <w:proofErr w:type="gramEnd"/>
            <w:r w:rsidRPr="00304F29">
              <w:t xml:space="preserve"> analysis that assesses a least-cost long term (2050) pathway towards achieving these NDC targets.</w:t>
            </w:r>
            <w:r>
              <w:t xml:space="preserve"> </w:t>
            </w:r>
            <w:r w:rsidRPr="00304F29">
              <w:t>The results demonstrate how ambitious a 25% GHG emissions reduction pathway is compared with the current energy policies and mitigation actions. Such a reduction requires an almost full phase-out of coal consumption in power generation by 2050.</w:t>
            </w:r>
          </w:p>
        </w:tc>
      </w:tr>
      <w:tr w:rsidR="009E6090" w14:paraId="728468F5" w14:textId="77777777" w:rsidTr="0050147B">
        <w:tc>
          <w:tcPr>
            <w:tcW w:w="2163" w:type="pct"/>
          </w:tcPr>
          <w:p w14:paraId="77D121D2" w14:textId="77777777" w:rsidR="00304F29" w:rsidRPr="00304F29" w:rsidRDefault="00304F29" w:rsidP="00304F29">
            <w:pPr>
              <w:spacing w:before="100" w:beforeAutospacing="1" w:after="100" w:afterAutospacing="1"/>
              <w:rPr>
                <w:rFonts w:ascii="Calibri" w:eastAsia="Times New Roman" w:hAnsi="Calibri" w:cs="Calibri"/>
                <w:bCs/>
                <w:sz w:val="20"/>
                <w:szCs w:val="20"/>
                <w:lang w:val="en-GB"/>
              </w:rPr>
            </w:pPr>
            <w:r w:rsidRPr="00304F29">
              <w:rPr>
                <w:rFonts w:ascii="Calibri" w:eastAsia="Times New Roman" w:hAnsi="Calibri" w:cs="Calibri"/>
                <w:bCs/>
                <w:sz w:val="20"/>
                <w:szCs w:val="20"/>
                <w:lang w:val="en-GB"/>
              </w:rPr>
              <w:t xml:space="preserve">A. Bakdolotov, R. De Miglio, Y. </w:t>
            </w:r>
            <w:proofErr w:type="spellStart"/>
            <w:r w:rsidRPr="00304F29">
              <w:rPr>
                <w:rFonts w:ascii="Calibri" w:eastAsia="Times New Roman" w:hAnsi="Calibri" w:cs="Calibri"/>
                <w:bCs/>
                <w:sz w:val="20"/>
                <w:szCs w:val="20"/>
                <w:lang w:val="en-GB"/>
              </w:rPr>
              <w:t>Akhmetbekov</w:t>
            </w:r>
            <w:proofErr w:type="spellEnd"/>
            <w:r w:rsidRPr="00304F29">
              <w:rPr>
                <w:rFonts w:ascii="Calibri" w:eastAsia="Times New Roman" w:hAnsi="Calibri" w:cs="Calibri"/>
                <w:bCs/>
                <w:sz w:val="20"/>
                <w:szCs w:val="20"/>
                <w:lang w:val="en-GB"/>
              </w:rPr>
              <w:t xml:space="preserve">, K. </w:t>
            </w:r>
            <w:proofErr w:type="spellStart"/>
            <w:r w:rsidRPr="00304F29">
              <w:rPr>
                <w:rFonts w:ascii="Calibri" w:eastAsia="Times New Roman" w:hAnsi="Calibri" w:cs="Calibri"/>
                <w:bCs/>
                <w:sz w:val="20"/>
                <w:szCs w:val="20"/>
                <w:lang w:val="en-GB"/>
              </w:rPr>
              <w:t>Baigarin</w:t>
            </w:r>
            <w:proofErr w:type="spellEnd"/>
            <w:r w:rsidRPr="00304F29">
              <w:rPr>
                <w:rFonts w:ascii="Calibri" w:eastAsia="Times New Roman" w:hAnsi="Calibri" w:cs="Calibri"/>
                <w:bCs/>
                <w:sz w:val="20"/>
                <w:szCs w:val="20"/>
                <w:lang w:val="en-GB"/>
              </w:rPr>
              <w:t xml:space="preserve"> (2017).</w:t>
            </w:r>
          </w:p>
          <w:p w14:paraId="034DB427" w14:textId="2D0B62FC" w:rsidR="00304F29" w:rsidRPr="002B3056" w:rsidRDefault="00304F29" w:rsidP="00304F29">
            <w:pPr>
              <w:spacing w:before="100" w:beforeAutospacing="1" w:after="100" w:afterAutospacing="1"/>
              <w:rPr>
                <w:rFonts w:ascii="Calibri" w:eastAsia="Times New Roman" w:hAnsi="Calibri" w:cs="Calibri"/>
                <w:bCs/>
                <w:sz w:val="20"/>
                <w:szCs w:val="20"/>
                <w:lang w:val="nl-NL"/>
              </w:rPr>
            </w:pPr>
            <w:r w:rsidRPr="002B3056">
              <w:rPr>
                <w:rFonts w:ascii="Calibri" w:eastAsia="Times New Roman" w:hAnsi="Calibri" w:cs="Calibri"/>
                <w:bCs/>
                <w:sz w:val="20"/>
                <w:szCs w:val="20"/>
                <w:lang w:val="nl-NL"/>
              </w:rPr>
              <w:t>Heliyon, Vol3 Issue4.  DOI: https://doi.org/10.1016/j.heliyon.2017.e00283</w:t>
            </w:r>
          </w:p>
        </w:tc>
        <w:tc>
          <w:tcPr>
            <w:tcW w:w="2837" w:type="pct"/>
          </w:tcPr>
          <w:p w14:paraId="18C45559" w14:textId="77777777" w:rsidR="009E6090" w:rsidRDefault="00304F29" w:rsidP="0050147B">
            <w:pPr>
              <w:spacing w:before="100" w:beforeAutospacing="1" w:after="100" w:afterAutospacing="1"/>
              <w:jc w:val="both"/>
            </w:pPr>
            <w:r w:rsidRPr="00B13730">
              <w:rPr>
                <w:i/>
              </w:rPr>
              <w:t>Techno-economic modelling to strategize energy exports in the Central Asian Caspian region</w:t>
            </w:r>
            <w:r w:rsidRPr="00B13730">
              <w:t xml:space="preserve">. </w:t>
            </w:r>
          </w:p>
          <w:p w14:paraId="5704E9A6" w14:textId="70E9FFEA" w:rsidR="00036F51" w:rsidRPr="00ED1EA5" w:rsidRDefault="00036F51" w:rsidP="0050147B">
            <w:pPr>
              <w:spacing w:before="100" w:beforeAutospacing="1" w:after="100" w:afterAutospacing="1"/>
              <w:jc w:val="both"/>
              <w:rPr>
                <w:rFonts w:ascii="Calibri" w:eastAsia="Times New Roman" w:hAnsi="Calibri" w:cs="Calibri"/>
                <w:b/>
                <w:sz w:val="20"/>
                <w:szCs w:val="20"/>
              </w:rPr>
            </w:pPr>
            <w:r w:rsidRPr="00036F51">
              <w:t xml:space="preserve">This paper studies the concept of energy security from export-oriented countries’ point of view. It aims to test the effects of long-term energy export strategies in the Central Asian Caspian (CAC) region, by exploring the trade-offs between a “risk” indicator and some key variables of the energy system such as the total cost, the quantities exported, and the corresponding revenues. Risk reduction goals are combined with securing a minimum level of revenues from the hydrocarbon exports goals. It is also attempted to provide a definition and a quantification of a risk indicator </w:t>
            </w:r>
            <w:proofErr w:type="gramStart"/>
            <w:r w:rsidRPr="00036F51">
              <w:t>on the basis of</w:t>
            </w:r>
            <w:proofErr w:type="gramEnd"/>
            <w:r w:rsidRPr="00036F51">
              <w:t xml:space="preserve"> four components.</w:t>
            </w:r>
          </w:p>
        </w:tc>
      </w:tr>
      <w:tr w:rsidR="009E6090" w14:paraId="79B89F27" w14:textId="77777777" w:rsidTr="0050147B">
        <w:tc>
          <w:tcPr>
            <w:tcW w:w="2163" w:type="pct"/>
          </w:tcPr>
          <w:p w14:paraId="76DE0D8D" w14:textId="77777777" w:rsidR="009E6090" w:rsidRDefault="00304F29" w:rsidP="00AF4F99">
            <w:pPr>
              <w:spacing w:before="100" w:beforeAutospacing="1" w:after="100" w:afterAutospacing="1"/>
              <w:rPr>
                <w:lang w:val="it-IT"/>
              </w:rPr>
            </w:pPr>
            <w:r w:rsidRPr="00106DDF">
              <w:rPr>
                <w:lang w:val="it-IT"/>
              </w:rPr>
              <w:t>Aiymgul Kerimray, Rocco De Miglio, GianCarlo Tosato (2015)</w:t>
            </w:r>
          </w:p>
          <w:p w14:paraId="0A03110F" w14:textId="3FBAD568" w:rsidR="00304F29" w:rsidRPr="00304F29" w:rsidRDefault="00304F29" w:rsidP="00AF4F99">
            <w:pPr>
              <w:spacing w:before="100" w:beforeAutospacing="1" w:after="100" w:afterAutospacing="1"/>
              <w:rPr>
                <w:rFonts w:ascii="Calibri" w:eastAsia="Times New Roman" w:hAnsi="Calibri" w:cs="Calibri"/>
                <w:b/>
                <w:sz w:val="20"/>
                <w:szCs w:val="20"/>
                <w:lang w:val="en-GB"/>
              </w:rPr>
            </w:pPr>
            <w:r w:rsidRPr="00300908">
              <w:t>Informing Energy and Climate Policies Using Energy Systems Models</w:t>
            </w:r>
            <w:r>
              <w:t>,</w:t>
            </w:r>
            <w:r w:rsidRPr="00300908">
              <w:t xml:space="preserve"> Springer International Publishing (DOI 10.1007/978-3-319-16540-0</w:t>
            </w:r>
            <w:r>
              <w:t>)</w:t>
            </w:r>
          </w:p>
        </w:tc>
        <w:tc>
          <w:tcPr>
            <w:tcW w:w="2837" w:type="pct"/>
          </w:tcPr>
          <w:p w14:paraId="745C6651" w14:textId="77777777" w:rsidR="009E6090" w:rsidRDefault="00304F29" w:rsidP="0050147B">
            <w:pPr>
              <w:spacing w:before="100" w:beforeAutospacing="1" w:after="100" w:afterAutospacing="1"/>
              <w:jc w:val="both"/>
              <w:rPr>
                <w:i/>
              </w:rPr>
            </w:pPr>
            <w:r w:rsidRPr="00DC0F9F">
              <w:rPr>
                <w:i/>
              </w:rPr>
              <w:t>Improving Efficiency in Kazakhstan’s Energy System</w:t>
            </w:r>
          </w:p>
          <w:p w14:paraId="32B2356F" w14:textId="1E5646E3" w:rsidR="0050147B" w:rsidRPr="00ED1EA5" w:rsidRDefault="0050147B" w:rsidP="0050147B">
            <w:pPr>
              <w:spacing w:before="100" w:beforeAutospacing="1" w:after="100" w:afterAutospacing="1"/>
              <w:jc w:val="both"/>
              <w:rPr>
                <w:rFonts w:ascii="Calibri" w:eastAsia="Times New Roman" w:hAnsi="Calibri" w:cs="Calibri"/>
                <w:b/>
                <w:sz w:val="20"/>
                <w:szCs w:val="20"/>
              </w:rPr>
            </w:pPr>
            <w:r w:rsidRPr="0050147B">
              <w:t xml:space="preserve">There are various reasons for inefficiencies in Kazakhstan’s energy system: administrative and economic (statistical double counting of energy flows, above normative losses and low profitability), geographic (the extremely continental climate and low population density) and technical considerations (high share of coal in generation mix, high wear on main and auxiliary equipment in energy intensive sectors, high wear on electric lines, dilapidation of housing stock, and an </w:t>
            </w:r>
            <w:r w:rsidRPr="0050147B">
              <w:lastRenderedPageBreak/>
              <w:t>absence of control systems for energy savings) all contribute to the high energy intensity. This study explores energy efficiency potential by analyzing the evolution of the Kazakh energy system. All the technical inefficiencies have been taken into consideration through the explicit representation of existing inefficient technologies/chains in a TIMES-based model. Under the assumptions of a market-oriented development of the economic system, even without specific policies (Business as Usual), the model suggests significant energy efficiency improvement: 22 Mtoe (million tons of oil equivalent) by 2030 and a 40 % reduction in energy intensity of GDP by 2030.</w:t>
            </w:r>
          </w:p>
        </w:tc>
      </w:tr>
      <w:tr w:rsidR="009E6090" w:rsidRPr="00304F29" w14:paraId="44F3C1F8" w14:textId="77777777" w:rsidTr="0050147B">
        <w:tc>
          <w:tcPr>
            <w:tcW w:w="2163" w:type="pct"/>
          </w:tcPr>
          <w:p w14:paraId="4D03670E" w14:textId="77777777" w:rsidR="009E6090" w:rsidRPr="00D14570" w:rsidRDefault="00304F29" w:rsidP="00AF4F99">
            <w:pPr>
              <w:spacing w:before="100" w:beforeAutospacing="1" w:after="100" w:afterAutospacing="1"/>
              <w:rPr>
                <w:lang w:val="it-IT"/>
              </w:rPr>
            </w:pPr>
            <w:r w:rsidRPr="00D14570">
              <w:rPr>
                <w:lang w:val="it-IT"/>
              </w:rPr>
              <w:lastRenderedPageBreak/>
              <w:t xml:space="preserve">Rocco De Miglio, </w:t>
            </w:r>
            <w:proofErr w:type="spellStart"/>
            <w:r w:rsidRPr="00D14570">
              <w:rPr>
                <w:lang w:val="it-IT"/>
              </w:rPr>
              <w:t>Yerbol</w:t>
            </w:r>
            <w:proofErr w:type="spellEnd"/>
            <w:r w:rsidRPr="00D14570">
              <w:rPr>
                <w:lang w:val="it-IT"/>
              </w:rPr>
              <w:t xml:space="preserve"> </w:t>
            </w:r>
            <w:proofErr w:type="spellStart"/>
            <w:r w:rsidRPr="00D14570">
              <w:rPr>
                <w:lang w:val="it-IT"/>
              </w:rPr>
              <w:t>Akhmetbekov</w:t>
            </w:r>
            <w:proofErr w:type="spellEnd"/>
            <w:r w:rsidRPr="00D14570">
              <w:rPr>
                <w:lang w:val="it-IT"/>
              </w:rPr>
              <w:t xml:space="preserve">, Kanat </w:t>
            </w:r>
            <w:proofErr w:type="spellStart"/>
            <w:r w:rsidRPr="00D14570">
              <w:rPr>
                <w:lang w:val="it-IT"/>
              </w:rPr>
              <w:t>Baigarin</w:t>
            </w:r>
            <w:proofErr w:type="spellEnd"/>
            <w:r w:rsidRPr="00D14570">
              <w:rPr>
                <w:lang w:val="it-IT"/>
              </w:rPr>
              <w:t xml:space="preserve">, Aidyn Bakdolotov, </w:t>
            </w:r>
            <w:proofErr w:type="spellStart"/>
            <w:r w:rsidRPr="00D14570">
              <w:rPr>
                <w:lang w:val="it-IT"/>
              </w:rPr>
              <w:t>GianCarlo</w:t>
            </w:r>
            <w:proofErr w:type="spellEnd"/>
            <w:r w:rsidRPr="00D14570">
              <w:rPr>
                <w:lang w:val="it-IT"/>
              </w:rPr>
              <w:t xml:space="preserve"> Tosato (2014)</w:t>
            </w:r>
          </w:p>
          <w:p w14:paraId="45F72277" w14:textId="14F87C48" w:rsidR="00304F29" w:rsidRPr="00356488" w:rsidRDefault="00304F29" w:rsidP="00AF4F99">
            <w:pPr>
              <w:spacing w:before="100" w:beforeAutospacing="1" w:after="100" w:afterAutospacing="1"/>
              <w:rPr>
                <w:rFonts w:ascii="Calibri" w:eastAsia="Times New Roman" w:hAnsi="Calibri" w:cs="Calibri"/>
                <w:b/>
                <w:sz w:val="20"/>
                <w:szCs w:val="20"/>
                <w:lang w:val="en-GB"/>
              </w:rPr>
            </w:pPr>
            <w:r w:rsidRPr="00437E08">
              <w:t>Energy Strategy Reviews</w:t>
            </w:r>
            <w:r w:rsidR="00036F51">
              <w:t xml:space="preserve">. </w:t>
            </w:r>
            <w:hyperlink r:id="rId13" w:tgtFrame="_blank" w:tooltip="Persistent link using digital object identifier" w:history="1">
              <w:r w:rsidR="00036F51" w:rsidRPr="00036F51">
                <w:t>doi.org/10.1016/j.esr.2014.09.002</w:t>
              </w:r>
            </w:hyperlink>
          </w:p>
        </w:tc>
        <w:tc>
          <w:tcPr>
            <w:tcW w:w="2837" w:type="pct"/>
          </w:tcPr>
          <w:p w14:paraId="08B20AFA" w14:textId="77777777" w:rsidR="00304F29" w:rsidRDefault="00304F29" w:rsidP="007305E8">
            <w:pPr>
              <w:spacing w:before="100" w:beforeAutospacing="1" w:after="100" w:afterAutospacing="1"/>
              <w:jc w:val="both"/>
            </w:pPr>
            <w:r w:rsidRPr="00DC0F9F">
              <w:rPr>
                <w:i/>
              </w:rPr>
              <w:t xml:space="preserve">Cooperation </w:t>
            </w:r>
            <w:proofErr w:type="gramStart"/>
            <w:r w:rsidRPr="00DC0F9F">
              <w:rPr>
                <w:i/>
              </w:rPr>
              <w:t>benefits of</w:t>
            </w:r>
            <w:proofErr w:type="gramEnd"/>
            <w:r w:rsidRPr="00DC0F9F">
              <w:rPr>
                <w:i/>
              </w:rPr>
              <w:t xml:space="preserve"> Caspian countries in their energy sector development</w:t>
            </w:r>
            <w:r w:rsidRPr="00437E08">
              <w:t>.</w:t>
            </w:r>
          </w:p>
          <w:p w14:paraId="34F20D44" w14:textId="439500EA" w:rsidR="009E6090" w:rsidRPr="00304F29" w:rsidRDefault="00304F29" w:rsidP="007305E8">
            <w:pPr>
              <w:spacing w:before="100" w:beforeAutospacing="1" w:after="100" w:afterAutospacing="1"/>
              <w:jc w:val="both"/>
              <w:rPr>
                <w:rFonts w:ascii="Calibri" w:eastAsia="Times New Roman" w:hAnsi="Calibri" w:cs="Calibri"/>
                <w:b/>
                <w:sz w:val="20"/>
                <w:szCs w:val="20"/>
                <w:lang w:val="en-GB"/>
              </w:rPr>
            </w:pPr>
            <w:r w:rsidRPr="00356488">
              <w:rPr>
                <w:lang w:val="en-GB"/>
              </w:rPr>
              <w:t xml:space="preserve">This paper studies the development possibilities of the energy systems of four Central Asia and Caspian countries. </w:t>
            </w:r>
            <w:r w:rsidRPr="00304F29">
              <w:rPr>
                <w:lang w:val="en-GB"/>
              </w:rPr>
              <w:t>It explores options that improve their </w:t>
            </w:r>
            <w:hyperlink r:id="rId14" w:tooltip="Learn more about Domestic Energy from ScienceDirect's AI-generated Topic Pages" w:history="1">
              <w:r w:rsidRPr="00304F29">
                <w:rPr>
                  <w:lang w:val="en-GB"/>
                </w:rPr>
                <w:t>domestic energy</w:t>
              </w:r>
            </w:hyperlink>
            <w:r w:rsidRPr="00304F29">
              <w:rPr>
                <w:lang w:val="en-GB"/>
              </w:rPr>
              <w:t xml:space="preserve"> efficiencies and increase their export of fossil energy commodities. With the help of scenario analyses, it evaluates the direct economic advantage of improving the domestic energy efficiencies. </w:t>
            </w:r>
            <w:proofErr w:type="gramStart"/>
            <w:r w:rsidRPr="00356488">
              <w:rPr>
                <w:lang w:val="en-GB"/>
              </w:rPr>
              <w:t>Furthermore</w:t>
            </w:r>
            <w:proofErr w:type="gramEnd"/>
            <w:r w:rsidRPr="00356488">
              <w:rPr>
                <w:lang w:val="en-GB"/>
              </w:rPr>
              <w:t xml:space="preserve"> it calculates the direct economic advantage of cooperation. It finds out that a new/different geo-economic attitude brings USD billions of annual economic benefits, particularly if the countries aim to differentiate their export routes, increase the amount of export and contribute to </w:t>
            </w:r>
            <w:hyperlink r:id="rId15" w:tooltip="Learn more about Climate Change Mitigation from ScienceDirect's AI-generated Topic Pages" w:history="1">
              <w:r w:rsidRPr="00356488">
                <w:rPr>
                  <w:lang w:val="en-GB"/>
                </w:rPr>
                <w:t>climate change mitigation</w:t>
              </w:r>
            </w:hyperlink>
            <w:r w:rsidRPr="00356488">
              <w:rPr>
                <w:lang w:val="en-GB"/>
              </w:rPr>
              <w:t>.</w:t>
            </w:r>
          </w:p>
        </w:tc>
      </w:tr>
    </w:tbl>
    <w:p w14:paraId="4AFD2C4C" w14:textId="75803381" w:rsidR="0015127A" w:rsidRDefault="0015127A">
      <w:pPr>
        <w:rPr>
          <w:b/>
        </w:rPr>
      </w:pPr>
    </w:p>
    <w:p w14:paraId="3D574675" w14:textId="5936C525" w:rsidR="0015127A" w:rsidRDefault="00BE71BE">
      <w:pPr>
        <w:rPr>
          <w:b/>
        </w:rPr>
      </w:pPr>
      <w:r>
        <w:rPr>
          <w:b/>
        </w:rPr>
        <w:t xml:space="preserve">Key </w:t>
      </w:r>
      <w:r w:rsidR="005C0F32">
        <w:rPr>
          <w:b/>
        </w:rPr>
        <w:t>References</w:t>
      </w:r>
    </w:p>
    <w:p w14:paraId="48A728B3" w14:textId="4FD13E62" w:rsidR="002E3973" w:rsidRPr="0015127A" w:rsidRDefault="002E3973" w:rsidP="00BE71BE">
      <w:pPr>
        <w:pStyle w:val="Bibliography"/>
        <w:jc w:val="both"/>
        <w:rPr>
          <w:rFonts w:ascii="Calibri" w:hAnsi="Calibri" w:cs="Calibri"/>
        </w:rPr>
      </w:pPr>
      <w:r>
        <w:rPr>
          <w:rFonts w:ascii="Calibri" w:hAnsi="Calibri" w:cs="Calibri"/>
        </w:rPr>
        <w:t>L</w:t>
      </w:r>
      <w:r w:rsidRPr="0015127A">
        <w:rPr>
          <w:rFonts w:ascii="Calibri" w:hAnsi="Calibri" w:cs="Calibri"/>
        </w:rPr>
        <w:t xml:space="preserve">oulou, R., </w:t>
      </w:r>
      <w:proofErr w:type="spellStart"/>
      <w:r w:rsidRPr="0015127A">
        <w:rPr>
          <w:rFonts w:ascii="Calibri" w:hAnsi="Calibri" w:cs="Calibri"/>
        </w:rPr>
        <w:t>Labriet</w:t>
      </w:r>
      <w:proofErr w:type="spellEnd"/>
      <w:r w:rsidRPr="0015127A">
        <w:rPr>
          <w:rFonts w:ascii="Calibri" w:hAnsi="Calibri" w:cs="Calibri"/>
        </w:rPr>
        <w:t xml:space="preserve">, M., 2007. ETSAP-TIAM: the TIMES integrated assessment model Part I: Model structure. </w:t>
      </w:r>
      <w:proofErr w:type="spellStart"/>
      <w:r w:rsidRPr="0015127A">
        <w:rPr>
          <w:rFonts w:ascii="Calibri" w:hAnsi="Calibri" w:cs="Calibri"/>
        </w:rPr>
        <w:t>Comput</w:t>
      </w:r>
      <w:proofErr w:type="spellEnd"/>
      <w:r w:rsidRPr="0015127A">
        <w:rPr>
          <w:rFonts w:ascii="Calibri" w:hAnsi="Calibri" w:cs="Calibri"/>
        </w:rPr>
        <w:t xml:space="preserve">. </w:t>
      </w:r>
      <w:proofErr w:type="spellStart"/>
      <w:r w:rsidRPr="0015127A">
        <w:rPr>
          <w:rFonts w:ascii="Calibri" w:hAnsi="Calibri" w:cs="Calibri"/>
        </w:rPr>
        <w:t>Manag</w:t>
      </w:r>
      <w:proofErr w:type="spellEnd"/>
      <w:r w:rsidRPr="0015127A">
        <w:rPr>
          <w:rFonts w:ascii="Calibri" w:hAnsi="Calibri" w:cs="Calibri"/>
        </w:rPr>
        <w:t>. Sci. 5, 7–40. https://doi.org/10.1007/s10287-007-0046-z</w:t>
      </w:r>
    </w:p>
    <w:p w14:paraId="2AB726E6" w14:textId="4F5C0D1C" w:rsidR="002E3973" w:rsidRDefault="002E3973" w:rsidP="00BE71BE">
      <w:pPr>
        <w:spacing w:after="0" w:line="240" w:lineRule="auto"/>
        <w:ind w:left="640" w:hanging="640"/>
        <w:jc w:val="both"/>
        <w:rPr>
          <w:rFonts w:eastAsia="Times New Roman" w:cs="Times New Roman"/>
        </w:rPr>
      </w:pPr>
      <w:r w:rsidRPr="00410259">
        <w:rPr>
          <w:rFonts w:eastAsia="Times New Roman" w:cs="Times New Roman"/>
        </w:rPr>
        <w:t xml:space="preserve">International Energy Agency, Beyond 2020, Extended and Summary Energy Balances of </w:t>
      </w:r>
      <w:proofErr w:type="gramStart"/>
      <w:r w:rsidRPr="00410259">
        <w:rPr>
          <w:rFonts w:eastAsia="Times New Roman" w:cs="Times New Roman"/>
        </w:rPr>
        <w:t>Non OECD</w:t>
      </w:r>
      <w:proofErr w:type="gramEnd"/>
      <w:r w:rsidRPr="00410259">
        <w:rPr>
          <w:rFonts w:eastAsia="Times New Roman" w:cs="Times New Roman"/>
        </w:rPr>
        <w:t xml:space="preserve"> countries, (2012).</w:t>
      </w:r>
      <w:r>
        <w:rPr>
          <w:rFonts w:eastAsia="Times New Roman" w:cs="Times New Roman"/>
        </w:rPr>
        <w:t xml:space="preserve"> http://www.iea.org/statistics/</w:t>
      </w:r>
      <w:r w:rsidRPr="00410259">
        <w:rPr>
          <w:rFonts w:eastAsia="Times New Roman" w:cs="Times New Roman"/>
        </w:rPr>
        <w:t>.</w:t>
      </w:r>
    </w:p>
    <w:p w14:paraId="40B49945" w14:textId="77777777" w:rsidR="002E3973" w:rsidRDefault="002E3973" w:rsidP="00BE71BE">
      <w:pPr>
        <w:spacing w:after="0" w:line="240" w:lineRule="auto"/>
        <w:ind w:left="640" w:hanging="640"/>
        <w:jc w:val="both"/>
        <w:rPr>
          <w:rFonts w:eastAsia="Times New Roman" w:cs="Times New Roman"/>
        </w:rPr>
      </w:pPr>
      <w:r w:rsidRPr="00410259">
        <w:rPr>
          <w:rFonts w:eastAsia="Times New Roman" w:cs="Times New Roman"/>
        </w:rPr>
        <w:t xml:space="preserve">Energy Information Administration, Overview of oil and natural gas in the Caspian Sea region, (2013) 1–25. </w:t>
      </w:r>
      <w:hyperlink r:id="rId16" w:history="1">
        <w:r w:rsidRPr="002D2C8B">
          <w:rPr>
            <w:rStyle w:val="Hyperlink"/>
            <w:rFonts w:eastAsia="Times New Roman" w:cs="Times New Roman"/>
          </w:rPr>
          <w:t>http://www.eia.gov/countries/analysisbriefs/Caspian_Sea/caspian_sea.pdf</w:t>
        </w:r>
      </w:hyperlink>
      <w:r w:rsidRPr="00410259">
        <w:rPr>
          <w:rFonts w:eastAsia="Times New Roman" w:cs="Times New Roman"/>
        </w:rPr>
        <w:t>.</w:t>
      </w:r>
    </w:p>
    <w:p w14:paraId="4F57B830" w14:textId="77777777" w:rsidR="006911A8" w:rsidRDefault="006911A8" w:rsidP="00BE71BE">
      <w:pPr>
        <w:tabs>
          <w:tab w:val="left" w:pos="780"/>
        </w:tabs>
        <w:spacing w:after="0" w:line="240" w:lineRule="auto"/>
        <w:ind w:left="630" w:hanging="630"/>
        <w:jc w:val="both"/>
        <w:rPr>
          <w:rFonts w:eastAsia="Times New Roman" w:cs="Times New Roman"/>
        </w:rPr>
      </w:pPr>
      <w:r w:rsidRPr="00374BEB">
        <w:rPr>
          <w:rFonts w:eastAsia="Times New Roman" w:cs="Times New Roman"/>
        </w:rPr>
        <w:t xml:space="preserve">Energy Charter, 2015, International Energy Security: Common Concept for Energy </w:t>
      </w:r>
      <w:proofErr w:type="gramStart"/>
      <w:r w:rsidRPr="00374BEB">
        <w:rPr>
          <w:rFonts w:eastAsia="Times New Roman" w:cs="Times New Roman"/>
        </w:rPr>
        <w:t xml:space="preserve">Producing,   </w:t>
      </w:r>
      <w:proofErr w:type="gramEnd"/>
      <w:r w:rsidRPr="00374BEB">
        <w:rPr>
          <w:rFonts w:eastAsia="Times New Roman" w:cs="Times New Roman"/>
        </w:rPr>
        <w:t xml:space="preserve">   Consuming and Transit Countries.</w:t>
      </w:r>
    </w:p>
    <w:p w14:paraId="165B805A" w14:textId="77777777" w:rsidR="006911A8" w:rsidRDefault="006911A8" w:rsidP="002E3973">
      <w:pPr>
        <w:spacing w:after="0" w:line="240" w:lineRule="auto"/>
        <w:ind w:left="640" w:hanging="640"/>
        <w:rPr>
          <w:rFonts w:eastAsia="Times New Roman" w:cs="Times New Roman"/>
        </w:rPr>
      </w:pPr>
    </w:p>
    <w:p w14:paraId="5817B5B7" w14:textId="68C780DA" w:rsidR="00F76F5F" w:rsidRPr="002E3973" w:rsidRDefault="00F76F5F" w:rsidP="002E3973">
      <w:pPr>
        <w:spacing w:before="100" w:beforeAutospacing="1" w:after="100" w:afterAutospacing="1"/>
        <w:rPr>
          <w:rFonts w:ascii="Calibri" w:eastAsia="Times New Roman" w:hAnsi="Calibri" w:cs="Calibri"/>
          <w:bCs/>
          <w:sz w:val="20"/>
          <w:szCs w:val="20"/>
        </w:rPr>
      </w:pPr>
    </w:p>
    <w:sectPr w:rsidR="00F76F5F" w:rsidRPr="002E3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5BA1" w14:textId="77777777" w:rsidR="00326515" w:rsidRDefault="00326515" w:rsidP="00C322D3">
      <w:pPr>
        <w:spacing w:after="0" w:line="240" w:lineRule="auto"/>
      </w:pPr>
      <w:r>
        <w:separator/>
      </w:r>
    </w:p>
  </w:endnote>
  <w:endnote w:type="continuationSeparator" w:id="0">
    <w:p w14:paraId="2F5CF08D" w14:textId="77777777" w:rsidR="00326515" w:rsidRDefault="00326515" w:rsidP="00C3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halet-LondonNineteenSixty">
    <w:altName w:val="Arial"/>
    <w:panose1 w:val="00000000000000000000"/>
    <w:charset w:val="00"/>
    <w:family w:val="modern"/>
    <w:notTrueType/>
    <w:pitch w:val="variable"/>
    <w:sig w:usb0="00000001"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C1CF" w14:textId="77777777" w:rsidR="00326515" w:rsidRDefault="00326515" w:rsidP="00C322D3">
      <w:pPr>
        <w:spacing w:after="0" w:line="240" w:lineRule="auto"/>
      </w:pPr>
      <w:r>
        <w:separator/>
      </w:r>
    </w:p>
  </w:footnote>
  <w:footnote w:type="continuationSeparator" w:id="0">
    <w:p w14:paraId="4C0FEDCD" w14:textId="77777777" w:rsidR="00326515" w:rsidRDefault="00326515" w:rsidP="00C322D3">
      <w:pPr>
        <w:spacing w:after="0" w:line="240" w:lineRule="auto"/>
      </w:pPr>
      <w:r>
        <w:continuationSeparator/>
      </w:r>
    </w:p>
  </w:footnote>
  <w:footnote w:id="1">
    <w:p w14:paraId="71A6FBF2" w14:textId="624CE2A2" w:rsidR="002B0624" w:rsidRDefault="002B0624" w:rsidP="00356488">
      <w:pPr>
        <w:pStyle w:val="FootnoteText"/>
        <w:jc w:val="both"/>
      </w:pPr>
      <w:r>
        <w:rPr>
          <w:rStyle w:val="FootnoteReference"/>
        </w:rPr>
        <w:footnoteRef/>
      </w:r>
      <w:r>
        <w:t xml:space="preserve"> Two extra “implicit” regions,</w:t>
      </w:r>
      <w:r w:rsidRPr="0066046F">
        <w:t xml:space="preserve"> </w:t>
      </w:r>
      <w:proofErr w:type="gramStart"/>
      <w:r w:rsidRPr="0066046F">
        <w:t>Kyrgyzstan</w:t>
      </w:r>
      <w:proofErr w:type="gramEnd"/>
      <w:r>
        <w:t xml:space="preserve"> and </w:t>
      </w:r>
      <w:r w:rsidRPr="0066046F">
        <w:t>Tajikistan</w:t>
      </w:r>
      <w:r>
        <w:t>, can be enabled to further explore electricity synergies and emission reduction cooperative strategies. In its default version, the model is built upon 4 regions only and it is named TIMES-CAC-4R.</w:t>
      </w:r>
    </w:p>
  </w:footnote>
  <w:footnote w:id="2">
    <w:p w14:paraId="65BA112F" w14:textId="62247846" w:rsidR="002B0624" w:rsidRPr="009E2394" w:rsidRDefault="002B0624" w:rsidP="00F37E50">
      <w:pPr>
        <w:pStyle w:val="FootnoteText"/>
        <w:jc w:val="both"/>
        <w:rPr>
          <w:lang w:val="en-US"/>
        </w:rPr>
      </w:pPr>
      <w:r>
        <w:rPr>
          <w:rStyle w:val="FootnoteReference"/>
        </w:rPr>
        <w:footnoteRef/>
      </w:r>
      <w:r>
        <w:t xml:space="preserve"> Model can </w:t>
      </w:r>
      <w:r w:rsidR="008E4263">
        <w:t xml:space="preserve">currently </w:t>
      </w:r>
      <w:r>
        <w:t xml:space="preserve">run in two modes: with exogenously defined export levels per each direction of export, or with endogenously defined export levels through the most profitable route and destination. A risk-specific analysis can also be enabled to strategize the export of the region. </w:t>
      </w:r>
    </w:p>
  </w:footnote>
  <w:footnote w:id="3">
    <w:p w14:paraId="1BA695CF" w14:textId="0A36D6EB" w:rsidR="00E1388B" w:rsidRDefault="00E1388B">
      <w:pPr>
        <w:pStyle w:val="FootnoteText"/>
      </w:pPr>
      <w:r>
        <w:rPr>
          <w:rStyle w:val="FootnoteReference"/>
        </w:rPr>
        <w:footnoteRef/>
      </w:r>
      <w:r>
        <w:t xml:space="preserve"> </w:t>
      </w:r>
      <w:r w:rsidR="00591F99" w:rsidRPr="00591F99">
        <w:t xml:space="preserve"> According to the new rules on governance of the </w:t>
      </w:r>
      <w:r w:rsidR="00591F99">
        <w:t xml:space="preserve">EU </w:t>
      </w:r>
      <w:r w:rsidR="00591F99" w:rsidRPr="00591F99">
        <w:t>energy union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5B7F"/>
    <w:multiLevelType w:val="multilevel"/>
    <w:tmpl w:val="5B7AC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Bidi"/>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CD6CDE"/>
    <w:multiLevelType w:val="hybridMultilevel"/>
    <w:tmpl w:val="3470FB9C"/>
    <w:lvl w:ilvl="0" w:tplc="36A6DF0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94E6F92"/>
    <w:multiLevelType w:val="hybridMultilevel"/>
    <w:tmpl w:val="B682248C"/>
    <w:lvl w:ilvl="0" w:tplc="ABE02A3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665BE"/>
    <w:multiLevelType w:val="hybridMultilevel"/>
    <w:tmpl w:val="CA525426"/>
    <w:lvl w:ilvl="0" w:tplc="2D0CB322">
      <w:start w:val="1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E38C1"/>
    <w:multiLevelType w:val="hybridMultilevel"/>
    <w:tmpl w:val="4E6A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55A6E"/>
    <w:multiLevelType w:val="hybridMultilevel"/>
    <w:tmpl w:val="8B06F2F4"/>
    <w:lvl w:ilvl="0" w:tplc="8CF89228">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2011CF"/>
    <w:multiLevelType w:val="multilevel"/>
    <w:tmpl w:val="5B7AC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Bidi"/>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3323954"/>
    <w:multiLevelType w:val="hybridMultilevel"/>
    <w:tmpl w:val="340CFA9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7311DDA"/>
    <w:multiLevelType w:val="hybridMultilevel"/>
    <w:tmpl w:val="7CF41F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350284"/>
    <w:multiLevelType w:val="singleLevel"/>
    <w:tmpl w:val="F5E4C7DE"/>
    <w:lvl w:ilvl="0">
      <w:start w:val="1"/>
      <w:numFmt w:val="bullet"/>
      <w:pStyle w:val="Puce2"/>
      <w:lvlText w:val="-"/>
      <w:lvlJc w:val="left"/>
      <w:pPr>
        <w:tabs>
          <w:tab w:val="num" w:pos="568"/>
        </w:tabs>
        <w:ind w:left="568" w:hanging="284"/>
      </w:pPr>
      <w:rPr>
        <w:rFonts w:ascii="Arial" w:hAnsi="Arial" w:hint="default"/>
        <w:b w:val="0"/>
        <w:i w:val="0"/>
        <w:color w:val="auto"/>
        <w:sz w:val="20"/>
      </w:rPr>
    </w:lvl>
  </w:abstractNum>
  <w:abstractNum w:abstractNumId="10" w15:restartNumberingAfterBreak="0">
    <w:nsid w:val="55F67B26"/>
    <w:multiLevelType w:val="hybridMultilevel"/>
    <w:tmpl w:val="51A45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7C030C"/>
    <w:multiLevelType w:val="hybridMultilevel"/>
    <w:tmpl w:val="3454D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7B5AAE"/>
    <w:multiLevelType w:val="hybridMultilevel"/>
    <w:tmpl w:val="90AEFD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E351BF"/>
    <w:multiLevelType w:val="multilevel"/>
    <w:tmpl w:val="5B7AC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Bidi"/>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7D90DDF"/>
    <w:multiLevelType w:val="hybridMultilevel"/>
    <w:tmpl w:val="91CCC2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47680110">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9864577">
    <w:abstractNumId w:val="4"/>
  </w:num>
  <w:num w:numId="3" w16cid:durableId="809056956">
    <w:abstractNumId w:val="0"/>
  </w:num>
  <w:num w:numId="4" w16cid:durableId="1975020315">
    <w:abstractNumId w:val="13"/>
  </w:num>
  <w:num w:numId="5" w16cid:durableId="331494326">
    <w:abstractNumId w:val="2"/>
  </w:num>
  <w:num w:numId="6" w16cid:durableId="1415515095">
    <w:abstractNumId w:val="14"/>
  </w:num>
  <w:num w:numId="7" w16cid:durableId="485559949">
    <w:abstractNumId w:val="10"/>
  </w:num>
  <w:num w:numId="8" w16cid:durableId="53309833">
    <w:abstractNumId w:val="9"/>
  </w:num>
  <w:num w:numId="9" w16cid:durableId="127743899">
    <w:abstractNumId w:val="12"/>
  </w:num>
  <w:num w:numId="10" w16cid:durableId="1085108389">
    <w:abstractNumId w:val="8"/>
  </w:num>
  <w:num w:numId="11" w16cid:durableId="997148704">
    <w:abstractNumId w:val="7"/>
  </w:num>
  <w:num w:numId="12" w16cid:durableId="93403911">
    <w:abstractNumId w:val="5"/>
  </w:num>
  <w:num w:numId="13" w16cid:durableId="1785952821">
    <w:abstractNumId w:val="1"/>
  </w:num>
  <w:num w:numId="14" w16cid:durableId="1642880366">
    <w:abstractNumId w:val="3"/>
  </w:num>
  <w:num w:numId="15" w16cid:durableId="2561398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0AC"/>
    <w:rsid w:val="00002EE6"/>
    <w:rsid w:val="000111BA"/>
    <w:rsid w:val="00012075"/>
    <w:rsid w:val="00036F51"/>
    <w:rsid w:val="00070A45"/>
    <w:rsid w:val="00083E04"/>
    <w:rsid w:val="00083F2B"/>
    <w:rsid w:val="000C6CFE"/>
    <w:rsid w:val="000E6215"/>
    <w:rsid w:val="000E7968"/>
    <w:rsid w:val="000F47CD"/>
    <w:rsid w:val="00104B44"/>
    <w:rsid w:val="00106C18"/>
    <w:rsid w:val="00135D5D"/>
    <w:rsid w:val="0015127A"/>
    <w:rsid w:val="00162C5A"/>
    <w:rsid w:val="00174141"/>
    <w:rsid w:val="00186C2B"/>
    <w:rsid w:val="00186F60"/>
    <w:rsid w:val="001960A4"/>
    <w:rsid w:val="001A2186"/>
    <w:rsid w:val="001C270D"/>
    <w:rsid w:val="001D7869"/>
    <w:rsid w:val="00223609"/>
    <w:rsid w:val="00230C9D"/>
    <w:rsid w:val="002351C6"/>
    <w:rsid w:val="00251BD3"/>
    <w:rsid w:val="00265FAD"/>
    <w:rsid w:val="00290FFF"/>
    <w:rsid w:val="002A3AFC"/>
    <w:rsid w:val="002B0624"/>
    <w:rsid w:val="002B3056"/>
    <w:rsid w:val="002E3973"/>
    <w:rsid w:val="00304F29"/>
    <w:rsid w:val="00326515"/>
    <w:rsid w:val="003374A3"/>
    <w:rsid w:val="0034470B"/>
    <w:rsid w:val="00356488"/>
    <w:rsid w:val="0036246D"/>
    <w:rsid w:val="003974C7"/>
    <w:rsid w:val="003A59F6"/>
    <w:rsid w:val="003C5688"/>
    <w:rsid w:val="003E10AB"/>
    <w:rsid w:val="004003C0"/>
    <w:rsid w:val="00416B6B"/>
    <w:rsid w:val="0041777A"/>
    <w:rsid w:val="0043180B"/>
    <w:rsid w:val="00435212"/>
    <w:rsid w:val="00441364"/>
    <w:rsid w:val="0045643F"/>
    <w:rsid w:val="00466978"/>
    <w:rsid w:val="00471265"/>
    <w:rsid w:val="004743C8"/>
    <w:rsid w:val="00474AB6"/>
    <w:rsid w:val="004B34C4"/>
    <w:rsid w:val="004B4DE9"/>
    <w:rsid w:val="004C537F"/>
    <w:rsid w:val="004E2FBA"/>
    <w:rsid w:val="004F20DC"/>
    <w:rsid w:val="0050147B"/>
    <w:rsid w:val="0050732D"/>
    <w:rsid w:val="00511660"/>
    <w:rsid w:val="00530A3F"/>
    <w:rsid w:val="00536DEA"/>
    <w:rsid w:val="005407C4"/>
    <w:rsid w:val="005657E5"/>
    <w:rsid w:val="00590C0F"/>
    <w:rsid w:val="00591F99"/>
    <w:rsid w:val="005946CD"/>
    <w:rsid w:val="005A1E23"/>
    <w:rsid w:val="005C0F32"/>
    <w:rsid w:val="005C1785"/>
    <w:rsid w:val="00610207"/>
    <w:rsid w:val="0061332A"/>
    <w:rsid w:val="0062244C"/>
    <w:rsid w:val="00624D4E"/>
    <w:rsid w:val="0063686E"/>
    <w:rsid w:val="00644C56"/>
    <w:rsid w:val="00647EA0"/>
    <w:rsid w:val="00657C4F"/>
    <w:rsid w:val="0066046F"/>
    <w:rsid w:val="006631E0"/>
    <w:rsid w:val="00682AD8"/>
    <w:rsid w:val="00687D5E"/>
    <w:rsid w:val="00690B46"/>
    <w:rsid w:val="006911A8"/>
    <w:rsid w:val="00696D67"/>
    <w:rsid w:val="006A0C54"/>
    <w:rsid w:val="006B16AA"/>
    <w:rsid w:val="006B4C31"/>
    <w:rsid w:val="006B7747"/>
    <w:rsid w:val="006D219C"/>
    <w:rsid w:val="006D5750"/>
    <w:rsid w:val="006E4F2C"/>
    <w:rsid w:val="00711375"/>
    <w:rsid w:val="007305E8"/>
    <w:rsid w:val="00732192"/>
    <w:rsid w:val="00742D63"/>
    <w:rsid w:val="00773A14"/>
    <w:rsid w:val="00777162"/>
    <w:rsid w:val="00784EA6"/>
    <w:rsid w:val="007900AC"/>
    <w:rsid w:val="007A0DFB"/>
    <w:rsid w:val="007A1F01"/>
    <w:rsid w:val="007C021D"/>
    <w:rsid w:val="007C2A63"/>
    <w:rsid w:val="007C5A1E"/>
    <w:rsid w:val="007E2032"/>
    <w:rsid w:val="007F09C0"/>
    <w:rsid w:val="007F62D2"/>
    <w:rsid w:val="00804987"/>
    <w:rsid w:val="00810D05"/>
    <w:rsid w:val="008121D3"/>
    <w:rsid w:val="00813E5A"/>
    <w:rsid w:val="00833E1D"/>
    <w:rsid w:val="0083737E"/>
    <w:rsid w:val="00855657"/>
    <w:rsid w:val="00863421"/>
    <w:rsid w:val="0088182E"/>
    <w:rsid w:val="00884F62"/>
    <w:rsid w:val="00893721"/>
    <w:rsid w:val="008A0BCD"/>
    <w:rsid w:val="008A3564"/>
    <w:rsid w:val="008A58CD"/>
    <w:rsid w:val="008A7AB2"/>
    <w:rsid w:val="008A7B34"/>
    <w:rsid w:val="008C3817"/>
    <w:rsid w:val="008C7DF7"/>
    <w:rsid w:val="008D1D4F"/>
    <w:rsid w:val="008E4263"/>
    <w:rsid w:val="008F7725"/>
    <w:rsid w:val="009163B3"/>
    <w:rsid w:val="0091737E"/>
    <w:rsid w:val="009224F4"/>
    <w:rsid w:val="00935955"/>
    <w:rsid w:val="00941266"/>
    <w:rsid w:val="009445B0"/>
    <w:rsid w:val="0098169A"/>
    <w:rsid w:val="00992527"/>
    <w:rsid w:val="009944A2"/>
    <w:rsid w:val="00997ACB"/>
    <w:rsid w:val="009A3758"/>
    <w:rsid w:val="009B4B2E"/>
    <w:rsid w:val="009C1801"/>
    <w:rsid w:val="009C4CC4"/>
    <w:rsid w:val="009C751A"/>
    <w:rsid w:val="009E6090"/>
    <w:rsid w:val="009F6225"/>
    <w:rsid w:val="00A00421"/>
    <w:rsid w:val="00A07B55"/>
    <w:rsid w:val="00A278A4"/>
    <w:rsid w:val="00A53AA1"/>
    <w:rsid w:val="00A71BB7"/>
    <w:rsid w:val="00A7250B"/>
    <w:rsid w:val="00A81B81"/>
    <w:rsid w:val="00A8569F"/>
    <w:rsid w:val="00A9375E"/>
    <w:rsid w:val="00AA312D"/>
    <w:rsid w:val="00AA3D8E"/>
    <w:rsid w:val="00AA3F1C"/>
    <w:rsid w:val="00AA6C68"/>
    <w:rsid w:val="00AC1801"/>
    <w:rsid w:val="00AE2D59"/>
    <w:rsid w:val="00AE3CA9"/>
    <w:rsid w:val="00AE7C4F"/>
    <w:rsid w:val="00AF041C"/>
    <w:rsid w:val="00AF4F99"/>
    <w:rsid w:val="00B07B18"/>
    <w:rsid w:val="00B12136"/>
    <w:rsid w:val="00B13062"/>
    <w:rsid w:val="00B21955"/>
    <w:rsid w:val="00B40FAE"/>
    <w:rsid w:val="00B62806"/>
    <w:rsid w:val="00B6447A"/>
    <w:rsid w:val="00B85E0B"/>
    <w:rsid w:val="00B9025E"/>
    <w:rsid w:val="00B9341E"/>
    <w:rsid w:val="00BD3196"/>
    <w:rsid w:val="00BE71BE"/>
    <w:rsid w:val="00BF4A4D"/>
    <w:rsid w:val="00BF7B88"/>
    <w:rsid w:val="00C037ED"/>
    <w:rsid w:val="00C219DE"/>
    <w:rsid w:val="00C322D3"/>
    <w:rsid w:val="00C430E5"/>
    <w:rsid w:val="00C874DB"/>
    <w:rsid w:val="00C9218F"/>
    <w:rsid w:val="00CA143D"/>
    <w:rsid w:val="00CA51BE"/>
    <w:rsid w:val="00CB3C5B"/>
    <w:rsid w:val="00CC1B15"/>
    <w:rsid w:val="00D04A78"/>
    <w:rsid w:val="00D07795"/>
    <w:rsid w:val="00D14570"/>
    <w:rsid w:val="00D41308"/>
    <w:rsid w:val="00D56E60"/>
    <w:rsid w:val="00D57CBB"/>
    <w:rsid w:val="00D76D5A"/>
    <w:rsid w:val="00D82903"/>
    <w:rsid w:val="00DB4F7D"/>
    <w:rsid w:val="00DB7CD1"/>
    <w:rsid w:val="00DC427F"/>
    <w:rsid w:val="00E1388B"/>
    <w:rsid w:val="00E42FB7"/>
    <w:rsid w:val="00E45F7E"/>
    <w:rsid w:val="00E54D5A"/>
    <w:rsid w:val="00E72D3C"/>
    <w:rsid w:val="00EA1F9A"/>
    <w:rsid w:val="00EC3337"/>
    <w:rsid w:val="00ED1EA5"/>
    <w:rsid w:val="00EE2501"/>
    <w:rsid w:val="00F133A6"/>
    <w:rsid w:val="00F300F3"/>
    <w:rsid w:val="00F31098"/>
    <w:rsid w:val="00F37E50"/>
    <w:rsid w:val="00F60682"/>
    <w:rsid w:val="00F608CE"/>
    <w:rsid w:val="00F76F5F"/>
    <w:rsid w:val="00F904EE"/>
    <w:rsid w:val="00F93539"/>
    <w:rsid w:val="00FA69DA"/>
    <w:rsid w:val="00FC44CC"/>
    <w:rsid w:val="00FC6FBD"/>
    <w:rsid w:val="00FD767A"/>
    <w:rsid w:val="00FE56C0"/>
    <w:rsid w:val="00FE77A5"/>
    <w:rsid w:val="00FF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33E7"/>
  <w15:chartTrackingRefBased/>
  <w15:docId w15:val="{7E0B628C-CF66-4F57-B7E9-F02B29B3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9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AC"/>
    <w:pPr>
      <w:ind w:left="720"/>
      <w:contextualSpacing/>
    </w:pPr>
  </w:style>
  <w:style w:type="paragraph" w:styleId="FootnoteText">
    <w:name w:val="footnote text"/>
    <w:basedOn w:val="Normal"/>
    <w:link w:val="FootnoteTextChar"/>
    <w:uiPriority w:val="99"/>
    <w:rsid w:val="00C322D3"/>
    <w:pPr>
      <w:spacing w:after="283" w:line="198" w:lineRule="exact"/>
    </w:pPr>
    <w:rPr>
      <w:rFonts w:ascii="Verdana" w:eastAsia="Times New Roman" w:hAnsi="Verdana" w:cs="Times New Roman"/>
      <w:sz w:val="13"/>
      <w:szCs w:val="20"/>
      <w:lang w:val="en-GB" w:eastAsia="de-DE"/>
    </w:rPr>
  </w:style>
  <w:style w:type="character" w:customStyle="1" w:styleId="FootnoteTextChar">
    <w:name w:val="Footnote Text Char"/>
    <w:basedOn w:val="DefaultParagraphFont"/>
    <w:link w:val="FootnoteText"/>
    <w:uiPriority w:val="99"/>
    <w:rsid w:val="00C322D3"/>
    <w:rPr>
      <w:rFonts w:ascii="Verdana" w:eastAsia="Times New Roman" w:hAnsi="Verdana" w:cs="Times New Roman"/>
      <w:sz w:val="13"/>
      <w:szCs w:val="20"/>
      <w:lang w:val="en-GB" w:eastAsia="de-DE"/>
    </w:rPr>
  </w:style>
  <w:style w:type="character" w:styleId="FootnoteReference">
    <w:name w:val="footnote reference"/>
    <w:basedOn w:val="DefaultParagraphFont"/>
    <w:uiPriority w:val="99"/>
    <w:semiHidden/>
    <w:rsid w:val="00C322D3"/>
    <w:rPr>
      <w:vertAlign w:val="superscript"/>
    </w:rPr>
  </w:style>
  <w:style w:type="character" w:styleId="PlaceholderText">
    <w:name w:val="Placeholder Text"/>
    <w:uiPriority w:val="99"/>
    <w:qFormat/>
    <w:rsid w:val="00C322D3"/>
    <w:rPr>
      <w:color w:val="000000" w:themeColor="text1"/>
    </w:rPr>
  </w:style>
  <w:style w:type="table" w:customStyle="1" w:styleId="Vividtable">
    <w:name w:val="Vivid table"/>
    <w:basedOn w:val="TableNormal"/>
    <w:uiPriority w:val="99"/>
    <w:rsid w:val="00C322D3"/>
    <w:pPr>
      <w:spacing w:after="0" w:line="240" w:lineRule="auto"/>
    </w:pPr>
    <w:rPr>
      <w:sz w:val="18"/>
      <w:lang w:val="en-GB"/>
    </w:rPr>
    <w:tblPr>
      <w:tblStyleRowBandSize w:val="1"/>
    </w:tblPr>
    <w:tcPr>
      <w:vAlign w:val="center"/>
    </w:tcPr>
    <w:tblStylePr w:type="firstRow">
      <w:rPr>
        <w:rFonts w:asciiTheme="minorHAnsi" w:hAnsiTheme="minorHAnsi"/>
        <w:b/>
        <w:sz w:val="18"/>
      </w:rPr>
    </w:tblStylePr>
    <w:tblStylePr w:type="band1Horz">
      <w:tblPr/>
      <w:tcPr>
        <w:shd w:val="clear" w:color="auto" w:fill="DDDDDD"/>
      </w:tcPr>
    </w:tblStylePr>
  </w:style>
  <w:style w:type="character" w:styleId="CommentReference">
    <w:name w:val="annotation reference"/>
    <w:basedOn w:val="DefaultParagraphFont"/>
    <w:uiPriority w:val="99"/>
    <w:semiHidden/>
    <w:unhideWhenUsed/>
    <w:rsid w:val="0041777A"/>
    <w:rPr>
      <w:sz w:val="16"/>
      <w:szCs w:val="16"/>
    </w:rPr>
  </w:style>
  <w:style w:type="paragraph" w:styleId="CommentText">
    <w:name w:val="annotation text"/>
    <w:basedOn w:val="Normal"/>
    <w:link w:val="CommentTextChar"/>
    <w:uiPriority w:val="99"/>
    <w:semiHidden/>
    <w:unhideWhenUsed/>
    <w:rsid w:val="0041777A"/>
    <w:pPr>
      <w:spacing w:line="240" w:lineRule="auto"/>
    </w:pPr>
    <w:rPr>
      <w:sz w:val="20"/>
      <w:szCs w:val="20"/>
    </w:rPr>
  </w:style>
  <w:style w:type="character" w:customStyle="1" w:styleId="CommentTextChar">
    <w:name w:val="Comment Text Char"/>
    <w:basedOn w:val="DefaultParagraphFont"/>
    <w:link w:val="CommentText"/>
    <w:uiPriority w:val="99"/>
    <w:semiHidden/>
    <w:rsid w:val="0041777A"/>
    <w:rPr>
      <w:sz w:val="20"/>
      <w:szCs w:val="20"/>
    </w:rPr>
  </w:style>
  <w:style w:type="paragraph" w:styleId="CommentSubject">
    <w:name w:val="annotation subject"/>
    <w:basedOn w:val="CommentText"/>
    <w:next w:val="CommentText"/>
    <w:link w:val="CommentSubjectChar"/>
    <w:uiPriority w:val="99"/>
    <w:semiHidden/>
    <w:unhideWhenUsed/>
    <w:rsid w:val="0041777A"/>
    <w:rPr>
      <w:b/>
      <w:bCs/>
    </w:rPr>
  </w:style>
  <w:style w:type="character" w:customStyle="1" w:styleId="CommentSubjectChar">
    <w:name w:val="Comment Subject Char"/>
    <w:basedOn w:val="CommentTextChar"/>
    <w:link w:val="CommentSubject"/>
    <w:uiPriority w:val="99"/>
    <w:semiHidden/>
    <w:rsid w:val="0041777A"/>
    <w:rPr>
      <w:b/>
      <w:bCs/>
      <w:sz w:val="20"/>
      <w:szCs w:val="20"/>
    </w:rPr>
  </w:style>
  <w:style w:type="paragraph" w:styleId="BalloonText">
    <w:name w:val="Balloon Text"/>
    <w:basedOn w:val="Normal"/>
    <w:link w:val="BalloonTextChar"/>
    <w:uiPriority w:val="99"/>
    <w:semiHidden/>
    <w:unhideWhenUsed/>
    <w:rsid w:val="00417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77A"/>
    <w:rPr>
      <w:rFonts w:ascii="Segoe UI" w:hAnsi="Segoe UI" w:cs="Segoe UI"/>
      <w:sz w:val="18"/>
      <w:szCs w:val="18"/>
    </w:rPr>
  </w:style>
  <w:style w:type="paragraph" w:customStyle="1" w:styleId="Default">
    <w:name w:val="Default"/>
    <w:rsid w:val="003C5688"/>
    <w:pPr>
      <w:autoSpaceDE w:val="0"/>
      <w:autoSpaceDN w:val="0"/>
      <w:adjustRightInd w:val="0"/>
      <w:spacing w:after="0" w:line="240" w:lineRule="auto"/>
    </w:pPr>
    <w:rPr>
      <w:rFonts w:ascii="Lucida Sans Unicode" w:hAnsi="Lucida Sans Unicode" w:cs="Lucida Sans Unicode"/>
      <w:color w:val="000000"/>
      <w:sz w:val="24"/>
      <w:szCs w:val="24"/>
      <w:lang w:val="en-GB"/>
    </w:rPr>
  </w:style>
  <w:style w:type="table" w:styleId="TableGrid">
    <w:name w:val="Table Grid"/>
    <w:basedOn w:val="TableNormal"/>
    <w:uiPriority w:val="39"/>
    <w:rsid w:val="00397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A3758"/>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9A3758"/>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2351C6"/>
    <w:pPr>
      <w:spacing w:after="0" w:line="240" w:lineRule="auto"/>
    </w:pPr>
    <w:rPr>
      <w:rFonts w:ascii="Calibri" w:hAnsi="Calibri" w:cs="Consolas"/>
      <w:szCs w:val="21"/>
      <w:lang w:val="en-GB"/>
    </w:rPr>
  </w:style>
  <w:style w:type="character" w:customStyle="1" w:styleId="PlainTextChar">
    <w:name w:val="Plain Text Char"/>
    <w:basedOn w:val="DefaultParagraphFont"/>
    <w:link w:val="PlainText"/>
    <w:uiPriority w:val="99"/>
    <w:rsid w:val="002351C6"/>
    <w:rPr>
      <w:rFonts w:ascii="Calibri" w:hAnsi="Calibri" w:cs="Consolas"/>
      <w:szCs w:val="21"/>
      <w:lang w:val="en-GB"/>
    </w:rPr>
  </w:style>
  <w:style w:type="character" w:styleId="Hyperlink">
    <w:name w:val="Hyperlink"/>
    <w:basedOn w:val="DefaultParagraphFont"/>
    <w:uiPriority w:val="99"/>
    <w:unhideWhenUsed/>
    <w:rsid w:val="000F47CD"/>
    <w:rPr>
      <w:color w:val="0000FF"/>
      <w:u w:val="single"/>
    </w:rPr>
  </w:style>
  <w:style w:type="character" w:styleId="FollowedHyperlink">
    <w:name w:val="FollowedHyperlink"/>
    <w:basedOn w:val="DefaultParagraphFont"/>
    <w:uiPriority w:val="99"/>
    <w:semiHidden/>
    <w:unhideWhenUsed/>
    <w:rsid w:val="004B4DE9"/>
    <w:rPr>
      <w:color w:val="954F72" w:themeColor="followedHyperlink"/>
      <w:u w:val="single"/>
    </w:rPr>
  </w:style>
  <w:style w:type="character" w:customStyle="1" w:styleId="Heading1Char">
    <w:name w:val="Heading 1 Char"/>
    <w:basedOn w:val="DefaultParagraphFont"/>
    <w:link w:val="Heading1"/>
    <w:uiPriority w:val="9"/>
    <w:rsid w:val="00804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4987"/>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5127A"/>
    <w:pPr>
      <w:spacing w:after="0" w:line="240" w:lineRule="auto"/>
      <w:ind w:left="720" w:hanging="720"/>
    </w:pPr>
  </w:style>
  <w:style w:type="paragraph" w:customStyle="1" w:styleId="Puce2">
    <w:name w:val="Puce 2"/>
    <w:basedOn w:val="Normal"/>
    <w:rsid w:val="009C1801"/>
    <w:pPr>
      <w:numPr>
        <w:numId w:val="8"/>
      </w:numPr>
      <w:spacing w:before="20" w:after="20" w:line="240" w:lineRule="auto"/>
    </w:pPr>
    <w:rPr>
      <w:rFonts w:ascii="Chalet-LondonNineteenSixty" w:eastAsia="Times New Roman" w:hAnsi="Chalet-LondonNineteenSixty" w:cs="Times New Roman"/>
      <w:sz w:val="18"/>
      <w:szCs w:val="20"/>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85234">
      <w:bodyDiv w:val="1"/>
      <w:marLeft w:val="0"/>
      <w:marRight w:val="0"/>
      <w:marTop w:val="0"/>
      <w:marBottom w:val="0"/>
      <w:divBdr>
        <w:top w:val="none" w:sz="0" w:space="0" w:color="auto"/>
        <w:left w:val="none" w:sz="0" w:space="0" w:color="auto"/>
        <w:bottom w:val="none" w:sz="0" w:space="0" w:color="auto"/>
        <w:right w:val="none" w:sz="0" w:space="0" w:color="auto"/>
      </w:divBdr>
    </w:div>
    <w:div w:id="703674888">
      <w:bodyDiv w:val="1"/>
      <w:marLeft w:val="0"/>
      <w:marRight w:val="0"/>
      <w:marTop w:val="0"/>
      <w:marBottom w:val="0"/>
      <w:divBdr>
        <w:top w:val="none" w:sz="0" w:space="0" w:color="auto"/>
        <w:left w:val="none" w:sz="0" w:space="0" w:color="auto"/>
        <w:bottom w:val="none" w:sz="0" w:space="0" w:color="auto"/>
        <w:right w:val="none" w:sz="0" w:space="0" w:color="auto"/>
      </w:divBdr>
    </w:div>
    <w:div w:id="847598439">
      <w:bodyDiv w:val="1"/>
      <w:marLeft w:val="0"/>
      <w:marRight w:val="0"/>
      <w:marTop w:val="0"/>
      <w:marBottom w:val="0"/>
      <w:divBdr>
        <w:top w:val="none" w:sz="0" w:space="0" w:color="auto"/>
        <w:left w:val="none" w:sz="0" w:space="0" w:color="auto"/>
        <w:bottom w:val="none" w:sz="0" w:space="0" w:color="auto"/>
        <w:right w:val="none" w:sz="0" w:space="0" w:color="auto"/>
      </w:divBdr>
    </w:div>
    <w:div w:id="9421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esr.2014.09.0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ia.gov/countries/analysisbriefs/Caspian_Sea/caspian_se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topics/earth-and-planetary-sciences/climate-change-mitiga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topics/earth-and-planetary-sciences/domestic-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B0320-3F48-4FCF-92DE-5314222C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5135</Words>
  <Characters>29276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34343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Gambhir, Ajay</dc:creator>
  <cp:keywords/>
  <dc:description/>
  <cp:lastModifiedBy>Rocco De Miglio</cp:lastModifiedBy>
  <cp:revision>104</cp:revision>
  <dcterms:created xsi:type="dcterms:W3CDTF">2019-07-19T09:19:00Z</dcterms:created>
  <dcterms:modified xsi:type="dcterms:W3CDTF">2023-04-30T08:55:00Z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id="8IL23s5Y"/&gt;&lt;style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