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8A6014"/>
          <w:sz w:val="16"/>
        </w:rPr>
        <w:t>ENGAGEMENT BRIEF  ·  PRE-CONTRACT</w:t>
      </w:r>
    </w:p>
    <w:p>
      <w:pPr>
        <w:pStyle w:val="Title"/>
      </w:pPr>
      <w:r>
        <w:t>BharatPath Build Brief</w:t>
      </w:r>
    </w:p>
    <w:p>
      <w:pPr>
        <w:pStyle w:val="Subtitle"/>
      </w:pPr>
      <w:r>
        <w:t>A three-sided hiring marketplace for India, built around a proprietary resume-derived candidate score. This is the full read of the scope as documented — plus the dependencies and unresolved decisions that have to be settled before anyone can put a number on it.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944"/>
            <w:shd w:val="clear" w:color="auto" w:fill="EEF1F5"/>
          </w:tcPr>
          <w:p>
            <w:pPr>
              <w:spacing w:before="60" w:after="60"/>
            </w:pPr>
            <w:r/>
            <w:r>
              <w:rPr>
                <w:rFonts w:ascii="Calibri" w:hAnsi="Calibri"/>
                <w:b/>
                <w:color w:val="707C90"/>
                <w:sz w:val="15"/>
              </w:rPr>
              <w:t>SURFACES</w:t>
            </w:r>
          </w:p>
        </w:tc>
        <w:tc>
          <w:tcPr>
            <w:tcW w:type="dxa" w:w="2160"/>
            <w:shd w:val="clear" w:color="auto" w:fill="EEF1F5"/>
          </w:tcPr>
          <w:p>
            <w:pPr>
              <w:spacing w:before="60" w:after="60"/>
            </w:pPr>
            <w:r/>
            <w:r>
              <w:rPr>
                <w:rFonts w:ascii="Calibri" w:hAnsi="Calibri"/>
                <w:b/>
                <w:color w:val="707C90"/>
                <w:sz w:val="15"/>
              </w:rPr>
              <w:t>SOURCE DOCUMENTS</w:t>
            </w:r>
          </w:p>
        </w:tc>
        <w:tc>
          <w:tcPr>
            <w:tcW w:type="dxa" w:w="1728"/>
            <w:shd w:val="clear" w:color="auto" w:fill="EEF1F5"/>
          </w:tcPr>
          <w:p>
            <w:pPr>
              <w:spacing w:before="60" w:after="60"/>
            </w:pPr>
            <w:r/>
            <w:r>
              <w:rPr>
                <w:rFonts w:ascii="Calibri" w:hAnsi="Calibri"/>
                <w:b/>
                <w:color w:val="707C90"/>
                <w:sz w:val="15"/>
              </w:rPr>
              <w:t>CODE TODAY</w:t>
            </w:r>
          </w:p>
        </w:tc>
        <w:tc>
          <w:tcPr>
            <w:tcW w:type="dxa" w:w="1656"/>
            <w:shd w:val="clear" w:color="auto" w:fill="EEF1F5"/>
          </w:tcPr>
          <w:p>
            <w:pPr>
              <w:spacing w:before="60" w:after="60"/>
            </w:pPr>
            <w:r/>
            <w:r>
              <w:rPr>
                <w:rFonts w:ascii="Calibri" w:hAnsi="Calibri"/>
                <w:b/>
                <w:color w:val="707C90"/>
                <w:sz w:val="15"/>
              </w:rPr>
              <w:t>TARGET REGION</w:t>
            </w:r>
          </w:p>
        </w:tc>
        <w:tc>
          <w:tcPr>
            <w:tcW w:type="dxa" w:w="2016"/>
            <w:shd w:val="clear" w:color="auto" w:fill="EEF1F5"/>
          </w:tcPr>
          <w:p>
            <w:pPr>
              <w:spacing w:before="60" w:after="60"/>
            </w:pPr>
            <w:r/>
            <w:r>
              <w:rPr>
                <w:rFonts w:ascii="Calibri" w:hAnsi="Calibri"/>
                <w:b/>
                <w:color w:val="707C90"/>
                <w:sz w:val="15"/>
              </w:rPr>
              <w:t>BLOCKERS OPEN</w:t>
            </w:r>
          </w:p>
        </w:tc>
      </w:tr>
      <w:tr>
        <w:tc>
          <w:tcPr>
            <w:tcW w:type="dxa" w:w="1944"/>
          </w:tcPr>
          <w:p>
            <w:pPr>
              <w:spacing w:before="60" w:after="60"/>
            </w:pPr>
            <w:r/>
            <w:r>
              <w:rPr>
                <w:rFonts w:ascii="Calibri" w:hAnsi="Calibri"/>
                <w:color w:val="444F60"/>
                <w:sz w:val="19"/>
              </w:rPr>
              <w:t>4 clients, 1 backend</w:t>
            </w:r>
          </w:p>
        </w:tc>
        <w:tc>
          <w:tcPr>
            <w:tcW w:type="dxa" w:w="2160"/>
          </w:tcPr>
          <w:p>
            <w:pPr>
              <w:spacing w:before="60" w:after="60"/>
            </w:pPr>
            <w:r/>
            <w:r>
              <w:rPr>
                <w:rFonts w:ascii="Calibri" w:hAnsi="Calibri"/>
                <w:color w:val="444F60"/>
                <w:sz w:val="19"/>
              </w:rPr>
              <w:t>PRD · SRS v3 · Outline</w:t>
            </w:r>
          </w:p>
        </w:tc>
        <w:tc>
          <w:tcPr>
            <w:tcW w:type="dxa" w:w="1728"/>
          </w:tcPr>
          <w:p>
            <w:pPr>
              <w:spacing w:before="60" w:after="60"/>
            </w:pPr>
            <w:r/>
            <w:r>
              <w:rPr>
                <w:rFonts w:ascii="Calibri" w:hAnsi="Calibri"/>
                <w:color w:val="444F60"/>
                <w:sz w:val="19"/>
              </w:rPr>
              <w:t>None — day zero</w:t>
            </w:r>
          </w:p>
        </w:tc>
        <w:tc>
          <w:tcPr>
            <w:tcW w:type="dxa" w:w="1656"/>
          </w:tcPr>
          <w:p>
            <w:pPr>
              <w:spacing w:before="60" w:after="60"/>
            </w:pPr>
            <w:r/>
            <w:r>
              <w:rPr>
                <w:rFonts w:ascii="Calibri" w:hAnsi="Calibri"/>
                <w:color w:val="444F60"/>
                <w:sz w:val="19"/>
              </w:rPr>
              <w:t>AWS ap-south-1</w:t>
            </w:r>
          </w:p>
        </w:tc>
        <w:tc>
          <w:tcPr>
            <w:tcW w:type="dxa" w:w="2016"/>
          </w:tcPr>
          <w:p>
            <w:pPr>
              <w:spacing w:before="60" w:after="60"/>
            </w:pPr>
            <w:r/>
            <w:r>
              <w:rPr>
                <w:rFonts w:ascii="Calibri" w:hAnsi="Calibri"/>
                <w:color w:val="444F60"/>
                <w:sz w:val="19"/>
              </w:rPr>
              <w:t>2 critical, 4 decisions</w:t>
            </w:r>
          </w:p>
        </w:tc>
      </w:tr>
    </w:tbl>
    <w:p>
      <w:pPr>
        <w:spacing w:after="80"/>
      </w:pPr>
    </w:p>
    <w:p>
      <w:pPr>
        <w:pStyle w:val="Heading2"/>
      </w:pPr>
      <w:r>
        <w:t>Contents</w:t>
      </w:r>
    </w:p>
    <w:p>
      <w:pPr>
        <w:spacing w:after="20"/>
        <w:ind w:left="202"/>
      </w:pPr>
      <w:r>
        <w:rPr>
          <w:rFonts w:ascii="Consolas" w:hAnsi="Consolas"/>
          <w:color w:val="8A6014"/>
          <w:sz w:val="18"/>
        </w:rPr>
        <w:t xml:space="preserve">01   </w:t>
      </w:r>
      <w:r>
        <w:rPr>
          <w:color w:val="444F60"/>
          <w:sz w:val="20"/>
        </w:rPr>
        <w:t>The product</w:t>
      </w:r>
    </w:p>
    <w:p>
      <w:pPr>
        <w:spacing w:after="20"/>
        <w:ind w:left="202"/>
      </w:pPr>
      <w:r>
        <w:rPr>
          <w:rFonts w:ascii="Consolas" w:hAnsi="Consolas"/>
          <w:color w:val="8A6014"/>
          <w:sz w:val="18"/>
        </w:rPr>
        <w:t xml:space="preserve">02   </w:t>
      </w:r>
      <w:r>
        <w:rPr>
          <w:color w:val="444F60"/>
          <w:sz w:val="20"/>
        </w:rPr>
        <w:t>The nine hard rules</w:t>
      </w:r>
    </w:p>
    <w:p>
      <w:pPr>
        <w:spacing w:after="20"/>
        <w:ind w:left="202"/>
      </w:pPr>
      <w:r>
        <w:rPr>
          <w:rFonts w:ascii="Consolas" w:hAnsi="Consolas"/>
          <w:color w:val="8A6014"/>
          <w:sz w:val="18"/>
        </w:rPr>
        <w:t xml:space="preserve">03   </w:t>
      </w:r>
      <w:r>
        <w:rPr>
          <w:color w:val="444F60"/>
          <w:sz w:val="20"/>
        </w:rPr>
        <w:t>End-to-end flows</w:t>
      </w:r>
    </w:p>
    <w:p>
      <w:pPr>
        <w:spacing w:after="20"/>
        <w:ind w:left="202"/>
      </w:pPr>
      <w:r>
        <w:rPr>
          <w:rFonts w:ascii="Consolas" w:hAnsi="Consolas"/>
          <w:color w:val="8A6014"/>
          <w:sz w:val="18"/>
        </w:rPr>
        <w:t xml:space="preserve">04   </w:t>
      </w:r>
      <w:r>
        <w:rPr>
          <w:color w:val="444F60"/>
          <w:sz w:val="20"/>
        </w:rPr>
        <w:t>Authentication</w:t>
      </w:r>
    </w:p>
    <w:p>
      <w:pPr>
        <w:spacing w:after="20"/>
        <w:ind w:left="202"/>
      </w:pPr>
      <w:r>
        <w:rPr>
          <w:rFonts w:ascii="Consolas" w:hAnsi="Consolas"/>
          <w:color w:val="8A6014"/>
          <w:sz w:val="18"/>
        </w:rPr>
        <w:t xml:space="preserve">05   </w:t>
      </w:r>
      <w:r>
        <w:rPr>
          <w:color w:val="444F60"/>
          <w:sz w:val="20"/>
        </w:rPr>
        <w:t>AWS architecture</w:t>
      </w:r>
    </w:p>
    <w:p>
      <w:pPr>
        <w:spacing w:after="20"/>
        <w:ind w:left="202"/>
      </w:pPr>
      <w:r>
        <w:rPr>
          <w:rFonts w:ascii="Consolas" w:hAnsi="Consolas"/>
          <w:color w:val="8A6014"/>
          <w:sz w:val="18"/>
        </w:rPr>
        <w:t xml:space="preserve">06   </w:t>
      </w:r>
      <w:r>
        <w:rPr>
          <w:color w:val="444F60"/>
          <w:sz w:val="20"/>
        </w:rPr>
        <w:t>Client dependencies</w:t>
      </w:r>
    </w:p>
    <w:p>
      <w:pPr>
        <w:spacing w:after="20"/>
        <w:ind w:left="202"/>
      </w:pPr>
      <w:r>
        <w:rPr>
          <w:rFonts w:ascii="Consolas" w:hAnsi="Consolas"/>
          <w:color w:val="8A6014"/>
          <w:sz w:val="18"/>
        </w:rPr>
        <w:t xml:space="preserve">07   </w:t>
      </w:r>
      <w:r>
        <w:rPr>
          <w:color w:val="444F60"/>
          <w:sz w:val="20"/>
        </w:rPr>
        <w:t>Open questions</w:t>
      </w:r>
    </w:p>
    <w:p>
      <w:pPr>
        <w:spacing w:after="20"/>
        <w:ind w:left="202"/>
      </w:pPr>
      <w:r>
        <w:rPr>
          <w:rFonts w:ascii="Consolas" w:hAnsi="Consolas"/>
          <w:color w:val="8A6014"/>
          <w:sz w:val="18"/>
        </w:rPr>
        <w:t xml:space="preserve">08   </w:t>
      </w:r>
      <w:r>
        <w:rPr>
          <w:color w:val="444F60"/>
          <w:sz w:val="20"/>
        </w:rPr>
        <w:t>Scale and phasing</w:t>
      </w:r>
    </w:p>
    <w:p>
      <w:r>
        <w:br w:type="page"/>
      </w:r>
    </w:p>
    <w:p>
      <w:pPr>
        <w:pStyle w:val="Heading1"/>
      </w:pPr>
      <w:r>
        <w:t>1.  The product</w:t>
      </w:r>
    </w:p>
    <w:p>
      <w:pPr>
        <w:spacing w:after="40"/>
      </w:pPr>
      <w:r>
        <w:rPr>
          <w:b w:val="0"/>
          <w:i/>
          <w:color w:val="707C90"/>
          <w:sz w:val="19"/>
        </w:rPr>
        <w:t>What is being built, for whom, and where the money comes from.</w:t>
      </w:r>
    </w:p>
    <w:p>
      <w:pPr>
        <w:spacing w:before="80" w:after="160"/>
        <w:pBdr>
          <w:bottom w:val="single" w:sz="6" w:color="C8CEDA"/>
        </w:pBdr>
      </w:pPr>
    </w:p>
    <w:p>
      <w:r>
        <w:rPr>
          <w:b w:val="0"/>
          <w:i w:val="0"/>
        </w:rPr>
        <w:t>BharatPath connects three groups around a single trust signal. A candidate uploads a resume and receives an explainable score out of 999, free. Employers pay to search that pool and to unlock individual candidates. Colleges get aggregate visibility into their students' outcomes. An internal operations team polices verification, integrity and disputes across all three.</w:t>
      </w:r>
    </w:p>
    <w:p>
      <w:r>
        <w:rPr>
          <w:b w:val="0"/>
          <w:i w:val="0"/>
        </w:rPr>
        <w:t>The product targets India specifically: vernacular localization, UPI payments, GSTIN-style business verification, and performance on low-end Android over slow networks are all in scope as primary requirements, not nice-to-haves.</w:t>
      </w:r>
    </w:p>
    <w:p>
      <w:pPr>
        <w:pStyle w:val="Heading2"/>
      </w:pPr>
      <w:r>
        <w:t>The four surfaces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EEF1F5"/>
          </w:tcPr>
          <w:p>
            <w:pPr>
              <w:spacing w:before="60" w:after="60"/>
            </w:pPr>
            <w:r/>
            <w:r>
              <w:rPr>
                <w:rFonts w:ascii="Calibri" w:hAnsi="Calibri"/>
                <w:b/>
                <w:color w:val="707C90"/>
                <w:sz w:val="15"/>
              </w:rPr>
              <w:t>SURFACE</w:t>
            </w:r>
          </w:p>
        </w:tc>
        <w:tc>
          <w:tcPr>
            <w:tcW w:type="dxa" w:w="2088"/>
            <w:shd w:val="clear" w:color="auto" w:fill="EEF1F5"/>
          </w:tcPr>
          <w:p>
            <w:pPr>
              <w:spacing w:before="60" w:after="60"/>
            </w:pPr>
            <w:r/>
            <w:r>
              <w:rPr>
                <w:rFonts w:ascii="Calibri" w:hAnsi="Calibri"/>
                <w:b/>
                <w:color w:val="707C90"/>
                <w:sz w:val="15"/>
              </w:rPr>
              <w:t>USERS</w:t>
            </w:r>
          </w:p>
        </w:tc>
        <w:tc>
          <w:tcPr>
            <w:tcW w:type="dxa" w:w="2016"/>
            <w:shd w:val="clear" w:color="auto" w:fill="EEF1F5"/>
          </w:tcPr>
          <w:p>
            <w:pPr>
              <w:spacing w:before="60" w:after="60"/>
            </w:pPr>
            <w:r/>
            <w:r>
              <w:rPr>
                <w:rFonts w:ascii="Calibri" w:hAnsi="Calibri"/>
                <w:b/>
                <w:color w:val="707C90"/>
                <w:sz w:val="15"/>
              </w:rPr>
              <w:t>PLATFORM</w:t>
            </w:r>
          </w:p>
        </w:tc>
        <w:tc>
          <w:tcPr>
            <w:tcW w:type="dxa" w:w="3528"/>
            <w:shd w:val="clear" w:color="auto" w:fill="EEF1F5"/>
          </w:tcPr>
          <w:p>
            <w:pPr>
              <w:spacing w:before="60" w:after="60"/>
            </w:pPr>
            <w:r/>
            <w:r>
              <w:rPr>
                <w:rFonts w:ascii="Calibri" w:hAnsi="Calibri"/>
                <w:b/>
                <w:color w:val="707C90"/>
                <w:sz w:val="15"/>
              </w:rPr>
              <w:t>CORE JOB</w:t>
            </w:r>
          </w:p>
        </w:tc>
      </w:tr>
      <w:tr>
        <w:tc>
          <w:tcPr>
            <w:tcW w:type="dxa" w:w="1872"/>
          </w:tcPr>
          <w:p>
            <w:pPr>
              <w:spacing w:before="60" w:after="60"/>
            </w:pPr>
            <w:r/>
            <w:r>
              <w:rPr>
                <w:rFonts w:ascii="Calibri" w:hAnsi="Calibri"/>
                <w:b/>
                <w:color w:val="141922"/>
                <w:sz w:val="19"/>
              </w:rPr>
              <w:t>Candidate App</w:t>
            </w:r>
          </w:p>
        </w:tc>
        <w:tc>
          <w:tcPr>
            <w:tcW w:type="dxa" w:w="2088"/>
          </w:tcPr>
          <w:p>
            <w:pPr>
              <w:spacing w:before="60" w:after="60"/>
            </w:pPr>
            <w:r/>
            <w:r>
              <w:rPr>
                <w:rFonts w:ascii="Calibri" w:hAnsi="Calibri"/>
                <w:color w:val="444F60"/>
                <w:sz w:val="19"/>
              </w:rPr>
              <w:t>Job seekers</w:t>
            </w:r>
          </w:p>
        </w:tc>
        <w:tc>
          <w:tcPr>
            <w:tcW w:type="dxa" w:w="2016"/>
          </w:tcPr>
          <w:p>
            <w:pPr>
              <w:spacing w:before="60" w:after="60"/>
            </w:pPr>
            <w:r/>
            <w:r>
              <w:rPr>
                <w:rFonts w:ascii="Calibri" w:hAnsi="Calibri"/>
                <w:color w:val="444F60"/>
                <w:sz w:val="19"/>
              </w:rPr>
              <w:t>Android + iOS, phone-first</w:t>
            </w:r>
          </w:p>
        </w:tc>
        <w:tc>
          <w:tcPr>
            <w:tcW w:type="dxa" w:w="3528"/>
          </w:tcPr>
          <w:p>
            <w:pPr>
              <w:spacing w:before="60" w:after="60"/>
            </w:pPr>
            <w:r/>
            <w:r>
              <w:rPr>
                <w:rFonts w:ascii="Calibri" w:hAnsi="Calibri"/>
                <w:color w:val="444F60"/>
                <w:sz w:val="19"/>
              </w:rPr>
              <w:t>Resume → score → jobs → apply → track</w:t>
            </w:r>
          </w:p>
        </w:tc>
      </w:tr>
      <w:tr>
        <w:tc>
          <w:tcPr>
            <w:tcW w:type="dxa" w:w="1872"/>
          </w:tcPr>
          <w:p>
            <w:pPr>
              <w:spacing w:before="60" w:after="60"/>
            </w:pPr>
            <w:r/>
            <w:r>
              <w:rPr>
                <w:rFonts w:ascii="Calibri" w:hAnsi="Calibri"/>
                <w:b/>
                <w:color w:val="141922"/>
                <w:sz w:val="19"/>
              </w:rPr>
              <w:t>Employer Console</w:t>
            </w:r>
          </w:p>
        </w:tc>
        <w:tc>
          <w:tcPr>
            <w:tcW w:type="dxa" w:w="2088"/>
          </w:tcPr>
          <w:p>
            <w:pPr>
              <w:spacing w:before="60" w:after="60"/>
            </w:pPr>
            <w:r/>
            <w:r>
              <w:rPr>
                <w:rFonts w:ascii="Calibri" w:hAnsi="Calibri"/>
                <w:color w:val="444F60"/>
                <w:sz w:val="19"/>
              </w:rPr>
              <w:t>Small/medium businesses</w:t>
            </w:r>
          </w:p>
        </w:tc>
        <w:tc>
          <w:tcPr>
            <w:tcW w:type="dxa" w:w="2016"/>
          </w:tcPr>
          <w:p>
            <w:pPr>
              <w:spacing w:before="60" w:after="60"/>
            </w:pPr>
            <w:r/>
            <w:r>
              <w:rPr>
                <w:rFonts w:ascii="Calibri" w:hAnsi="Calibri"/>
                <w:color w:val="444F60"/>
                <w:sz w:val="19"/>
              </w:rPr>
              <w:t>Desktop web</w:t>
            </w:r>
          </w:p>
        </w:tc>
        <w:tc>
          <w:tcPr>
            <w:tcW w:type="dxa" w:w="3528"/>
          </w:tcPr>
          <w:p>
            <w:pPr>
              <w:spacing w:before="60" w:after="60"/>
            </w:pPr>
            <w:r/>
            <w:r>
              <w:rPr>
                <w:rFonts w:ascii="Calibri" w:hAnsi="Calibri"/>
                <w:color w:val="444F60"/>
                <w:sz w:val="19"/>
              </w:rPr>
              <w:t>KYB → post jobs → pipeline → search &amp; unlock</w:t>
            </w:r>
          </w:p>
        </w:tc>
      </w:tr>
      <w:tr>
        <w:tc>
          <w:tcPr>
            <w:tcW w:type="dxa" w:w="1872"/>
          </w:tcPr>
          <w:p>
            <w:pPr>
              <w:spacing w:before="60" w:after="60"/>
            </w:pPr>
            <w:r/>
            <w:r>
              <w:rPr>
                <w:rFonts w:ascii="Calibri" w:hAnsi="Calibri"/>
                <w:b/>
                <w:color w:val="141922"/>
                <w:sz w:val="19"/>
              </w:rPr>
              <w:t>College Console</w:t>
            </w:r>
          </w:p>
        </w:tc>
        <w:tc>
          <w:tcPr>
            <w:tcW w:type="dxa" w:w="2088"/>
          </w:tcPr>
          <w:p>
            <w:pPr>
              <w:spacing w:before="60" w:after="60"/>
            </w:pPr>
            <w:r/>
            <w:r>
              <w:rPr>
                <w:rFonts w:ascii="Calibri" w:hAnsi="Calibri"/>
                <w:color w:val="444F60"/>
                <w:sz w:val="19"/>
              </w:rPr>
              <w:t>Colleges, training institutes</w:t>
            </w:r>
          </w:p>
        </w:tc>
        <w:tc>
          <w:tcPr>
            <w:tcW w:type="dxa" w:w="2016"/>
          </w:tcPr>
          <w:p>
            <w:pPr>
              <w:spacing w:before="60" w:after="60"/>
            </w:pPr>
            <w:r/>
            <w:r>
              <w:rPr>
                <w:rFonts w:ascii="Calibri" w:hAnsi="Calibri"/>
                <w:color w:val="444F60"/>
                <w:sz w:val="19"/>
              </w:rPr>
              <w:t>Desktop web</w:t>
            </w:r>
          </w:p>
        </w:tc>
        <w:tc>
          <w:tcPr>
            <w:tcW w:type="dxa" w:w="3528"/>
          </w:tcPr>
          <w:p>
            <w:pPr>
              <w:spacing w:before="60" w:after="60"/>
            </w:pPr>
            <w:r/>
            <w:r>
              <w:rPr>
                <w:rFonts w:ascii="Calibri" w:hAnsi="Calibri"/>
                <w:color w:val="444F60"/>
                <w:sz w:val="19"/>
              </w:rPr>
              <w:t>Roster upload → student consent → cohort analytics</w:t>
            </w:r>
          </w:p>
        </w:tc>
      </w:tr>
      <w:tr>
        <w:tc>
          <w:tcPr>
            <w:tcW w:type="dxa" w:w="1872"/>
          </w:tcPr>
          <w:p>
            <w:pPr>
              <w:spacing w:before="60" w:after="60"/>
            </w:pPr>
            <w:r/>
            <w:r>
              <w:rPr>
                <w:rFonts w:ascii="Calibri" w:hAnsi="Calibri"/>
                <w:b/>
                <w:color w:val="141922"/>
                <w:sz w:val="19"/>
              </w:rPr>
              <w:t>Admin Console</w:t>
            </w:r>
          </w:p>
        </w:tc>
        <w:tc>
          <w:tcPr>
            <w:tcW w:type="dxa" w:w="2088"/>
          </w:tcPr>
          <w:p>
            <w:pPr>
              <w:spacing w:before="60" w:after="60"/>
            </w:pPr>
            <w:r/>
            <w:r>
              <w:rPr>
                <w:rFonts w:ascii="Calibri" w:hAnsi="Calibri"/>
                <w:color w:val="444F60"/>
                <w:sz w:val="19"/>
              </w:rPr>
              <w:t>Internal operations</w:t>
            </w:r>
          </w:p>
        </w:tc>
        <w:tc>
          <w:tcPr>
            <w:tcW w:type="dxa" w:w="2016"/>
          </w:tcPr>
          <w:p>
            <w:pPr>
              <w:spacing w:before="60" w:after="60"/>
            </w:pPr>
            <w:r/>
            <w:r>
              <w:rPr>
                <w:rFonts w:ascii="Calibri" w:hAnsi="Calibri"/>
                <w:color w:val="444F60"/>
                <w:sz w:val="19"/>
              </w:rPr>
              <w:t>Desktop web</w:t>
            </w:r>
          </w:p>
        </w:tc>
        <w:tc>
          <w:tcPr>
            <w:tcW w:type="dxa" w:w="3528"/>
          </w:tcPr>
          <w:p>
            <w:pPr>
              <w:spacing w:before="60" w:after="60"/>
            </w:pPr>
            <w:r/>
            <w:r>
              <w:rPr>
                <w:rFonts w:ascii="Calibri" w:hAnsi="Calibri"/>
                <w:color w:val="444F60"/>
                <w:sz w:val="19"/>
              </w:rPr>
              <w:t>KYB queue, integrity queue, disputes, audit, drill-downs</w:t>
            </w:r>
          </w:p>
        </w:tc>
      </w:tr>
    </w:tbl>
    <w:p>
      <w:pPr>
        <w:spacing w:after="80"/>
      </w:pPr>
    </w:p>
    <w:p>
      <w:r>
        <w:t xml:space="preserve">All four consume </w:t>
      </w:r>
      <w:r>
        <w:rPr>
          <w:b/>
          <w:color w:val="141922"/>
        </w:rPr>
        <w:t>one shared API</w:t>
      </w:r>
      <w:r>
        <w:t>. The PRD explicitly forbids designing or scoping separate backend systems per surface.</w:t>
      </w:r>
    </w:p>
    <w:p>
      <w:pPr>
        <w:pStyle w:val="Heading2"/>
      </w:pPr>
      <w:r>
        <w:t>Platform shape</w:t>
      </w:r>
    </w:p>
    <w:p>
      <w:pPr>
        <w:spacing w:after="40"/>
        <w:ind w:left="173"/>
      </w:pPr>
      <w:r>
        <w:rPr>
          <w:b/>
          <w:color w:val="8A6014"/>
          <w:sz w:val="15"/>
        </w:rPr>
        <w:t xml:space="preserve">THREE SIDES, ONE TRUST LAYER  </w:t>
      </w:r>
    </w:p>
    <w:p>
      <w:pPr>
        <w:spacing w:after="180"/>
        <w:ind w:left="173"/>
      </w:pPr>
      <w:r>
        <w:rPr>
          <w:rFonts w:ascii="Consolas" w:hAnsi="Consolas"/>
          <w:color w:val="141922"/>
          <w:sz w:val="17"/>
        </w:rPr>
        <w:t>CANDIDATE            EMPLOYER             COLLEGE</w:t>
        <w:br/>
        <w:t>Resume + Score       KYB + Jobs           Roster + Consent</w:t>
        <w:br/>
        <w:t>Applications         Search / Unlock      Analytics</w:t>
        <w:br/>
        <w:t xml:space="preserve">     |                    |                    |</w:t>
        <w:br/>
        <w:t xml:space="preserve">     +--------------------+--------------------+</w:t>
        <w:br/>
        <w:t xml:space="preserve">                          |</w:t>
        <w:br/>
        <w:t xml:space="preserve">                   Hiring outcomes</w:t>
        <w:br/>
        <w:t xml:space="preserve">                          |</w:t>
        <w:br/>
        <w:t xml:space="preserve">                 ADMIN TRUST LAYER</w:t>
        <w:br/>
        <w:t xml:space="preserve">        KYB  ·  Integrity  ·  Disputes  ·  Audit</w:t>
      </w:r>
    </w:p>
    <w:p>
      <w:pPr>
        <w:pStyle w:val="Heading2"/>
      </w:pPr>
      <w:r>
        <w:t>Revenue model</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EEF1F5"/>
          </w:tcPr>
          <w:p>
            <w:pPr>
              <w:spacing w:before="60" w:after="60"/>
            </w:pPr>
            <w:r/>
            <w:r>
              <w:rPr>
                <w:rFonts w:ascii="Calibri" w:hAnsi="Calibri"/>
                <w:b/>
                <w:color w:val="707C90"/>
                <w:sz w:val="15"/>
              </w:rPr>
              <w:t>LINE</w:t>
            </w:r>
          </w:p>
        </w:tc>
        <w:tc>
          <w:tcPr>
            <w:tcW w:type="dxa" w:w="3744"/>
            <w:shd w:val="clear" w:color="auto" w:fill="EEF1F5"/>
          </w:tcPr>
          <w:p>
            <w:pPr>
              <w:spacing w:before="60" w:after="60"/>
            </w:pPr>
            <w:r/>
            <w:r>
              <w:rPr>
                <w:rFonts w:ascii="Calibri" w:hAnsi="Calibri"/>
                <w:b/>
                <w:color w:val="707C90"/>
                <w:sz w:val="15"/>
              </w:rPr>
              <w:t>WHO PAYS</w:t>
            </w:r>
          </w:p>
        </w:tc>
        <w:tc>
          <w:tcPr>
            <w:tcW w:type="dxa" w:w="2304"/>
            <w:shd w:val="clear" w:color="auto" w:fill="EEF1F5"/>
          </w:tcPr>
          <w:p>
            <w:pPr>
              <w:spacing w:before="60" w:after="60"/>
            </w:pPr>
            <w:r/>
            <w:r>
              <w:rPr>
                <w:rFonts w:ascii="Calibri" w:hAnsi="Calibri"/>
                <w:b/>
                <w:color w:val="707C90"/>
                <w:sz w:val="15"/>
              </w:rPr>
              <w:t>STATUS</w:t>
            </w:r>
          </w:p>
        </w:tc>
      </w:tr>
      <w:tr>
        <w:tc>
          <w:tcPr>
            <w:tcW w:type="dxa" w:w="2304"/>
          </w:tcPr>
          <w:p>
            <w:pPr>
              <w:spacing w:before="60" w:after="60"/>
            </w:pPr>
            <w:r/>
            <w:r>
              <w:rPr>
                <w:rFonts w:ascii="Calibri" w:hAnsi="Calibri"/>
                <w:b/>
                <w:color w:val="141922"/>
                <w:sz w:val="19"/>
              </w:rPr>
              <w:t>Candidate scoring</w:t>
            </w:r>
          </w:p>
        </w:tc>
        <w:tc>
          <w:tcPr>
            <w:tcW w:type="dxa" w:w="3744"/>
          </w:tcPr>
          <w:p>
            <w:pPr>
              <w:spacing w:before="60" w:after="60"/>
            </w:pPr>
            <w:r/>
            <w:r>
              <w:rPr>
                <w:rFonts w:ascii="Calibri" w:hAnsi="Calibri"/>
                <w:color w:val="444F60"/>
                <w:sz w:val="19"/>
              </w:rPr>
              <w:t>Free — the acquisition hook</w:t>
            </w:r>
          </w:p>
        </w:tc>
        <w:tc>
          <w:tcPr>
            <w:tcW w:type="dxa" w:w="2304"/>
          </w:tcPr>
          <w:p>
            <w:pPr>
              <w:spacing w:before="60" w:after="60"/>
            </w:pPr>
            <w:r>
              <w:rPr>
                <w:sz w:val="19"/>
              </w:rPr>
            </w:r>
            <w:r>
              <w:rPr>
                <w:sz w:val="19"/>
              </w:rPr>
              <w:t>Defined</w:t>
            </w:r>
          </w:p>
        </w:tc>
      </w:tr>
      <w:tr>
        <w:tc>
          <w:tcPr>
            <w:tcW w:type="dxa" w:w="2304"/>
          </w:tcPr>
          <w:p>
            <w:pPr>
              <w:spacing w:before="60" w:after="60"/>
            </w:pPr>
            <w:r/>
            <w:r>
              <w:rPr>
                <w:rFonts w:ascii="Calibri" w:hAnsi="Calibri"/>
                <w:b/>
                <w:color w:val="141922"/>
                <w:sz w:val="19"/>
              </w:rPr>
              <w:t>AI mock interview</w:t>
            </w:r>
          </w:p>
        </w:tc>
        <w:tc>
          <w:tcPr>
            <w:tcW w:type="dxa" w:w="3744"/>
          </w:tcPr>
          <w:p>
            <w:pPr>
              <w:spacing w:before="60" w:after="60"/>
            </w:pPr>
            <w:r/>
            <w:r>
              <w:rPr>
                <w:rFonts w:ascii="Calibri" w:hAnsi="Calibri"/>
                <w:color w:val="444F60"/>
                <w:sz w:val="19"/>
              </w:rPr>
              <w:t>Candidate, via UPI</w:t>
            </w:r>
          </w:p>
        </w:tc>
        <w:tc>
          <w:tcPr>
            <w:tcW w:type="dxa" w:w="2304"/>
          </w:tcPr>
          <w:p>
            <w:pPr>
              <w:spacing w:before="60" w:after="60"/>
            </w:pPr>
            <w:r>
              <w:rPr>
                <w:sz w:val="19"/>
              </w:rPr>
            </w:r>
            <w:r>
              <w:rPr>
                <w:b/>
                <w:color w:val="9A2820"/>
                <w:sz w:val="19"/>
              </w:rPr>
              <w:t>Price TBD</w:t>
            </w:r>
          </w:p>
        </w:tc>
      </w:tr>
      <w:tr>
        <w:tc>
          <w:tcPr>
            <w:tcW w:type="dxa" w:w="2304"/>
          </w:tcPr>
          <w:p>
            <w:pPr>
              <w:spacing w:before="60" w:after="60"/>
            </w:pPr>
            <w:r/>
            <w:r>
              <w:rPr>
                <w:rFonts w:ascii="Calibri" w:hAnsi="Calibri"/>
                <w:b/>
                <w:color w:val="141922"/>
                <w:sz w:val="19"/>
              </w:rPr>
              <w:t>Candidate unlock</w:t>
            </w:r>
          </w:p>
        </w:tc>
        <w:tc>
          <w:tcPr>
            <w:tcW w:type="dxa" w:w="3744"/>
          </w:tcPr>
          <w:p>
            <w:pPr>
              <w:spacing w:before="60" w:after="60"/>
            </w:pPr>
            <w:r/>
            <w:r>
              <w:rPr>
                <w:rFonts w:ascii="Calibri" w:hAnsi="Calibri"/>
                <w:color w:val="444F60"/>
                <w:sz w:val="19"/>
              </w:rPr>
              <w:t>Employer, per candidate</w:t>
            </w:r>
          </w:p>
        </w:tc>
        <w:tc>
          <w:tcPr>
            <w:tcW w:type="dxa" w:w="2304"/>
          </w:tcPr>
          <w:p>
            <w:pPr>
              <w:spacing w:before="60" w:after="60"/>
            </w:pPr>
            <w:r>
              <w:rPr>
                <w:sz w:val="19"/>
              </w:rPr>
            </w:r>
            <w:r>
              <w:rPr>
                <w:b/>
                <w:color w:val="9A2820"/>
                <w:sz w:val="19"/>
              </w:rPr>
              <w:t>Price &amp; model TBD</w:t>
            </w:r>
          </w:p>
        </w:tc>
      </w:tr>
      <w:tr>
        <w:tc>
          <w:tcPr>
            <w:tcW w:type="dxa" w:w="2304"/>
          </w:tcPr>
          <w:p>
            <w:pPr>
              <w:spacing w:before="60" w:after="60"/>
            </w:pPr>
            <w:r/>
            <w:r>
              <w:rPr>
                <w:rFonts w:ascii="Calibri" w:hAnsi="Calibri"/>
                <w:b/>
                <w:color w:val="141922"/>
                <w:sz w:val="19"/>
              </w:rPr>
              <w:t>Hire event</w:t>
            </w:r>
          </w:p>
        </w:tc>
        <w:tc>
          <w:tcPr>
            <w:tcW w:type="dxa" w:w="3744"/>
          </w:tcPr>
          <w:p>
            <w:pPr>
              <w:spacing w:before="60" w:after="60"/>
            </w:pPr>
            <w:r/>
            <w:r>
              <w:rPr>
                <w:rFonts w:ascii="Calibri" w:hAnsi="Calibri"/>
                <w:color w:val="444F60"/>
                <w:sz w:val="19"/>
              </w:rPr>
              <w:t>Employer, possibly</w:t>
            </w:r>
          </w:p>
        </w:tc>
        <w:tc>
          <w:tcPr>
            <w:tcW w:type="dxa" w:w="2304"/>
          </w:tcPr>
          <w:p>
            <w:pPr>
              <w:spacing w:before="60" w:after="60"/>
            </w:pPr>
            <w:r>
              <w:rPr>
                <w:sz w:val="19"/>
              </w:rPr>
            </w:r>
            <w:r>
              <w:rPr>
                <w:b/>
                <w:color w:val="9A2820"/>
                <w:sz w:val="19"/>
              </w:rPr>
              <w:t>Deferred by client</w:t>
            </w:r>
          </w:p>
        </w:tc>
      </w:tr>
    </w:tbl>
    <w:p>
      <w:pPr>
        <w:spacing w:after="80"/>
      </w:pPr>
    </w:p>
    <w:p>
      <w:r>
        <w:br w:type="page"/>
      </w:r>
    </w:p>
    <w:p>
      <w:pPr>
        <w:pStyle w:val="Heading1"/>
      </w:pPr>
      <w:r>
        <w:t>2.  The nine hard rules</w:t>
      </w:r>
    </w:p>
    <w:p>
      <w:pPr>
        <w:spacing w:after="40"/>
      </w:pPr>
      <w:r>
        <w:rPr>
          <w:b w:val="0"/>
          <w:i/>
          <w:color w:val="707C90"/>
          <w:sz w:val="19"/>
        </w:rPr>
        <w:t>Stated in the PRD as constraints to be treated as binding during build, not guidelines. Each one has an architectural consequence.</w:t>
      </w:r>
    </w:p>
    <w:p>
      <w:pPr>
        <w:spacing w:before="80" w:after="160"/>
        <w:pBdr>
          <w:bottom w:val="single" w:sz="6" w:color="C8CEDA"/>
        </w:pBdr>
      </w:pPr>
    </w:p>
    <w:p>
      <w:pPr>
        <w:spacing w:before="180" w:after="40"/>
        <w:ind w:left="432" w:hanging="432"/>
      </w:pPr>
      <w:r>
        <w:rPr>
          <w:rFonts w:ascii="Consolas" w:hAnsi="Consolas"/>
          <w:b/>
          <w:color w:val="8A6014"/>
          <w:sz w:val="19"/>
        </w:rPr>
        <w:t xml:space="preserve">1.  </w:t>
      </w:r>
      <w:r>
        <w:rPr>
          <w:b/>
          <w:color w:val="141922"/>
        </w:rPr>
        <w:t>The score must be explainable and reproducible.</w:t>
      </w:r>
      <w:r>
        <w:t xml:space="preserve"> It must always be possible to show which factors contributed and by how much.</w:t>
      </w:r>
    </w:p>
    <w:p>
      <w:pPr>
        <w:spacing w:after="80"/>
        <w:ind w:left="432"/>
      </w:pPr>
      <w:r>
        <w:rPr>
          <w:rFonts w:ascii="Consolas" w:hAnsi="Consolas"/>
          <w:color w:val="707C90"/>
          <w:sz w:val="17"/>
        </w:rPr>
        <w:t>→  Every score row stores its resume version + algorithm version and can be recomputed identically. Versioned scoring engine, immutable score history.</w:t>
      </w:r>
    </w:p>
    <w:p>
      <w:pPr>
        <w:spacing w:before="180" w:after="40"/>
        <w:ind w:left="432" w:hanging="432"/>
      </w:pPr>
      <w:r>
        <w:rPr>
          <w:rFonts w:ascii="Consolas" w:hAnsi="Consolas"/>
          <w:b/>
          <w:color w:val="8A6014"/>
          <w:sz w:val="19"/>
        </w:rPr>
        <w:t xml:space="preserve">2.  </w:t>
      </w:r>
      <w:r>
        <w:rPr>
          <w:b/>
          <w:color w:val="141922"/>
        </w:rPr>
        <w:t>Display floor at 680.</w:t>
      </w:r>
      <w:r>
        <w:t xml:space="preserve"> Any calculated score below 680 out of 999 is displayed as 680; the stored value is unchanged.</w:t>
      </w:r>
    </w:p>
    <w:p>
      <w:pPr>
        <w:spacing w:after="80"/>
        <w:ind w:left="432"/>
      </w:pPr>
      <w:r>
        <w:rPr>
          <w:rFonts w:ascii="Consolas" w:hAnsi="Consolas"/>
          <w:color w:val="707C90"/>
          <w:sz w:val="17"/>
        </w:rPr>
        <w:t>→  Two distinct values in the model: calculated_score and display_score. See open question 3.</w:t>
      </w:r>
    </w:p>
    <w:p>
      <w:pPr>
        <w:spacing w:before="180" w:after="40"/>
        <w:ind w:left="432" w:hanging="432"/>
      </w:pPr>
      <w:r>
        <w:rPr>
          <w:rFonts w:ascii="Consolas" w:hAnsi="Consolas"/>
          <w:b/>
          <w:color w:val="8A6014"/>
          <w:sz w:val="19"/>
        </w:rPr>
        <w:t xml:space="preserve">3.  </w:t>
      </w:r>
      <w:r>
        <w:rPr>
          <w:b/>
          <w:color w:val="141922"/>
        </w:rPr>
        <w:t>No human can edit a score. Ever.</w:t>
      </w:r>
      <w:r>
        <w:t xml:space="preserve"> Including internal admin staff. Corrections are made to the underlying resume data, which triggers recalculation.</w:t>
      </w:r>
    </w:p>
    <w:p>
      <w:pPr>
        <w:spacing w:after="80"/>
        <w:ind w:left="432"/>
      </w:pPr>
      <w:r>
        <w:rPr>
          <w:rFonts w:ascii="Consolas" w:hAnsi="Consolas"/>
          <w:color w:val="707C90"/>
          <w:sz w:val="17"/>
        </w:rPr>
        <w:t>→  No override endpoint, no admin field, no manual score editor anywhere in the UI. This is an explicit acceptance criterion.</w:t>
      </w:r>
    </w:p>
    <w:p>
      <w:pPr>
        <w:spacing w:before="180" w:after="40"/>
        <w:ind w:left="432" w:hanging="432"/>
      </w:pPr>
      <w:r>
        <w:rPr>
          <w:rFonts w:ascii="Consolas" w:hAnsi="Consolas"/>
          <w:b/>
          <w:color w:val="8A6014"/>
          <w:sz w:val="19"/>
        </w:rPr>
        <w:t xml:space="preserve">4.  </w:t>
      </w:r>
      <w:r>
        <w:rPr>
          <w:b/>
          <w:color w:val="141922"/>
        </w:rPr>
        <w:t>Paid add-ons must never change the core score</w:t>
      </w:r>
      <w:r>
        <w:t xml:space="preserve"> — and this has to be verifiable, not merely visually true.</w:t>
      </w:r>
    </w:p>
    <w:p>
      <w:pPr>
        <w:spacing w:after="80"/>
        <w:ind w:left="432"/>
      </w:pPr>
      <w:r>
        <w:rPr>
          <w:rFonts w:ascii="Consolas" w:hAnsi="Consolas"/>
          <w:color w:val="707C90"/>
          <w:sz w:val="17"/>
        </w:rPr>
        <w:t>→  Questionnaire and interview results live in separate tables that the scoring engine never reads. Provable by test.</w:t>
      </w:r>
    </w:p>
    <w:p>
      <w:pPr>
        <w:spacing w:before="180" w:after="40"/>
        <w:ind w:left="432" w:hanging="432"/>
      </w:pPr>
      <w:r>
        <w:rPr>
          <w:rFonts w:ascii="Consolas" w:hAnsi="Consolas"/>
          <w:b/>
          <w:color w:val="8A6014"/>
          <w:sz w:val="19"/>
        </w:rPr>
        <w:t xml:space="preserve">5.  </w:t>
      </w:r>
      <w:r>
        <w:rPr>
          <w:b/>
          <w:color w:val="141922"/>
        </w:rPr>
        <w:t>No age-gating.</w:t>
      </w:r>
      <w:r>
        <w:t xml:space="preserve"> No date-of-birth requirement, no 18+ check, not even as a default.</w:t>
      </w:r>
    </w:p>
    <w:p>
      <w:pPr>
        <w:spacing w:after="80"/>
        <w:ind w:left="432"/>
      </w:pPr>
      <w:r>
        <w:rPr>
          <w:rFonts w:ascii="Consolas" w:hAnsi="Consolas"/>
          <w:color w:val="707C90"/>
          <w:sz w:val="17"/>
        </w:rPr>
        <w:t>→  Omit DOB from every schema and form. Auth flows must not collect or check age.</w:t>
      </w:r>
    </w:p>
    <w:p>
      <w:pPr>
        <w:spacing w:before="180" w:after="40"/>
        <w:ind w:left="432" w:hanging="432"/>
      </w:pPr>
      <w:r>
        <w:rPr>
          <w:rFonts w:ascii="Consolas" w:hAnsi="Consolas"/>
          <w:b/>
          <w:color w:val="8A6014"/>
          <w:sz w:val="19"/>
        </w:rPr>
        <w:t xml:space="preserve">6.  </w:t>
      </w:r>
      <w:r>
        <w:rPr>
          <w:b/>
          <w:color w:val="141922"/>
        </w:rPr>
        <w:t>No financial or lending framing anywhere</w:t>
      </w:r>
      <w:r>
        <w:t xml:space="preserve"> — not in user copy, not in variable names, not in internal documentation. Stated as a legal requirement.</w:t>
      </w:r>
    </w:p>
    <w:p>
      <w:pPr>
        <w:spacing w:after="80"/>
        <w:ind w:left="432"/>
      </w:pPr>
      <w:r>
        <w:rPr>
          <w:rFonts w:ascii="Consolas" w:hAnsi="Consolas"/>
          <w:color w:val="707C90"/>
          <w:sz w:val="17"/>
        </w:rPr>
        <w:t>→  Never creditScore or loanEligible. Use candidateScore, scoreBand, threshold. Applies to the codebase, not just the UI.</w:t>
      </w:r>
    </w:p>
    <w:p>
      <w:pPr>
        <w:spacing w:before="180" w:after="40"/>
        <w:ind w:left="432" w:hanging="432"/>
      </w:pPr>
      <w:r>
        <w:rPr>
          <w:rFonts w:ascii="Consolas" w:hAnsi="Consolas"/>
          <w:b/>
          <w:color w:val="8A6014"/>
          <w:sz w:val="19"/>
        </w:rPr>
        <w:t xml:space="preserve">7.  </w:t>
      </w:r>
      <w:r>
        <w:rPr>
          <w:b/>
          <w:color w:val="141922"/>
        </w:rPr>
        <w:t>Employers see masked candidates until they pay to unlock.</w:t>
      </w:r>
      <w:r>
        <w:t xml:space="preserve"> Search results carry score band, general location and skills — never name, phone, email or exact score.</w:t>
      </w:r>
    </w:p>
    <w:p>
      <w:pPr>
        <w:spacing w:after="80"/>
        <w:ind w:left="432"/>
      </w:pPr>
      <w:r>
        <w:rPr>
          <w:rFonts w:ascii="Consolas" w:hAnsi="Consolas"/>
          <w:color w:val="707C90"/>
          <w:sz w:val="17"/>
        </w:rPr>
        <w:t>→  Two separate serializers for the same candidate record, chosen server-side by unlock entitlement.</w:t>
      </w:r>
    </w:p>
    <w:p>
      <w:pPr>
        <w:spacing w:before="180" w:after="40"/>
        <w:ind w:left="432" w:hanging="432"/>
      </w:pPr>
      <w:r>
        <w:rPr>
          <w:rFonts w:ascii="Consolas" w:hAnsi="Consolas"/>
          <w:b/>
          <w:color w:val="8A6014"/>
          <w:sz w:val="19"/>
        </w:rPr>
        <w:t xml:space="preserve">8.  </w:t>
      </w:r>
      <w:r>
        <w:rPr>
          <w:b/>
          <w:color w:val="141922"/>
        </w:rPr>
        <w:t>No job goes live until KYB is approved,</w:t>
      </w:r>
      <w:r>
        <w:t xml:space="preserve"> enforced server-side rather than hidden in the UI.</w:t>
      </w:r>
    </w:p>
    <w:p>
      <w:pPr>
        <w:spacing w:after="80"/>
        <w:ind w:left="432"/>
      </w:pPr>
      <w:r>
        <w:rPr>
          <w:rFonts w:ascii="Consolas" w:hAnsi="Consolas"/>
          <w:color w:val="707C90"/>
          <w:sz w:val="17"/>
        </w:rPr>
        <w:t>→  Publish endpoint checks KYB status and returns KYB_REQUIRED. Must not be bypassable by calling the API directly.</w:t>
      </w:r>
    </w:p>
    <w:p>
      <w:pPr>
        <w:spacing w:before="180" w:after="40"/>
        <w:ind w:left="432" w:hanging="432"/>
      </w:pPr>
      <w:r>
        <w:rPr>
          <w:rFonts w:ascii="Consolas" w:hAnsi="Consolas"/>
          <w:b/>
          <w:color w:val="8A6014"/>
          <w:sz w:val="19"/>
        </w:rPr>
        <w:t xml:space="preserve">9.  </w:t>
      </w:r>
      <w:r>
        <w:rPr>
          <w:b/>
          <w:color w:val="141922"/>
        </w:rPr>
        <w:t>Colleges see aggregates only</w:t>
      </w:r>
      <w:r>
        <w:t xml:space="preserve"> until a student explicitly consents through an invite-and-accept flow. Institution-side bypass is prohibited.</w:t>
      </w:r>
    </w:p>
    <w:p>
      <w:pPr>
        <w:spacing w:after="80"/>
        <w:ind w:left="432"/>
      </w:pPr>
      <w:r>
        <w:rPr>
          <w:rFonts w:ascii="Consolas" w:hAnsi="Consolas"/>
          <w:color w:val="707C90"/>
          <w:sz w:val="17"/>
        </w:rPr>
        <w:t>→  Consent stored with scope, timestamp, version and status; revocable. Two distinct consent scopes — see open question 6.</w:t>
      </w:r>
    </w:p>
    <w:p/>
    <w:tbl>
      <w:tblPr>
        <w:tblStyle w:val="TableGrid"/>
        <w:tblW w:type="auto" w:w="0"/>
        <w:tblLook w:firstColumn="1" w:firstRow="1" w:lastColumn="0" w:lastRow="0" w:noHBand="0" w:noVBand="1" w:val="04A0"/>
      </w:tblPr>
      <w:tblGrid>
        <w:gridCol w:w="9360"/>
      </w:tblGrid>
      <w:tr>
        <w:tc>
          <w:tcPr>
            <w:tcW w:type="dxa" w:w="9360"/>
            <w:shd w:val="clear" w:color="auto" w:fill="F4F6FA"/>
          </w:tcPr>
          <w:p>
            <w:pPr>
              <w:spacing w:before="80" w:after="60"/>
            </w:pPr>
            <w:r/>
            <w:r>
              <w:rPr>
                <w:b/>
                <w:color w:val="1F3A6E"/>
                <w:sz w:val="15"/>
              </w:rPr>
              <w:t>CROSS-CUTTING</w:t>
            </w:r>
          </w:p>
          <w:p>
            <w:pPr>
              <w:spacing w:after="60"/>
            </w:pPr>
            <w:r>
              <w:rPr>
                <w:color w:val="444F60"/>
                <w:sz w:val="19"/>
              </w:rPr>
              <w:t>Every action that reveals private data writes an audit event carrying actor, action, target and timestamp. Employer unlocks and authorized admin drill-downs are named as mandatory audit events. Audit records must be append-only from the normal application path.</w:t>
            </w:r>
          </w:p>
        </w:tc>
      </w:tr>
    </w:tbl>
    <w:p>
      <w:pPr>
        <w:spacing w:after="80"/>
      </w:pPr>
    </w:p>
    <w:p>
      <w:r>
        <w:br w:type="page"/>
      </w:r>
    </w:p>
    <w:p>
      <w:pPr>
        <w:pStyle w:val="Heading1"/>
      </w:pPr>
      <w:r>
        <w:t>3.  End-to-end flows</w:t>
      </w:r>
    </w:p>
    <w:p>
      <w:pPr>
        <w:spacing w:after="40"/>
      </w:pPr>
      <w:r>
        <w:rPr>
          <w:b w:val="0"/>
          <w:i/>
          <w:color w:val="707C90"/>
          <w:sz w:val="19"/>
        </w:rPr>
        <w:t>The four actor journeys as specified, and the state machines underneath them.</w:t>
      </w:r>
    </w:p>
    <w:p>
      <w:pPr>
        <w:spacing w:before="80" w:after="160"/>
        <w:pBdr>
          <w:bottom w:val="single" w:sz="6" w:color="C8CEDA"/>
        </w:pBdr>
      </w:pPr>
    </w:p>
    <w:p>
      <w:pPr>
        <w:pStyle w:val="Heading2"/>
      </w:pPr>
      <w:r>
        <w:t>Candidate</w:t>
      </w:r>
    </w:p>
    <w:p>
      <w:pPr>
        <w:spacing w:after="80"/>
      </w:pPr>
      <w:r>
        <w:rPr>
          <w:b/>
          <w:color w:val="8A6014"/>
          <w:sz w:val="15"/>
        </w:rPr>
        <w:t>MOBILE · PHONE-FIRST</w:t>
      </w:r>
    </w:p>
    <w:p>
      <w:pPr>
        <w:pStyle w:val="ListNumber"/>
      </w:pPr>
      <w:r>
        <w:t>Pick language</w:t>
      </w:r>
    </w:p>
    <w:p>
      <w:pPr>
        <w:pStyle w:val="ListNumber"/>
      </w:pPr>
      <w:r>
        <w:t>Upload resume — PDF, DOC, pasted text, or manual entry</w:t>
      </w:r>
    </w:p>
    <w:p>
      <w:pPr>
        <w:pStyle w:val="ListNumber"/>
      </w:pPr>
      <w:r>
        <w:t>Async parse into structured fields</w:t>
      </w:r>
    </w:p>
    <w:p>
      <w:pPr>
        <w:pStyle w:val="ListNumber"/>
      </w:pPr>
      <w:r>
        <w:t>Mandatory editable review step — parsing is never assumed accurate</w:t>
      </w:r>
    </w:p>
    <w:p>
      <w:pPr>
        <w:pStyle w:val="ListNumber"/>
      </w:pPr>
      <w:r>
        <w:t>Confirm → integrity screening → score computed</w:t>
      </w:r>
    </w:p>
    <w:p>
      <w:pPr>
        <w:pStyle w:val="ListNumber"/>
      </w:pPr>
      <w:r>
        <w:t>See score, category breakdown, improvement suggestions</w:t>
      </w:r>
    </w:p>
    <w:p>
      <w:pPr>
        <w:pStyle w:val="ListNumber"/>
      </w:pPr>
      <w:r>
        <w:t>Only now asked to create an account</w:t>
      </w:r>
    </w:p>
    <w:p>
      <w:pPr>
        <w:pStyle w:val="ListNumber"/>
      </w:pPr>
      <w:r>
        <w:t>Optional questionnaire, optional paid mock interview</w:t>
      </w:r>
    </w:p>
    <w:p>
      <w:pPr>
        <w:pStyle w:val="ListNumber"/>
      </w:pPr>
      <w:r>
        <w:t>Browse jobs — each shows threshold eligibility</w:t>
      </w:r>
    </w:p>
    <w:p>
      <w:pPr>
        <w:pStyle w:val="ListNumber"/>
      </w:pPr>
      <w:r>
        <w:t>Apply, then track on the Application Board</w:t>
      </w:r>
    </w:p>
    <w:p>
      <w:pPr>
        <w:pStyle w:val="Heading2"/>
      </w:pPr>
      <w:r>
        <w:t>Employer</w:t>
      </w:r>
    </w:p>
    <w:p>
      <w:pPr>
        <w:spacing w:after="80"/>
      </w:pPr>
      <w:r>
        <w:rPr>
          <w:b/>
          <w:color w:val="8A6014"/>
          <w:sz w:val="15"/>
        </w:rPr>
        <w:t>DESKTOP WEB · TENANT-SCOPED</w:t>
      </w:r>
    </w:p>
    <w:p>
      <w:pPr>
        <w:pStyle w:val="ListNumber"/>
      </w:pPr>
      <w:r>
        <w:t>Sign up, enable TOTP</w:t>
      </w:r>
    </w:p>
    <w:p>
      <w:pPr>
        <w:pStyle w:val="ListNumber"/>
      </w:pPr>
      <w:r>
        <w:t>Submit KYB documents → admin review → approved</w:t>
      </w:r>
    </w:p>
    <w:p>
      <w:pPr>
        <w:pStyle w:val="ListNumber"/>
      </w:pPr>
      <w:r>
        <w:t>Job Composer — salary range mandatory, minimum score threshold set with a live count-only preview</w:t>
      </w:r>
    </w:p>
    <w:p>
      <w:pPr>
        <w:pStyle w:val="ListNumber"/>
      </w:pPr>
      <w:r>
        <w:t>Publish, gated server-side on KYB</w:t>
      </w:r>
    </w:p>
    <w:p>
      <w:pPr>
        <w:pStyle w:val="ListNumber"/>
      </w:pPr>
      <w:r>
        <w:t>Work applications through five fixed stages</w:t>
      </w:r>
    </w:p>
    <w:p>
      <w:pPr>
        <w:pStyle w:val="ListNumber"/>
      </w:pPr>
      <w:r>
        <w:t>Attach an external meeting link — no in-house video</w:t>
      </w:r>
    </w:p>
    <w:p>
      <w:pPr>
        <w:pStyle w:val="ListNumber"/>
      </w:pPr>
      <w:r>
        <w:t>Candidate Discovery: filter masked pool, pay to unlock</w:t>
      </w:r>
    </w:p>
    <w:p>
      <w:pPr>
        <w:pStyle w:val="ListNumber"/>
      </w:pPr>
      <w:r>
        <w:t>Mark hired — candidate must confirm too</w:t>
      </w:r>
    </w:p>
    <w:p>
      <w:pPr>
        <w:pStyle w:val="Heading2"/>
      </w:pPr>
      <w:r>
        <w:t>College</w:t>
      </w:r>
    </w:p>
    <w:p>
      <w:pPr>
        <w:spacing w:after="80"/>
      </w:pPr>
      <w:r>
        <w:rPr>
          <w:b/>
          <w:color w:val="8A6014"/>
          <w:sz w:val="15"/>
        </w:rPr>
        <w:t>DESKTOP WEB · CONSENT-GATED</w:t>
      </w:r>
    </w:p>
    <w:p>
      <w:pPr>
        <w:pStyle w:val="ListNumber"/>
      </w:pPr>
      <w:r>
        <w:t>Create institution account</w:t>
      </w:r>
    </w:p>
    <w:p>
      <w:pPr>
        <w:pStyle w:val="ListNumber"/>
      </w:pPr>
      <w:r>
        <w:t>Bulk CSV/XLSX roster upload with preview, row validation, duplicate detection</w:t>
      </w:r>
    </w:p>
    <w:p>
      <w:pPr>
        <w:pStyle w:val="ListNumber"/>
      </w:pPr>
      <w:r>
        <w:t>Invitations sent to phone/email</w:t>
      </w:r>
    </w:p>
    <w:p>
      <w:pPr>
        <w:pStyle w:val="ListNumber"/>
      </w:pPr>
      <w:r>
        <w:t>Student consents — no bypass available to staff</w:t>
      </w:r>
    </w:p>
    <w:p>
      <w:pPr>
        <w:pStyle w:val="ListNumber"/>
      </w:pPr>
      <w:r>
        <w:t>Cohort analytics: score distribution, median, application and interview volume</w:t>
      </w:r>
    </w:p>
    <w:p>
      <w:pPr>
        <w:pStyle w:val="ListNumber"/>
      </w:pPr>
      <w:r>
        <w:t>Placement tracking, labeled platform-sourced only</w:t>
      </w:r>
    </w:p>
    <w:p>
      <w:pPr>
        <w:pStyle w:val="Heading2"/>
      </w:pPr>
      <w:r>
        <w:t>Admin</w:t>
      </w:r>
    </w:p>
    <w:p>
      <w:pPr>
        <w:spacing w:after="80"/>
      </w:pPr>
      <w:r>
        <w:rPr>
          <w:b/>
          <w:color w:val="8A6014"/>
          <w:sz w:val="15"/>
        </w:rPr>
        <w:t>DESKTOP WEB · INTERNAL ONLY</w:t>
      </w:r>
    </w:p>
    <w:p>
      <w:pPr>
        <w:pStyle w:val="ListNumber"/>
      </w:pPr>
      <w:r>
        <w:t>KYB queue — approve, reject with reason, or request more information</w:t>
      </w:r>
    </w:p>
    <w:p>
      <w:pPr>
        <w:pStyle w:val="ListNumber"/>
      </w:pPr>
      <w:r>
        <w:t>Integrity queue — high-severity flags suppress a profile from employer search before human review</w:t>
      </w:r>
    </w:p>
    <w:p>
      <w:pPr>
        <w:pStyle w:val="ListNumber"/>
      </w:pPr>
      <w:r>
        <w:t>Candidate, employer and college drill-downs — each access audited</w:t>
      </w:r>
    </w:p>
    <w:p>
      <w:pPr>
        <w:pStyle w:val="ListNumber"/>
      </w:pPr>
      <w:r>
        <w:t>Dispute queue — tickets from all three sides, cross-linked to KYB, integrity, payment, unlock or application records</w:t>
      </w:r>
    </w:p>
    <w:p>
      <w:pPr>
        <w:pStyle w:val="ListNumber"/>
      </w:pPr>
      <w:r>
        <w:t>Searchable audit log by actor, action, target, time</w:t>
      </w:r>
    </w:p>
    <w:p>
      <w:pPr>
        <w:pStyle w:val="Heading3"/>
      </w:pPr>
      <w:r>
        <w:t>Lifecycles to implement</w:t>
      </w:r>
    </w:p>
    <w:p>
      <w:pPr>
        <w:spacing w:after="40"/>
        <w:ind w:left="173"/>
      </w:pPr>
      <w:r>
        <w:rPr>
          <w:b/>
          <w:color w:val="8A6014"/>
          <w:sz w:val="15"/>
        </w:rPr>
        <w:t xml:space="preserve">APPLICATION  </w:t>
      </w:r>
    </w:p>
    <w:p>
      <w:pPr>
        <w:spacing w:after="180"/>
        <w:ind w:left="173"/>
      </w:pPr>
      <w:r>
        <w:rPr>
          <w:rFonts w:ascii="Consolas" w:hAnsi="Consolas"/>
          <w:color w:val="141922"/>
          <w:sz w:val="17"/>
        </w:rPr>
        <w:t>SUBMITTED -&gt; VIEWED -&gt; SHORTLISTED -&gt; INTERVIEW -&gt; DECISION -&gt; HIRED | REJECTED</w:t>
        <w:br/>
        <w:t>also: WITHDRAWN · EXPIRED</w:t>
      </w:r>
    </w:p>
    <w:p>
      <w:pPr>
        <w:spacing w:after="40"/>
        <w:ind w:left="173"/>
      </w:pPr>
      <w:r>
        <w:rPr>
          <w:b/>
          <w:color w:val="8A6014"/>
          <w:sz w:val="15"/>
        </w:rPr>
        <w:t xml:space="preserve">JOB  </w:t>
      </w:r>
    </w:p>
    <w:p>
      <w:pPr>
        <w:spacing w:after="180"/>
        <w:ind w:left="173"/>
      </w:pPr>
      <w:r>
        <w:rPr>
          <w:rFonts w:ascii="Consolas" w:hAnsi="Consolas"/>
          <w:color w:val="141922"/>
          <w:sz w:val="17"/>
        </w:rPr>
        <w:t>DRAFT -&gt; PUBLISHED &lt;-&gt; PAUSED -&gt; CLOSED</w:t>
      </w:r>
    </w:p>
    <w:p>
      <w:pPr>
        <w:spacing w:after="40"/>
        <w:ind w:left="173"/>
      </w:pPr>
      <w:r>
        <w:rPr>
          <w:b/>
          <w:color w:val="8A6014"/>
          <w:sz w:val="15"/>
        </w:rPr>
        <w:t xml:space="preserve">KYB  </w:t>
      </w:r>
    </w:p>
    <w:p>
      <w:pPr>
        <w:spacing w:after="180"/>
        <w:ind w:left="173"/>
      </w:pPr>
      <w:r>
        <w:rPr>
          <w:rFonts w:ascii="Consolas" w:hAnsi="Consolas"/>
          <w:color w:val="141922"/>
          <w:sz w:val="17"/>
        </w:rPr>
        <w:t>DRAFT -&gt; SUBMITTED -&gt; UNDER_REVIEW -&gt; APPROVED | REJECTED | MORE_INFO_REQUIRED</w:t>
      </w:r>
    </w:p>
    <w:p>
      <w:pPr>
        <w:spacing w:after="40"/>
        <w:ind w:left="173"/>
      </w:pPr>
      <w:r>
        <w:rPr>
          <w:b/>
          <w:color w:val="8A6014"/>
          <w:sz w:val="15"/>
        </w:rPr>
        <w:t xml:space="preserve">UNLOCK  </w:t>
      </w:r>
    </w:p>
    <w:p>
      <w:pPr>
        <w:spacing w:after="180"/>
        <w:ind w:left="173"/>
      </w:pPr>
      <w:r>
        <w:rPr>
          <w:rFonts w:ascii="Consolas" w:hAnsi="Consolas"/>
          <w:color w:val="141922"/>
          <w:sz w:val="17"/>
        </w:rPr>
        <w:t>MASKED -&gt; UNLOCK_REQUEST -&gt; AUTHORIZE + BILL -&gt; UNLOCKED + AUDIT_EVENT</w:t>
        <w:br/>
        <w:t>on failure: no reveal, no entitlement</w:t>
      </w:r>
    </w:p>
    <w:p>
      <w:r>
        <w:rPr>
          <w:b w:val="0"/>
          <w:i w:val="0"/>
        </w:rPr>
        <w:t>Applications auto-expire when an employer goes silent past a configured period. Every stage transition is server-validated and written to application history — drag-and-drop is permitted as a UI affordance only if the resulting transition is validated on the server.</w:t>
      </w:r>
    </w:p>
    <w:p>
      <w:r>
        <w:br w:type="page"/>
      </w:r>
    </w:p>
    <w:p>
      <w:pPr>
        <w:pStyle w:val="Heading1"/>
      </w:pPr>
      <w:r>
        <w:t>4.  Authentication</w:t>
      </w:r>
    </w:p>
    <w:p>
      <w:pPr>
        <w:spacing w:after="40"/>
      </w:pPr>
      <w:r>
        <w:rPr>
          <w:b w:val="0"/>
          <w:i/>
          <w:color w:val="707C90"/>
          <w:sz w:val="19"/>
        </w:rPr>
        <w:t>Three distinct auth models, one anonymous-first wrinkle, and an India-specific dependency that sits outside engineering.</w:t>
      </w:r>
    </w:p>
    <w:p>
      <w:pPr>
        <w:spacing w:before="80" w:after="160"/>
        <w:pBdr>
          <w:bottom w:val="single" w:sz="6" w:color="C8CEDA"/>
        </w:pBdr>
      </w:pP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EEF1F5"/>
          </w:tcPr>
          <w:p>
            <w:pPr>
              <w:spacing w:before="60" w:after="60"/>
            </w:pPr>
            <w:r/>
            <w:r>
              <w:rPr>
                <w:rFonts w:ascii="Calibri" w:hAnsi="Calibri"/>
                <w:b/>
                <w:color w:val="707C90"/>
                <w:sz w:val="15"/>
              </w:rPr>
              <w:t>POPULATION</w:t>
            </w:r>
          </w:p>
        </w:tc>
        <w:tc>
          <w:tcPr>
            <w:tcW w:type="dxa" w:w="2880"/>
            <w:shd w:val="clear" w:color="auto" w:fill="EEF1F5"/>
          </w:tcPr>
          <w:p>
            <w:pPr>
              <w:spacing w:before="60" w:after="60"/>
            </w:pPr>
            <w:r/>
            <w:r>
              <w:rPr>
                <w:rFonts w:ascii="Calibri" w:hAnsi="Calibri"/>
                <w:b/>
                <w:color w:val="707C90"/>
                <w:sz w:val="15"/>
              </w:rPr>
              <w:t>METHOD</w:t>
            </w:r>
          </w:p>
        </w:tc>
        <w:tc>
          <w:tcPr>
            <w:tcW w:type="dxa" w:w="4464"/>
            <w:shd w:val="clear" w:color="auto" w:fill="EEF1F5"/>
          </w:tcPr>
          <w:p>
            <w:pPr>
              <w:spacing w:before="60" w:after="60"/>
            </w:pPr>
            <w:r/>
            <w:r>
              <w:rPr>
                <w:rFonts w:ascii="Calibri" w:hAnsi="Calibri"/>
                <w:b/>
                <w:color w:val="707C90"/>
                <w:sz w:val="15"/>
              </w:rPr>
              <w:t>NOTES</w:t>
            </w:r>
          </w:p>
        </w:tc>
      </w:tr>
      <w:tr>
        <w:tc>
          <w:tcPr>
            <w:tcW w:type="dxa" w:w="2160"/>
          </w:tcPr>
          <w:p>
            <w:pPr>
              <w:spacing w:before="60" w:after="60"/>
            </w:pPr>
            <w:r/>
            <w:r>
              <w:rPr>
                <w:rFonts w:ascii="Calibri" w:hAnsi="Calibri"/>
                <w:b/>
                <w:color w:val="141922"/>
                <w:sz w:val="19"/>
              </w:rPr>
              <w:t>Candidates</w:t>
            </w:r>
          </w:p>
        </w:tc>
        <w:tc>
          <w:tcPr>
            <w:tcW w:type="dxa" w:w="2880"/>
          </w:tcPr>
          <w:p>
            <w:pPr>
              <w:spacing w:before="60" w:after="60"/>
            </w:pPr>
            <w:r/>
            <w:r>
              <w:rPr>
                <w:rFonts w:ascii="Calibri" w:hAnsi="Calibri"/>
                <w:color w:val="444F60"/>
                <w:sz w:val="19"/>
              </w:rPr>
              <w:t>Phone OTP primary; Google Sign-In and email as alternatives</w:t>
            </w:r>
          </w:p>
        </w:tc>
        <w:tc>
          <w:tcPr>
            <w:tcW w:type="dxa" w:w="4464"/>
          </w:tcPr>
          <w:p>
            <w:pPr>
              <w:spacing w:before="60" w:after="60"/>
            </w:pPr>
            <w:r/>
            <w:r>
              <w:rPr>
                <w:rFonts w:ascii="Calibri" w:hAnsi="Calibri"/>
                <w:color w:val="444F60"/>
                <w:sz w:val="19"/>
              </w:rPr>
              <w:t>Rate-limited OTP, expired codes non-reusable, language preserved through the flow, no age or DOB field</w:t>
            </w:r>
          </w:p>
        </w:tc>
      </w:tr>
      <w:tr>
        <w:tc>
          <w:tcPr>
            <w:tcW w:type="dxa" w:w="2160"/>
          </w:tcPr>
          <w:p>
            <w:pPr>
              <w:spacing w:before="60" w:after="60"/>
            </w:pPr>
            <w:r/>
            <w:r>
              <w:rPr>
                <w:rFonts w:ascii="Calibri" w:hAnsi="Calibri"/>
                <w:b/>
                <w:color w:val="141922"/>
                <w:sz w:val="19"/>
              </w:rPr>
              <w:t>Employer &amp; College consoles</w:t>
            </w:r>
          </w:p>
        </w:tc>
        <w:tc>
          <w:tcPr>
            <w:tcW w:type="dxa" w:w="2880"/>
          </w:tcPr>
          <w:p>
            <w:pPr>
              <w:spacing w:before="60" w:after="60"/>
            </w:pPr>
            <w:r/>
            <w:r>
              <w:rPr>
                <w:rFonts w:ascii="Calibri" w:hAnsi="Calibri"/>
                <w:color w:val="444F60"/>
                <w:sz w:val="19"/>
              </w:rPr>
              <w:t>Email + password + TOTP (authenticator app, not SMS)</w:t>
            </w:r>
          </w:p>
        </w:tc>
        <w:tc>
          <w:tcPr>
            <w:tcW w:type="dxa" w:w="4464"/>
          </w:tcPr>
          <w:p>
            <w:pPr>
              <w:spacing w:before="60" w:after="60"/>
            </w:pPr>
            <w:r/>
            <w:r>
              <w:rPr>
                <w:rFonts w:ascii="Calibri" w:hAnsi="Calibri"/>
                <w:color w:val="444F60"/>
                <w:sz w:val="19"/>
              </w:rPr>
              <w:t>Roles: Owner / Recruiter / Viewer, and Admin / Staff. Tenant ID must come from the server-side session, never from client input</w:t>
            </w:r>
          </w:p>
        </w:tc>
      </w:tr>
      <w:tr>
        <w:tc>
          <w:tcPr>
            <w:tcW w:type="dxa" w:w="2160"/>
          </w:tcPr>
          <w:p>
            <w:pPr>
              <w:spacing w:before="60" w:after="60"/>
            </w:pPr>
            <w:r/>
            <w:r>
              <w:rPr>
                <w:rFonts w:ascii="Calibri" w:hAnsi="Calibri"/>
                <w:b/>
                <w:color w:val="141922"/>
                <w:sz w:val="19"/>
              </w:rPr>
              <w:t>Admin console</w:t>
            </w:r>
          </w:p>
        </w:tc>
        <w:tc>
          <w:tcPr>
            <w:tcW w:type="dxa" w:w="2880"/>
          </w:tcPr>
          <w:p>
            <w:pPr>
              <w:spacing w:before="60" w:after="60"/>
            </w:pPr>
            <w:r/>
            <w:r>
              <w:rPr>
                <w:rFonts w:ascii="Calibri" w:hAnsi="Calibri"/>
                <w:color w:val="444F60"/>
                <w:sz w:val="19"/>
              </w:rPr>
              <w:t>Email + password + TOTP</w:t>
            </w:r>
          </w:p>
        </w:tc>
        <w:tc>
          <w:tcPr>
            <w:tcW w:type="dxa" w:w="4464"/>
          </w:tcPr>
          <w:p>
            <w:pPr>
              <w:spacing w:before="60" w:after="60"/>
            </w:pPr>
            <w:r/>
            <w:r>
              <w:rPr>
                <w:rFonts w:ascii="Calibri" w:hAnsi="Calibri"/>
                <w:color w:val="444F60"/>
                <w:sz w:val="19"/>
              </w:rPr>
              <w:t>Sub-roles: Platform Admin, KYB Reviewer, Integrity Reviewer, Support Agent — each with different permissions</w:t>
            </w:r>
          </w:p>
        </w:tc>
      </w:tr>
    </w:tbl>
    <w:p>
      <w:pPr>
        <w:spacing w:after="80"/>
      </w:pPr>
    </w:p>
    <w:p>
      <w:pPr>
        <w:pStyle w:val="Heading2"/>
      </w:pPr>
      <w:r>
        <w:t>The anonymous-first wrinkle</w:t>
      </w:r>
    </w:p>
    <w:p>
      <w:r>
        <w:t xml:space="preserve">The PRD requires that a user reach their first score </w:t>
      </w:r>
      <w:r>
        <w:rPr>
          <w:i/>
        </w:rPr>
        <w:t>before</w:t>
      </w:r>
      <w:r>
        <w:t xml:space="preserve"> being asked to create an account. That means a guest session must be able to hold an uploaded resume, parsed data and a computed score, then merge into a real account at signup.</w:t>
      </w:r>
    </w:p>
    <w:p>
      <w:r>
        <w:rPr>
          <w:b w:val="0"/>
          <w:i w:val="0"/>
        </w:rPr>
        <w:t>The consequence is that you are holding personally identifiable information — an entire resume — for an unauthenticated user. Under the DPDP Act that needs a defined retention and purge policy for abandoned guest sessions. Build it in from the start.</w:t>
      </w:r>
    </w:p>
    <w:p>
      <w:pPr>
        <w:pStyle w:val="Heading2"/>
      </w:pPr>
      <w:r>
        <w:t>Recommended approach</w:t>
      </w:r>
    </w:p>
    <w:p>
      <w:r>
        <w:t xml:space="preserve">Given the client's AWS preference: </w:t>
      </w:r>
      <w:r>
        <w:rPr>
          <w:b/>
          <w:color w:val="141922"/>
        </w:rPr>
        <w:t>Amazon Cognito, two user pools.</w:t>
      </w:r>
    </w:p>
    <w:p>
      <w:pPr>
        <w:pStyle w:val="ListBullet"/>
      </w:pPr>
      <w:r>
        <w:rPr>
          <w:b/>
          <w:color w:val="141922"/>
        </w:rPr>
        <w:t xml:space="preserve">Pool A — candidates. </w:t>
      </w:r>
      <w:r>
        <w:t>Custom Auth Challenge flow (DefineAuthChallenge, CreateAuthChallenge, VerifyAuthChallenge Lambda triggers) for phone OTP, with Google as a federated identity provider and email as a third path.</w:t>
      </w:r>
    </w:p>
    <w:p>
      <w:pPr>
        <w:pStyle w:val="ListBullet"/>
      </w:pPr>
      <w:r>
        <w:rPr>
          <w:b/>
          <w:color w:val="141922"/>
        </w:rPr>
        <w:t xml:space="preserve">Pool B — business and admin. </w:t>
      </w:r>
      <w:r>
        <w:t>Username and password with native TOTP MFA, which Cognito supports out of the box. Strong password policy, account lockout, rate limiting.</w:t>
      </w:r>
    </w:p>
    <w:p>
      <w:pPr>
        <w:pStyle w:val="ListBullet"/>
      </w:pPr>
      <w:r>
        <w:rPr>
          <w:b/>
          <w:color w:val="141922"/>
        </w:rPr>
        <w:t xml:space="preserve">Authorization stays in the application database, not in Cognito. </w:t>
      </w:r>
      <w:r>
        <w:t>Roles, tenant membership, permissions, consent records and audit all live in Postgres. Cognito proves who someone is; the API decides what they can do. Encoding multi-tenant RBAC in Cognito groups will not scale to this permission model.</w:t>
      </w:r>
    </w:p>
    <w:tbl>
      <w:tblPr>
        <w:tblStyle w:val="TableGrid"/>
        <w:tblW w:type="auto" w:w="0"/>
        <w:tblLook w:firstColumn="1" w:firstRow="1" w:lastColumn="0" w:lastRow="0" w:noHBand="0" w:noVBand="1" w:val="04A0"/>
      </w:tblPr>
      <w:tblGrid>
        <w:gridCol w:w="9360"/>
      </w:tblGrid>
      <w:tr>
        <w:tc>
          <w:tcPr>
            <w:tcW w:type="dxa" w:w="9360"/>
            <w:shd w:val="clear" w:color="auto" w:fill="FAF1EF"/>
          </w:tcPr>
          <w:p>
            <w:pPr>
              <w:spacing w:before="80" w:after="60"/>
            </w:pPr>
            <w:r/>
            <w:r>
              <w:rPr>
                <w:b/>
                <w:color w:val="9A2820"/>
                <w:sz w:val="15"/>
              </w:rPr>
              <w:t>INDIA-SPECIFIC DEPENDENCY</w:t>
            </w:r>
          </w:p>
          <w:p>
            <w:pPr>
              <w:spacing w:after="60"/>
            </w:pPr>
            <w:r>
              <w:rPr>
                <w:sz w:val="19"/>
              </w:rPr>
              <w:t xml:space="preserve">AWS SNS cannot simply be pointed at Indian numbers for OTP. TRAI requires </w:t>
            </w:r>
            <w:r>
              <w:rPr>
                <w:b/>
                <w:color w:val="141922"/>
                <w:sz w:val="19"/>
              </w:rPr>
              <w:t>DLT registration</w:t>
            </w:r>
            <w:r>
              <w:rPr>
                <w:sz w:val="19"/>
              </w:rPr>
              <w:t>: the client's business entity registers as a Principal Entity, registers the sender ID, and registers every SMS template. This takes days to weeks and only the client can do it.</w:t>
            </w:r>
          </w:p>
          <w:p>
            <w:pPr>
              <w:spacing w:after="60"/>
            </w:pPr>
            <w:r>
              <w:rPr>
                <w:color w:val="444F60"/>
                <w:sz w:val="19"/>
              </w:rPr>
              <w:t>In practice most Indian products use MSG91, Kaleyra or Gupshup instead of SNS. The SRS already lists the OTP provider as TBD behind an adapter — build the adapter, swap the provider later.</w:t>
            </w:r>
          </w:p>
        </w:tc>
      </w:tr>
    </w:tbl>
    <w:p>
      <w:pPr>
        <w:spacing w:after="80"/>
      </w:pPr>
    </w:p>
    <w:p>
      <w:r>
        <w:br w:type="page"/>
      </w:r>
    </w:p>
    <w:p>
      <w:pPr>
        <w:pStyle w:val="Heading1"/>
      </w:pPr>
      <w:r>
        <w:t>5.  AWS architecture</w:t>
      </w:r>
    </w:p>
    <w:p>
      <w:pPr>
        <w:spacing w:after="40"/>
      </w:pPr>
      <w:r>
        <w:rPr>
          <w:b w:val="0"/>
          <w:i/>
          <w:color w:val="707C90"/>
          <w:sz w:val="19"/>
        </w:rPr>
        <w:t>Region ap-south-1 (Mumbai), for India data residency under the DPDP Act 2023 and for latency.</w:t>
      </w:r>
    </w:p>
    <w:p>
      <w:pPr>
        <w:spacing w:before="80" w:after="160"/>
        <w:pBdr>
          <w:bottom w:val="single" w:sz="6" w:color="C8CEDA"/>
        </w:pBdr>
      </w:pPr>
    </w:p>
    <w:tbl>
      <w:tblPr>
        <w:tblStyle w:val="TableGrid"/>
        <w:tblW w:type="auto" w:w="0"/>
        <w:jc w:val="left"/>
        <w:tblLook w:firstColumn="1" w:firstRow="1" w:lastColumn="0" w:lastRow="0" w:noHBand="0" w:noVBand="1" w:val="04A0"/>
      </w:tblPr>
      <w:tblGrid>
        <w:gridCol w:w="3120"/>
        <w:gridCol w:w="3120"/>
        <w:gridCol w:w="3120"/>
      </w:tblGrid>
      <w:tr>
        <w:tc>
          <w:tcPr>
            <w:tcW w:type="dxa" w:w="1800"/>
            <w:shd w:val="clear" w:color="auto" w:fill="EEF1F5"/>
          </w:tcPr>
          <w:p>
            <w:pPr>
              <w:spacing w:before="60" w:after="60"/>
            </w:pPr>
            <w:r/>
            <w:r>
              <w:rPr>
                <w:rFonts w:ascii="Calibri" w:hAnsi="Calibri"/>
                <w:b/>
                <w:color w:val="707C90"/>
                <w:sz w:val="15"/>
              </w:rPr>
              <w:t>LAYER</w:t>
            </w:r>
          </w:p>
        </w:tc>
        <w:tc>
          <w:tcPr>
            <w:tcW w:type="dxa" w:w="2808"/>
            <w:shd w:val="clear" w:color="auto" w:fill="EEF1F5"/>
          </w:tcPr>
          <w:p>
            <w:pPr>
              <w:spacing w:before="60" w:after="60"/>
            </w:pPr>
            <w:r/>
            <w:r>
              <w:rPr>
                <w:rFonts w:ascii="Calibri" w:hAnsi="Calibri"/>
                <w:b/>
                <w:color w:val="707C90"/>
                <w:sz w:val="15"/>
              </w:rPr>
              <w:t>SERVICE</w:t>
            </w:r>
          </w:p>
        </w:tc>
        <w:tc>
          <w:tcPr>
            <w:tcW w:type="dxa" w:w="4896"/>
            <w:shd w:val="clear" w:color="auto" w:fill="EEF1F5"/>
          </w:tcPr>
          <w:p>
            <w:pPr>
              <w:spacing w:before="60" w:after="60"/>
            </w:pPr>
            <w:r/>
            <w:r>
              <w:rPr>
                <w:rFonts w:ascii="Calibri" w:hAnsi="Calibri"/>
                <w:b/>
                <w:color w:val="707C90"/>
                <w:sz w:val="15"/>
              </w:rPr>
              <w:t>WHY</w:t>
            </w:r>
          </w:p>
        </w:tc>
      </w:tr>
      <w:tr>
        <w:tc>
          <w:tcPr>
            <w:tcW w:type="dxa" w:w="1800"/>
          </w:tcPr>
          <w:p>
            <w:pPr>
              <w:spacing w:before="60" w:after="60"/>
            </w:pPr>
            <w:r/>
            <w:r>
              <w:rPr>
                <w:rFonts w:ascii="Calibri" w:hAnsi="Calibri"/>
                <w:b/>
                <w:color w:val="141922"/>
                <w:sz w:val="19"/>
              </w:rPr>
              <w:t>API</w:t>
            </w:r>
          </w:p>
        </w:tc>
        <w:tc>
          <w:tcPr>
            <w:tcW w:type="dxa" w:w="2808"/>
          </w:tcPr>
          <w:p>
            <w:pPr>
              <w:spacing w:before="60" w:after="60"/>
            </w:pPr>
            <w:r/>
            <w:r>
              <w:rPr>
                <w:rFonts w:ascii="Calibri" w:hAnsi="Calibri"/>
                <w:color w:val="444F60"/>
                <w:sz w:val="19"/>
              </w:rPr>
              <w:t>ECS Fargate behind an ALB</w:t>
            </w:r>
          </w:p>
        </w:tc>
        <w:tc>
          <w:tcPr>
            <w:tcW w:type="dxa" w:w="4896"/>
          </w:tcPr>
          <w:p>
            <w:pPr>
              <w:spacing w:before="60" w:after="60"/>
            </w:pPr>
            <w:r/>
            <w:r>
              <w:rPr>
                <w:rFonts w:ascii="Calibri" w:hAnsi="Calibri"/>
                <w:color w:val="444F60"/>
                <w:sz w:val="19"/>
              </w:rPr>
              <w:t>Preferred over Lambda: no cold starts on the scoring path, long-lived connections, simpler local development</w:t>
            </w:r>
          </w:p>
        </w:tc>
      </w:tr>
      <w:tr>
        <w:tc>
          <w:tcPr>
            <w:tcW w:type="dxa" w:w="1800"/>
          </w:tcPr>
          <w:p>
            <w:pPr>
              <w:spacing w:before="60" w:after="60"/>
            </w:pPr>
            <w:r/>
            <w:r>
              <w:rPr>
                <w:rFonts w:ascii="Calibri" w:hAnsi="Calibri"/>
                <w:b/>
                <w:color w:val="141922"/>
                <w:sz w:val="19"/>
              </w:rPr>
              <w:t>Async work</w:t>
            </w:r>
          </w:p>
        </w:tc>
        <w:tc>
          <w:tcPr>
            <w:tcW w:type="dxa" w:w="2808"/>
          </w:tcPr>
          <w:p>
            <w:pPr>
              <w:spacing w:before="60" w:after="60"/>
            </w:pPr>
            <w:r/>
            <w:r>
              <w:rPr>
                <w:rFonts w:ascii="Calibri" w:hAnsi="Calibri"/>
                <w:color w:val="444F60"/>
                <w:sz w:val="19"/>
              </w:rPr>
              <w:t>SQS + worker services; EventBridge; Step Functions</w:t>
            </w:r>
          </w:p>
        </w:tc>
        <w:tc>
          <w:tcPr>
            <w:tcW w:type="dxa" w:w="4896"/>
          </w:tcPr>
          <w:p>
            <w:pPr>
              <w:spacing w:before="60" w:after="60"/>
            </w:pPr>
            <w:r/>
            <w:r>
              <w:rPr>
                <w:rFonts w:ascii="Calibri" w:hAnsi="Calibri"/>
                <w:color w:val="444F60"/>
                <w:sz w:val="19"/>
              </w:rPr>
              <w:t>Resume parsing, scoring, integrity screening, roster imports, notifications, exports and deletions all run out-of-band. Step Functions for the interview evaluation pipeline</w:t>
            </w:r>
          </w:p>
        </w:tc>
      </w:tr>
      <w:tr>
        <w:tc>
          <w:tcPr>
            <w:tcW w:type="dxa" w:w="1800"/>
          </w:tcPr>
          <w:p>
            <w:pPr>
              <w:spacing w:before="60" w:after="60"/>
            </w:pPr>
            <w:r/>
            <w:r>
              <w:rPr>
                <w:rFonts w:ascii="Calibri" w:hAnsi="Calibri"/>
                <w:b/>
                <w:color w:val="141922"/>
                <w:sz w:val="19"/>
              </w:rPr>
              <w:t>Database</w:t>
            </w:r>
          </w:p>
        </w:tc>
        <w:tc>
          <w:tcPr>
            <w:tcW w:type="dxa" w:w="2808"/>
          </w:tcPr>
          <w:p>
            <w:pPr>
              <w:spacing w:before="60" w:after="60"/>
            </w:pPr>
            <w:r/>
            <w:r>
              <w:rPr>
                <w:rFonts w:ascii="Calibri" w:hAnsi="Calibri"/>
                <w:color w:val="444F60"/>
                <w:sz w:val="19"/>
              </w:rPr>
              <w:t>RDS PostgreSQL, Multi-AZ</w:t>
            </w:r>
          </w:p>
        </w:tc>
        <w:tc>
          <w:tcPr>
            <w:tcW w:type="dxa" w:w="4896"/>
          </w:tcPr>
          <w:p>
            <w:pPr>
              <w:spacing w:before="60" w:after="60"/>
            </w:pPr>
            <w:r/>
            <w:r>
              <w:rPr>
                <w:rFonts w:ascii="Calibri" w:hAnsi="Calibri"/>
                <w:color w:val="444F60"/>
                <w:sz w:val="19"/>
              </w:rPr>
              <w:t>Relational integrity for the marketplace, JSONB for parsed resume payloads, and Row-Level Security as a second line of defense on tenant isolation</w:t>
            </w:r>
          </w:p>
        </w:tc>
      </w:tr>
      <w:tr>
        <w:tc>
          <w:tcPr>
            <w:tcW w:type="dxa" w:w="1800"/>
          </w:tcPr>
          <w:p>
            <w:pPr>
              <w:spacing w:before="60" w:after="60"/>
            </w:pPr>
            <w:r/>
            <w:r>
              <w:rPr>
                <w:rFonts w:ascii="Calibri" w:hAnsi="Calibri"/>
                <w:b/>
                <w:color w:val="141922"/>
                <w:sz w:val="19"/>
              </w:rPr>
              <w:t>Cache</w:t>
            </w:r>
          </w:p>
        </w:tc>
        <w:tc>
          <w:tcPr>
            <w:tcW w:type="dxa" w:w="2808"/>
          </w:tcPr>
          <w:p>
            <w:pPr>
              <w:spacing w:before="60" w:after="60"/>
            </w:pPr>
            <w:r/>
            <w:r>
              <w:rPr>
                <w:rFonts w:ascii="Calibri" w:hAnsi="Calibri"/>
                <w:color w:val="444F60"/>
                <w:sz w:val="19"/>
              </w:rPr>
              <w:t>ElastiCache Redis</w:t>
            </w:r>
          </w:p>
        </w:tc>
        <w:tc>
          <w:tcPr>
            <w:tcW w:type="dxa" w:w="4896"/>
          </w:tcPr>
          <w:p>
            <w:pPr>
              <w:spacing w:before="60" w:after="60"/>
            </w:pPr>
            <w:r/>
            <w:r>
              <w:rPr>
                <w:rFonts w:ascii="Calibri" w:hAnsi="Calibri"/>
                <w:color w:val="444F60"/>
                <w:sz w:val="19"/>
              </w:rPr>
              <w:t>Sessions, OTP rate limiting, idempotency keys, hot reads</w:t>
            </w:r>
          </w:p>
        </w:tc>
      </w:tr>
      <w:tr>
        <w:tc>
          <w:tcPr>
            <w:tcW w:type="dxa" w:w="1800"/>
          </w:tcPr>
          <w:p>
            <w:pPr>
              <w:spacing w:before="60" w:after="60"/>
            </w:pPr>
            <w:r/>
            <w:r>
              <w:rPr>
                <w:rFonts w:ascii="Calibri" w:hAnsi="Calibri"/>
                <w:b/>
                <w:color w:val="141922"/>
                <w:sz w:val="19"/>
              </w:rPr>
              <w:t>Search</w:t>
            </w:r>
          </w:p>
        </w:tc>
        <w:tc>
          <w:tcPr>
            <w:tcW w:type="dxa" w:w="2808"/>
          </w:tcPr>
          <w:p>
            <w:pPr>
              <w:spacing w:before="60" w:after="60"/>
            </w:pPr>
            <w:r/>
            <w:r>
              <w:rPr>
                <w:rFonts w:ascii="Calibri" w:hAnsi="Calibri"/>
                <w:color w:val="444F60"/>
                <w:sz w:val="19"/>
              </w:rPr>
              <w:t>Postgres full-text + pg_trgm at MVP</w:t>
            </w:r>
          </w:p>
        </w:tc>
        <w:tc>
          <w:tcPr>
            <w:tcW w:type="dxa" w:w="4896"/>
          </w:tcPr>
          <w:p>
            <w:pPr>
              <w:spacing w:before="60" w:after="60"/>
            </w:pPr>
            <w:r/>
            <w:r>
              <w:rPr>
                <w:rFonts w:ascii="Calibri" w:hAnsi="Calibri"/>
                <w:color w:val="444F60"/>
                <w:sz w:val="19"/>
              </w:rPr>
              <w:t>Filters are score band, skills, location — Postgres handles this well. Move to OpenSearch only when the pool justifies it; don't pay that cost on day one</w:t>
            </w:r>
          </w:p>
        </w:tc>
      </w:tr>
      <w:tr>
        <w:tc>
          <w:tcPr>
            <w:tcW w:type="dxa" w:w="1800"/>
          </w:tcPr>
          <w:p>
            <w:pPr>
              <w:spacing w:before="60" w:after="60"/>
            </w:pPr>
            <w:r/>
            <w:r>
              <w:rPr>
                <w:rFonts w:ascii="Calibri" w:hAnsi="Calibri"/>
                <w:b/>
                <w:color w:val="141922"/>
                <w:sz w:val="19"/>
              </w:rPr>
              <w:t>Storage</w:t>
            </w:r>
          </w:p>
        </w:tc>
        <w:tc>
          <w:tcPr>
            <w:tcW w:type="dxa" w:w="2808"/>
          </w:tcPr>
          <w:p>
            <w:pPr>
              <w:spacing w:before="60" w:after="60"/>
            </w:pPr>
            <w:r/>
            <w:r>
              <w:rPr>
                <w:rFonts w:ascii="Calibri" w:hAnsi="Calibri"/>
                <w:color w:val="444F60"/>
                <w:sz w:val="19"/>
              </w:rPr>
              <w:t>S3, private, SSE-KMS</w:t>
            </w:r>
          </w:p>
        </w:tc>
        <w:tc>
          <w:tcPr>
            <w:tcW w:type="dxa" w:w="4896"/>
          </w:tcPr>
          <w:p>
            <w:pPr>
              <w:spacing w:before="60" w:after="60"/>
            </w:pPr>
            <w:r/>
            <w:r>
              <w:rPr>
                <w:rFonts w:ascii="Calibri" w:hAnsi="Calibri"/>
                <w:color w:val="444F60"/>
                <w:sz w:val="19"/>
              </w:rPr>
              <w:t>Separate buckets for resumes, KYB documents, interview audio, data exports. Access only through short-lived presigned URLs. Object Lock for audit archives. No public bucket, ever</w:t>
            </w:r>
          </w:p>
        </w:tc>
      </w:tr>
      <w:tr>
        <w:tc>
          <w:tcPr>
            <w:tcW w:type="dxa" w:w="1800"/>
          </w:tcPr>
          <w:p>
            <w:pPr>
              <w:spacing w:before="60" w:after="60"/>
            </w:pPr>
            <w:r/>
            <w:r>
              <w:rPr>
                <w:rFonts w:ascii="Calibri" w:hAnsi="Calibri"/>
                <w:b/>
                <w:color w:val="141922"/>
                <w:sz w:val="19"/>
              </w:rPr>
              <w:t>Delivery</w:t>
            </w:r>
          </w:p>
        </w:tc>
        <w:tc>
          <w:tcPr>
            <w:tcW w:type="dxa" w:w="2808"/>
          </w:tcPr>
          <w:p>
            <w:pPr>
              <w:spacing w:before="60" w:after="60"/>
            </w:pPr>
            <w:r/>
            <w:r>
              <w:rPr>
                <w:rFonts w:ascii="Calibri" w:hAnsi="Calibri"/>
                <w:color w:val="444F60"/>
                <w:sz w:val="19"/>
              </w:rPr>
              <w:t>CloudFront over S3</w:t>
            </w:r>
          </w:p>
        </w:tc>
        <w:tc>
          <w:tcPr>
            <w:tcW w:type="dxa" w:w="4896"/>
          </w:tcPr>
          <w:p>
            <w:pPr>
              <w:spacing w:before="60" w:after="60"/>
            </w:pPr>
            <w:r/>
            <w:r>
              <w:rPr>
                <w:rFonts w:ascii="Calibri" w:hAnsi="Calibri"/>
                <w:color w:val="444F60"/>
                <w:sz w:val="19"/>
              </w:rPr>
              <w:t>Static builds for the three web consoles</w:t>
            </w:r>
          </w:p>
        </w:tc>
      </w:tr>
      <w:tr>
        <w:tc>
          <w:tcPr>
            <w:tcW w:type="dxa" w:w="1800"/>
          </w:tcPr>
          <w:p>
            <w:pPr>
              <w:spacing w:before="60" w:after="60"/>
            </w:pPr>
            <w:r/>
            <w:r>
              <w:rPr>
                <w:rFonts w:ascii="Calibri" w:hAnsi="Calibri"/>
                <w:b/>
                <w:color w:val="141922"/>
                <w:sz w:val="19"/>
              </w:rPr>
              <w:t>Resume parsing</w:t>
            </w:r>
          </w:p>
        </w:tc>
        <w:tc>
          <w:tcPr>
            <w:tcW w:type="dxa" w:w="2808"/>
          </w:tcPr>
          <w:p>
            <w:pPr>
              <w:spacing w:before="60" w:after="60"/>
            </w:pPr>
            <w:r/>
            <w:r>
              <w:rPr>
                <w:rFonts w:ascii="Calibri" w:hAnsi="Calibri"/>
                <w:color w:val="444F60"/>
                <w:sz w:val="19"/>
              </w:rPr>
              <w:t>Textract, or Tika/pdfplumber</w:t>
            </w:r>
          </w:p>
        </w:tc>
        <w:tc>
          <w:tcPr>
            <w:tcW w:type="dxa" w:w="4896"/>
          </w:tcPr>
          <w:p>
            <w:pPr>
              <w:spacing w:before="60" w:after="60"/>
            </w:pPr>
            <w:r/>
            <w:r>
              <w:rPr>
                <w:rFonts w:ascii="Calibri" w:hAnsi="Calibri"/>
                <w:color w:val="444F60"/>
                <w:sz w:val="19"/>
              </w:rPr>
              <w:t>Textract handles scanned PDFs; native-PDF-only extraction is far cheaper</w:t>
            </w:r>
          </w:p>
        </w:tc>
      </w:tr>
      <w:tr>
        <w:tc>
          <w:tcPr>
            <w:tcW w:type="dxa" w:w="1800"/>
          </w:tcPr>
          <w:p>
            <w:pPr>
              <w:spacing w:before="60" w:after="60"/>
            </w:pPr>
            <w:r/>
            <w:r>
              <w:rPr>
                <w:rFonts w:ascii="Calibri" w:hAnsi="Calibri"/>
                <w:b/>
                <w:color w:val="141922"/>
                <w:sz w:val="19"/>
              </w:rPr>
              <w:t>Resume structuring</w:t>
            </w:r>
          </w:p>
        </w:tc>
        <w:tc>
          <w:tcPr>
            <w:tcW w:type="dxa" w:w="2808"/>
          </w:tcPr>
          <w:p>
            <w:pPr>
              <w:spacing w:before="60" w:after="60"/>
            </w:pPr>
            <w:r/>
            <w:r>
              <w:rPr>
                <w:rFonts w:ascii="Calibri" w:hAnsi="Calibri"/>
                <w:color w:val="444F60"/>
                <w:sz w:val="19"/>
              </w:rPr>
              <w:t>Bedrock (Claude)</w:t>
            </w:r>
          </w:p>
        </w:tc>
        <w:tc>
          <w:tcPr>
            <w:tcW w:type="dxa" w:w="4896"/>
          </w:tcPr>
          <w:p>
            <w:pPr>
              <w:spacing w:before="60" w:after="60"/>
            </w:pPr>
            <w:r/>
            <w:r>
              <w:rPr>
                <w:rFonts w:ascii="Calibri" w:hAnsi="Calibri"/>
                <w:color w:val="444F60"/>
                <w:sz w:val="19"/>
              </w:rPr>
              <w:t>Turning extracted text into structured fields — parsing only</w:t>
            </w:r>
          </w:p>
        </w:tc>
      </w:tr>
      <w:tr>
        <w:tc>
          <w:tcPr>
            <w:tcW w:type="dxa" w:w="1800"/>
          </w:tcPr>
          <w:p>
            <w:pPr>
              <w:spacing w:before="60" w:after="60"/>
            </w:pPr>
            <w:r/>
            <w:r>
              <w:rPr>
                <w:rFonts w:ascii="Calibri" w:hAnsi="Calibri"/>
                <w:b/>
                <w:color w:val="141922"/>
                <w:sz w:val="19"/>
              </w:rPr>
              <w:t>Scoring engine</w:t>
            </w:r>
          </w:p>
        </w:tc>
        <w:tc>
          <w:tcPr>
            <w:tcW w:type="dxa" w:w="2808"/>
          </w:tcPr>
          <w:p>
            <w:pPr>
              <w:spacing w:before="60" w:after="60"/>
            </w:pPr>
            <w:r/>
            <w:r>
              <w:rPr>
                <w:rFonts w:ascii="Calibri" w:hAnsi="Calibri"/>
                <w:color w:val="444F60"/>
                <w:sz w:val="19"/>
              </w:rPr>
              <w:t>Deterministic application code</w:t>
            </w:r>
          </w:p>
        </w:tc>
        <w:tc>
          <w:tcPr>
            <w:tcW w:type="dxa" w:w="4896"/>
          </w:tcPr>
          <w:p>
            <w:pPr>
              <w:spacing w:before="60" w:after="60"/>
            </w:pPr>
            <w:r/>
            <w:r>
              <w:rPr>
                <w:rFonts w:ascii="Calibri" w:hAnsi="Calibri"/>
                <w:color w:val="444F60"/>
                <w:sz w:val="19"/>
              </w:rPr>
              <w:t>Not an LLM. Rule 1 demands reproducibility, which a language model cannot guarantee</w:t>
            </w:r>
          </w:p>
        </w:tc>
      </w:tr>
      <w:tr>
        <w:tc>
          <w:tcPr>
            <w:tcW w:type="dxa" w:w="1800"/>
          </w:tcPr>
          <w:p>
            <w:pPr>
              <w:spacing w:before="60" w:after="60"/>
            </w:pPr>
            <w:r/>
            <w:r>
              <w:rPr>
                <w:rFonts w:ascii="Calibri" w:hAnsi="Calibri"/>
                <w:b/>
                <w:color w:val="141922"/>
                <w:sz w:val="19"/>
              </w:rPr>
              <w:t>Interview pipeline</w:t>
            </w:r>
          </w:p>
        </w:tc>
        <w:tc>
          <w:tcPr>
            <w:tcW w:type="dxa" w:w="2808"/>
          </w:tcPr>
          <w:p>
            <w:pPr>
              <w:spacing w:before="60" w:after="60"/>
            </w:pPr>
            <w:r/>
            <w:r>
              <w:rPr>
                <w:rFonts w:ascii="Calibri" w:hAnsi="Calibri"/>
                <w:color w:val="444F60"/>
                <w:sz w:val="19"/>
              </w:rPr>
              <w:t>Transcribe + Bedrock</w:t>
            </w:r>
          </w:p>
        </w:tc>
        <w:tc>
          <w:tcPr>
            <w:tcW w:type="dxa" w:w="4896"/>
          </w:tcPr>
          <w:p>
            <w:pPr>
              <w:spacing w:before="60" w:after="60"/>
            </w:pPr>
            <w:r/>
            <w:r>
              <w:rPr>
                <w:rFonts w:ascii="Calibri" w:hAnsi="Calibri"/>
                <w:color w:val="444F60"/>
                <w:sz w:val="19"/>
              </w:rPr>
              <w:t>Transcribe supports Indian English and Hindi; Bedrock applies the rubric</w:t>
            </w:r>
          </w:p>
        </w:tc>
      </w:tr>
      <w:tr>
        <w:tc>
          <w:tcPr>
            <w:tcW w:type="dxa" w:w="1800"/>
          </w:tcPr>
          <w:p>
            <w:pPr>
              <w:spacing w:before="60" w:after="60"/>
            </w:pPr>
            <w:r/>
            <w:r>
              <w:rPr>
                <w:rFonts w:ascii="Calibri" w:hAnsi="Calibri"/>
                <w:b/>
                <w:color w:val="141922"/>
                <w:sz w:val="19"/>
              </w:rPr>
              <w:t>Email</w:t>
            </w:r>
          </w:p>
        </w:tc>
        <w:tc>
          <w:tcPr>
            <w:tcW w:type="dxa" w:w="2808"/>
          </w:tcPr>
          <w:p>
            <w:pPr>
              <w:spacing w:before="60" w:after="60"/>
            </w:pPr>
            <w:r/>
            <w:r>
              <w:rPr>
                <w:rFonts w:ascii="Calibri" w:hAnsi="Calibri"/>
                <w:color w:val="444F60"/>
                <w:sz w:val="19"/>
              </w:rPr>
              <w:t>SES</w:t>
            </w:r>
          </w:p>
        </w:tc>
        <w:tc>
          <w:tcPr>
            <w:tcW w:type="dxa" w:w="4896"/>
          </w:tcPr>
          <w:p>
            <w:pPr>
              <w:spacing w:before="60" w:after="60"/>
            </w:pPr>
            <w:r/>
            <w:r>
              <w:rPr>
                <w:rFonts w:ascii="Calibri" w:hAnsi="Calibri"/>
                <w:color w:val="444F60"/>
                <w:sz w:val="19"/>
              </w:rPr>
              <w:t>Needs domain verification and a production-access request</w:t>
            </w:r>
          </w:p>
        </w:tc>
      </w:tr>
      <w:tr>
        <w:tc>
          <w:tcPr>
            <w:tcW w:type="dxa" w:w="1800"/>
          </w:tcPr>
          <w:p>
            <w:pPr>
              <w:spacing w:before="60" w:after="60"/>
            </w:pPr>
            <w:r/>
            <w:r>
              <w:rPr>
                <w:rFonts w:ascii="Calibri" w:hAnsi="Calibri"/>
                <w:b/>
                <w:color w:val="141922"/>
                <w:sz w:val="19"/>
              </w:rPr>
              <w:t>Push</w:t>
            </w:r>
          </w:p>
        </w:tc>
        <w:tc>
          <w:tcPr>
            <w:tcW w:type="dxa" w:w="2808"/>
          </w:tcPr>
          <w:p>
            <w:pPr>
              <w:spacing w:before="60" w:after="60"/>
            </w:pPr>
            <w:r/>
            <w:r>
              <w:rPr>
                <w:rFonts w:ascii="Calibri" w:hAnsi="Calibri"/>
                <w:color w:val="444F60"/>
                <w:sz w:val="19"/>
              </w:rPr>
              <w:t>SNS / Pinpoint, or FCM and APNs directly</w:t>
            </w:r>
          </w:p>
        </w:tc>
        <w:tc>
          <w:tcPr>
            <w:tcW w:type="dxa" w:w="4896"/>
          </w:tcPr>
          <w:p>
            <w:pPr>
              <w:spacing w:before="60" w:after="60"/>
            </w:pPr>
            <w:r/>
            <w:r>
              <w:rPr>
                <w:rFonts w:ascii="Calibri" w:hAnsi="Calibri"/>
                <w:color w:val="444F60"/>
                <w:sz w:val="19"/>
              </w:rPr>
              <w:t>—</w:t>
            </w:r>
          </w:p>
        </w:tc>
      </w:tr>
      <w:tr>
        <w:tc>
          <w:tcPr>
            <w:tcW w:type="dxa" w:w="1800"/>
          </w:tcPr>
          <w:p>
            <w:pPr>
              <w:spacing w:before="60" w:after="60"/>
            </w:pPr>
            <w:r/>
            <w:r>
              <w:rPr>
                <w:rFonts w:ascii="Calibri" w:hAnsi="Calibri"/>
                <w:b/>
                <w:color w:val="141922"/>
                <w:sz w:val="19"/>
              </w:rPr>
              <w:t>SMS</w:t>
            </w:r>
          </w:p>
        </w:tc>
        <w:tc>
          <w:tcPr>
            <w:tcW w:type="dxa" w:w="2808"/>
          </w:tcPr>
          <w:p>
            <w:pPr>
              <w:spacing w:before="60" w:after="60"/>
            </w:pPr>
            <w:r/>
            <w:r>
              <w:rPr>
                <w:rFonts w:ascii="Calibri" w:hAnsi="Calibri"/>
                <w:color w:val="444F60"/>
                <w:sz w:val="19"/>
              </w:rPr>
              <w:t>DLT-registered Indian provider</w:t>
            </w:r>
          </w:p>
        </w:tc>
        <w:tc>
          <w:tcPr>
            <w:tcW w:type="dxa" w:w="4896"/>
          </w:tcPr>
          <w:p>
            <w:pPr>
              <w:spacing w:before="60" w:after="60"/>
            </w:pPr>
            <w:r/>
            <w:r>
              <w:rPr>
                <w:rFonts w:ascii="Calibri" w:hAnsi="Calibri"/>
                <w:color w:val="444F60"/>
                <w:sz w:val="19"/>
              </w:rPr>
              <w:t>Not SNS — see the authentication section</w:t>
            </w:r>
          </w:p>
        </w:tc>
      </w:tr>
      <w:tr>
        <w:tc>
          <w:tcPr>
            <w:tcW w:type="dxa" w:w="1800"/>
          </w:tcPr>
          <w:p>
            <w:pPr>
              <w:spacing w:before="60" w:after="60"/>
            </w:pPr>
            <w:r/>
            <w:r>
              <w:rPr>
                <w:rFonts w:ascii="Calibri" w:hAnsi="Calibri"/>
                <w:b/>
                <w:color w:val="141922"/>
                <w:sz w:val="19"/>
              </w:rPr>
              <w:t>Secrets &amp; keys</w:t>
            </w:r>
          </w:p>
        </w:tc>
        <w:tc>
          <w:tcPr>
            <w:tcW w:type="dxa" w:w="2808"/>
          </w:tcPr>
          <w:p>
            <w:pPr>
              <w:spacing w:before="60" w:after="60"/>
            </w:pPr>
            <w:r/>
            <w:r>
              <w:rPr>
                <w:rFonts w:ascii="Calibri" w:hAnsi="Calibri"/>
                <w:color w:val="444F60"/>
                <w:sz w:val="19"/>
              </w:rPr>
              <w:t>Secrets Manager, KMS</w:t>
            </w:r>
          </w:p>
        </w:tc>
        <w:tc>
          <w:tcPr>
            <w:tcW w:type="dxa" w:w="4896"/>
          </w:tcPr>
          <w:p>
            <w:pPr>
              <w:spacing w:before="60" w:after="60"/>
            </w:pPr>
            <w:r/>
            <w:r>
              <w:rPr>
                <w:rFonts w:ascii="Calibri" w:hAnsi="Calibri"/>
                <w:color w:val="444F60"/>
                <w:sz w:val="19"/>
              </w:rPr>
              <w:t>—</w:t>
            </w:r>
          </w:p>
        </w:tc>
      </w:tr>
      <w:tr>
        <w:tc>
          <w:tcPr>
            <w:tcW w:type="dxa" w:w="1800"/>
          </w:tcPr>
          <w:p>
            <w:pPr>
              <w:spacing w:before="60" w:after="60"/>
            </w:pPr>
            <w:r/>
            <w:r>
              <w:rPr>
                <w:rFonts w:ascii="Calibri" w:hAnsi="Calibri"/>
                <w:b/>
                <w:color w:val="141922"/>
                <w:sz w:val="19"/>
              </w:rPr>
              <w:t>Security</w:t>
            </w:r>
          </w:p>
        </w:tc>
        <w:tc>
          <w:tcPr>
            <w:tcW w:type="dxa" w:w="2808"/>
          </w:tcPr>
          <w:p>
            <w:pPr>
              <w:spacing w:before="60" w:after="60"/>
            </w:pPr>
            <w:r/>
            <w:r>
              <w:rPr>
                <w:rFonts w:ascii="Calibri" w:hAnsi="Calibri"/>
                <w:color w:val="444F60"/>
                <w:sz w:val="19"/>
              </w:rPr>
              <w:t>WAF on the ALB, GuardDuty, CloudTrail</w:t>
            </w:r>
          </w:p>
        </w:tc>
        <w:tc>
          <w:tcPr>
            <w:tcW w:type="dxa" w:w="4896"/>
          </w:tcPr>
          <w:p>
            <w:pPr>
              <w:spacing w:before="60" w:after="60"/>
            </w:pPr>
            <w:r/>
            <w:r>
              <w:rPr>
                <w:rFonts w:ascii="Calibri" w:hAnsi="Calibri"/>
                <w:color w:val="444F60"/>
                <w:sz w:val="19"/>
              </w:rPr>
              <w:t>—</w:t>
            </w:r>
          </w:p>
        </w:tc>
      </w:tr>
      <w:tr>
        <w:tc>
          <w:tcPr>
            <w:tcW w:type="dxa" w:w="1800"/>
          </w:tcPr>
          <w:p>
            <w:pPr>
              <w:spacing w:before="60" w:after="60"/>
            </w:pPr>
            <w:r/>
            <w:r>
              <w:rPr>
                <w:rFonts w:ascii="Calibri" w:hAnsi="Calibri"/>
                <w:b/>
                <w:color w:val="141922"/>
                <w:sz w:val="19"/>
              </w:rPr>
              <w:t>Observability</w:t>
            </w:r>
          </w:p>
        </w:tc>
        <w:tc>
          <w:tcPr>
            <w:tcW w:type="dxa" w:w="2808"/>
          </w:tcPr>
          <w:p>
            <w:pPr>
              <w:spacing w:before="60" w:after="60"/>
            </w:pPr>
            <w:r/>
            <w:r>
              <w:rPr>
                <w:rFonts w:ascii="Calibri" w:hAnsi="Calibri"/>
                <w:color w:val="444F60"/>
                <w:sz w:val="19"/>
              </w:rPr>
              <w:t>CloudWatch, X-Ray, Sentry</w:t>
            </w:r>
          </w:p>
        </w:tc>
        <w:tc>
          <w:tcPr>
            <w:tcW w:type="dxa" w:w="4896"/>
          </w:tcPr>
          <w:p>
            <w:pPr>
              <w:spacing w:before="60" w:after="60"/>
            </w:pPr>
            <w:r/>
            <w:r>
              <w:rPr>
                <w:rFonts w:ascii="Calibri" w:hAnsi="Calibri"/>
                <w:color w:val="444F60"/>
                <w:sz w:val="19"/>
              </w:rPr>
              <w:t>—</w:t>
            </w:r>
          </w:p>
        </w:tc>
      </w:tr>
      <w:tr>
        <w:tc>
          <w:tcPr>
            <w:tcW w:type="dxa" w:w="1800"/>
          </w:tcPr>
          <w:p>
            <w:pPr>
              <w:spacing w:before="60" w:after="60"/>
            </w:pPr>
            <w:r/>
            <w:r>
              <w:rPr>
                <w:rFonts w:ascii="Calibri" w:hAnsi="Calibri"/>
                <w:b/>
                <w:color w:val="141922"/>
                <w:sz w:val="19"/>
              </w:rPr>
              <w:t>Infrastructure</w:t>
            </w:r>
          </w:p>
        </w:tc>
        <w:tc>
          <w:tcPr>
            <w:tcW w:type="dxa" w:w="2808"/>
          </w:tcPr>
          <w:p>
            <w:pPr>
              <w:spacing w:before="60" w:after="60"/>
            </w:pPr>
            <w:r/>
            <w:r>
              <w:rPr>
                <w:rFonts w:ascii="Calibri" w:hAnsi="Calibri"/>
                <w:color w:val="444F60"/>
                <w:sz w:val="19"/>
              </w:rPr>
              <w:t>Terraform or AWS CDK</w:t>
            </w:r>
          </w:p>
        </w:tc>
        <w:tc>
          <w:tcPr>
            <w:tcW w:type="dxa" w:w="4896"/>
          </w:tcPr>
          <w:p>
            <w:pPr>
              <w:spacing w:before="60" w:after="60"/>
            </w:pPr>
            <w:r/>
            <w:r>
              <w:rPr>
                <w:rFonts w:ascii="Calibri" w:hAnsi="Calibri"/>
                <w:color w:val="444F60"/>
                <w:sz w:val="19"/>
              </w:rPr>
              <w:t>Insist on this — it is how the engagement hands over cleanly</w:t>
            </w:r>
          </w:p>
        </w:tc>
      </w:tr>
      <w:tr>
        <w:tc>
          <w:tcPr>
            <w:tcW w:type="dxa" w:w="1800"/>
          </w:tcPr>
          <w:p>
            <w:pPr>
              <w:spacing w:before="60" w:after="60"/>
            </w:pPr>
            <w:r/>
            <w:r>
              <w:rPr>
                <w:rFonts w:ascii="Calibri" w:hAnsi="Calibri"/>
                <w:b/>
                <w:color w:val="141922"/>
                <w:sz w:val="19"/>
              </w:rPr>
              <w:t>CI/CD</w:t>
            </w:r>
          </w:p>
        </w:tc>
        <w:tc>
          <w:tcPr>
            <w:tcW w:type="dxa" w:w="2808"/>
          </w:tcPr>
          <w:p>
            <w:pPr>
              <w:spacing w:before="60" w:after="60"/>
            </w:pPr>
            <w:r/>
            <w:r>
              <w:rPr>
                <w:rFonts w:ascii="Calibri" w:hAnsi="Calibri"/>
                <w:color w:val="444F60"/>
                <w:sz w:val="19"/>
              </w:rPr>
              <w:t>GitHub Actions → ECR → ECS</w:t>
            </w:r>
          </w:p>
        </w:tc>
        <w:tc>
          <w:tcPr>
            <w:tcW w:type="dxa" w:w="4896"/>
          </w:tcPr>
          <w:p>
            <w:pPr>
              <w:spacing w:before="60" w:after="60"/>
            </w:pPr>
            <w:r/>
            <w:r>
              <w:rPr>
                <w:rFonts w:ascii="Calibri" w:hAnsi="Calibri"/>
                <w:color w:val="444F60"/>
                <w:sz w:val="19"/>
              </w:rPr>
              <w:t>Three accounts under an AWS Organization: dev, staging, prod</w:t>
            </w:r>
          </w:p>
        </w:tc>
      </w:tr>
    </w:tbl>
    <w:p>
      <w:pPr>
        <w:spacing w:after="80"/>
      </w:pPr>
    </w:p>
    <w:p>
      <w:pPr>
        <w:pStyle w:val="Heading2"/>
      </w:pPr>
      <w:r>
        <w:t>Two implementation notes</w:t>
      </w:r>
    </w:p>
    <w:p>
      <w:r>
        <w:rPr>
          <w:b/>
          <w:color w:val="141922"/>
        </w:rPr>
        <w:t xml:space="preserve">Audit trail. </w:t>
      </w:r>
      <w:r>
        <w:t>Do not reach for QLDB — AWS has deprecated it. Use an append-only Postgres table with UPDATE and DELETE revoked at the database role level, exported periodically to S3 with Object Lock.</w:t>
      </w:r>
    </w:p>
    <w:p>
      <w:r>
        <w:rPr>
          <w:b/>
          <w:color w:val="141922"/>
        </w:rPr>
        <w:t xml:space="preserve">Mobile. </w:t>
      </w:r>
      <w:r>
        <w:t>React Native or Flutter. The PRD is emphatic that low-end Android on slow networks is a primary segment rather than an edge case, which constrains bundle size, image handling and offline behavior. React Native is the safer pick if you want shared TypeScript types with the backend.</w:t>
      </w:r>
    </w:p>
    <w:tbl>
      <w:tblPr>
        <w:tblStyle w:val="TableGrid"/>
        <w:tblW w:type="auto" w:w="0"/>
        <w:tblLook w:firstColumn="1" w:firstRow="1" w:lastColumn="0" w:lastRow="0" w:noHBand="0" w:noVBand="1" w:val="04A0"/>
      </w:tblPr>
      <w:tblGrid>
        <w:gridCol w:w="9360"/>
      </w:tblGrid>
      <w:tr>
        <w:tc>
          <w:tcPr>
            <w:tcW w:type="dxa" w:w="9360"/>
            <w:shd w:val="clear" w:color="auto" w:fill="F4F6FA"/>
          </w:tcPr>
          <w:p>
            <w:pPr>
              <w:spacing w:before="80" w:after="60"/>
            </w:pPr>
            <w:r/>
            <w:r>
              <w:rPr>
                <w:b/>
                <w:color w:val="1F3A6E"/>
                <w:sz w:val="15"/>
              </w:rPr>
              <w:t>RUNNING COST</w:t>
            </w:r>
          </w:p>
          <w:p>
            <w:pPr>
              <w:spacing w:after="60"/>
            </w:pPr>
            <w:r>
              <w:rPr>
                <w:sz w:val="19"/>
              </w:rPr>
              <w:t xml:space="preserve">Roughly </w:t>
            </w:r>
            <w:r>
              <w:rPr>
                <w:b/>
                <w:color w:val="141922"/>
                <w:sz w:val="19"/>
              </w:rPr>
              <w:t>$300–600 per month</w:t>
            </w:r>
            <w:r>
              <w:rPr>
                <w:sz w:val="19"/>
              </w:rPr>
              <w:t xml:space="preserve"> at MVP scale, before AI and SMS usage. RDS Multi-AZ is the largest single line. Textract, Transcribe and Bedrock are consumption-priced and will scale directly with signups — worth modeling against expected volume before committing to the candidate-side free tier.</w:t>
            </w:r>
          </w:p>
        </w:tc>
      </w:tr>
    </w:tbl>
    <w:p>
      <w:pPr>
        <w:spacing w:after="80"/>
      </w:pPr>
    </w:p>
    <w:p>
      <w:r>
        <w:br w:type="page"/>
      </w:r>
    </w:p>
    <w:p>
      <w:pPr>
        <w:pStyle w:val="Heading1"/>
      </w:pPr>
      <w:r>
        <w:t>6.  Client dependencies</w:t>
      </w:r>
    </w:p>
    <w:p>
      <w:pPr>
        <w:spacing w:after="40"/>
      </w:pPr>
      <w:r>
        <w:rPr>
          <w:b w:val="0"/>
          <w:i/>
          <w:color w:val="707C90"/>
          <w:sz w:val="19"/>
        </w:rPr>
        <w:t>Everything required from the client's side. The first group blocks work outright; several items have real lead times that should start now rather than at kickoff.</w:t>
      </w:r>
    </w:p>
    <w:p>
      <w:pPr>
        <w:spacing w:before="80" w:after="160"/>
        <w:pBdr>
          <w:bottom w:val="single" w:sz="6" w:color="C8CEDA"/>
        </w:pBdr>
      </w:pPr>
    </w:p>
    <w:p>
      <w:pPr>
        <w:pStyle w:val="Heading3"/>
      </w:pPr>
      <w:r>
        <w:t>Blocking — build cannot start</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EEF1F5"/>
          </w:tcPr>
          <w:p>
            <w:pPr>
              <w:spacing w:before="60" w:after="60"/>
            </w:pPr>
            <w:r/>
            <w:r>
              <w:rPr>
                <w:rFonts w:ascii="Calibri" w:hAnsi="Calibri"/>
                <w:b/>
                <w:color w:val="707C90"/>
                <w:sz w:val="15"/>
              </w:rPr>
              <w:t>ITEM</w:t>
            </w:r>
          </w:p>
        </w:tc>
        <w:tc>
          <w:tcPr>
            <w:tcW w:type="dxa" w:w="5400"/>
            <w:shd w:val="clear" w:color="auto" w:fill="EEF1F5"/>
          </w:tcPr>
          <w:p>
            <w:pPr>
              <w:spacing w:before="60" w:after="60"/>
            </w:pPr>
            <w:r/>
            <w:r>
              <w:rPr>
                <w:rFonts w:ascii="Calibri" w:hAnsi="Calibri"/>
                <w:b/>
                <w:color w:val="707C90"/>
                <w:sz w:val="15"/>
              </w:rPr>
              <w:t>DETAIL</w:t>
            </w:r>
          </w:p>
        </w:tc>
        <w:tc>
          <w:tcPr>
            <w:tcW w:type="dxa" w:w="1440"/>
            <w:shd w:val="clear" w:color="auto" w:fill="EEF1F5"/>
          </w:tcPr>
          <w:p>
            <w:pPr>
              <w:spacing w:before="60" w:after="60"/>
            </w:pPr>
            <w:r/>
            <w:r>
              <w:rPr>
                <w:rFonts w:ascii="Calibri" w:hAnsi="Calibri"/>
                <w:b/>
                <w:color w:val="707C90"/>
                <w:sz w:val="15"/>
              </w:rPr>
              <w:t>LEAD TIME</w:t>
            </w:r>
          </w:p>
        </w:tc>
      </w:tr>
      <w:tr>
        <w:tc>
          <w:tcPr>
            <w:tcW w:type="dxa" w:w="2160"/>
          </w:tcPr>
          <w:p>
            <w:pPr>
              <w:spacing w:before="60" w:after="60"/>
            </w:pPr>
            <w:r/>
            <w:r>
              <w:rPr>
                <w:rFonts w:ascii="Calibri" w:hAnsi="Calibri"/>
                <w:b/>
                <w:color w:val="141922"/>
                <w:sz w:val="19"/>
              </w:rPr>
              <w:t>Contract, NDA, SOW</w:t>
            </w:r>
          </w:p>
        </w:tc>
        <w:tc>
          <w:tcPr>
            <w:tcW w:type="dxa" w:w="5400"/>
          </w:tcPr>
          <w:p>
            <w:pPr>
              <w:spacing w:before="60" w:after="60"/>
            </w:pPr>
            <w:r/>
            <w:r>
              <w:rPr>
                <w:rFonts w:ascii="Calibri" w:hAnsi="Calibri"/>
                <w:color w:val="444F60"/>
                <w:sz w:val="19"/>
              </w:rPr>
              <w:t>The PRD states the real specifications are only released after contracts are finalized</w:t>
            </w:r>
          </w:p>
        </w:tc>
        <w:tc>
          <w:tcPr>
            <w:tcW w:type="dxa" w:w="1440"/>
          </w:tcPr>
          <w:p>
            <w:pPr>
              <w:spacing w:before="60" w:after="60"/>
            </w:pPr>
            <w:r/>
            <w:r>
              <w:rPr>
                <w:rFonts w:ascii="Calibri" w:hAnsi="Calibri"/>
                <w:color w:val="444F60"/>
                <w:sz w:val="19"/>
              </w:rPr>
              <w:t>—</w:t>
            </w:r>
          </w:p>
        </w:tc>
      </w:tr>
      <w:tr>
        <w:tc>
          <w:tcPr>
            <w:tcW w:type="dxa" w:w="2160"/>
          </w:tcPr>
          <w:p>
            <w:pPr>
              <w:spacing w:before="60" w:after="60"/>
            </w:pPr>
            <w:r/>
            <w:r>
              <w:rPr>
                <w:rFonts w:ascii="Calibri" w:hAnsi="Calibri"/>
                <w:b/>
                <w:color w:val="141922"/>
                <w:sz w:val="19"/>
              </w:rPr>
              <w:t>Scoring algorithm</w:t>
            </w:r>
          </w:p>
        </w:tc>
        <w:tc>
          <w:tcPr>
            <w:tcW w:type="dxa" w:w="5400"/>
          </w:tcPr>
          <w:p>
            <w:pPr>
              <w:spacing w:before="60" w:after="60"/>
            </w:pPr>
            <w:r/>
            <w:r>
              <w:rPr>
                <w:rFonts w:ascii="Calibri" w:hAnsi="Calibri"/>
                <w:color w:val="444F60"/>
                <w:sz w:val="19"/>
              </w:rPr>
              <w:t>Dimensions and weights. This is the entire product and it is not in any document currently held</w:t>
            </w:r>
          </w:p>
        </w:tc>
        <w:tc>
          <w:tcPr>
            <w:tcW w:type="dxa" w:w="1440"/>
          </w:tcPr>
          <w:p>
            <w:pPr>
              <w:spacing w:before="60" w:after="60"/>
            </w:pPr>
            <w:r/>
            <w:r>
              <w:rPr>
                <w:rFonts w:ascii="Calibri" w:hAnsi="Calibri"/>
                <w:color w:val="444F60"/>
                <w:sz w:val="19"/>
              </w:rPr>
              <w:t>—</w:t>
            </w:r>
          </w:p>
        </w:tc>
      </w:tr>
      <w:tr>
        <w:tc>
          <w:tcPr>
            <w:tcW w:type="dxa" w:w="2160"/>
          </w:tcPr>
          <w:p>
            <w:pPr>
              <w:spacing w:before="60" w:after="60"/>
            </w:pPr>
            <w:r/>
            <w:r>
              <w:rPr>
                <w:rFonts w:ascii="Calibri" w:hAnsi="Calibri"/>
                <w:b/>
                <w:color w:val="141922"/>
                <w:sz w:val="19"/>
              </w:rPr>
              <w:t>Integrity rules</w:t>
            </w:r>
          </w:p>
        </w:tc>
        <w:tc>
          <w:tcPr>
            <w:tcW w:type="dxa" w:w="5400"/>
          </w:tcPr>
          <w:p>
            <w:pPr>
              <w:spacing w:before="60" w:after="60"/>
            </w:pPr>
            <w:r/>
            <w:r>
              <w:rPr>
                <w:rFonts w:ascii="Calibri" w:hAnsi="Calibri"/>
                <w:color w:val="444F60"/>
                <w:sz w:val="19"/>
              </w:rPr>
              <w:t>Duplicate and templated-resume detection, timeline inconsistency checks, severity thresholds</w:t>
            </w:r>
          </w:p>
        </w:tc>
        <w:tc>
          <w:tcPr>
            <w:tcW w:type="dxa" w:w="1440"/>
          </w:tcPr>
          <w:p>
            <w:pPr>
              <w:spacing w:before="60" w:after="60"/>
            </w:pPr>
            <w:r/>
            <w:r>
              <w:rPr>
                <w:rFonts w:ascii="Calibri" w:hAnsi="Calibri"/>
                <w:color w:val="444F60"/>
                <w:sz w:val="19"/>
              </w:rPr>
              <w:t>—</w:t>
            </w:r>
          </w:p>
        </w:tc>
      </w:tr>
      <w:tr>
        <w:tc>
          <w:tcPr>
            <w:tcW w:type="dxa" w:w="2160"/>
          </w:tcPr>
          <w:p>
            <w:pPr>
              <w:spacing w:before="60" w:after="60"/>
            </w:pPr>
            <w:r/>
            <w:r>
              <w:rPr>
                <w:rFonts w:ascii="Calibri" w:hAnsi="Calibri"/>
                <w:b/>
                <w:color w:val="141922"/>
                <w:sz w:val="19"/>
              </w:rPr>
              <w:t>AWS account</w:t>
            </w:r>
          </w:p>
        </w:tc>
        <w:tc>
          <w:tcPr>
            <w:tcW w:type="dxa" w:w="5400"/>
          </w:tcPr>
          <w:p>
            <w:pPr>
              <w:spacing w:before="60" w:after="60"/>
            </w:pPr>
            <w:r/>
            <w:r>
              <w:rPr>
                <w:rFonts w:ascii="Calibri" w:hAnsi="Calibri"/>
                <w:color w:val="444F60"/>
                <w:sz w:val="19"/>
              </w:rPr>
              <w:t>Owned and billed by the client, with an IAM role granted to the build team. Client infrastructure must not run on a contractor's card</w:t>
            </w:r>
          </w:p>
        </w:tc>
        <w:tc>
          <w:tcPr>
            <w:tcW w:type="dxa" w:w="1440"/>
          </w:tcPr>
          <w:p>
            <w:pPr>
              <w:spacing w:before="60" w:after="60"/>
            </w:pPr>
            <w:r/>
            <w:r>
              <w:rPr>
                <w:rFonts w:ascii="Calibri" w:hAnsi="Calibri"/>
                <w:color w:val="444F60"/>
                <w:sz w:val="19"/>
              </w:rPr>
              <w:t>1–2 days</w:t>
            </w:r>
          </w:p>
        </w:tc>
      </w:tr>
      <w:tr>
        <w:tc>
          <w:tcPr>
            <w:tcW w:type="dxa" w:w="2160"/>
          </w:tcPr>
          <w:p>
            <w:pPr>
              <w:spacing w:before="60" w:after="60"/>
            </w:pPr>
            <w:r/>
            <w:r>
              <w:rPr>
                <w:rFonts w:ascii="Calibri" w:hAnsi="Calibri"/>
                <w:b/>
                <w:color w:val="141922"/>
                <w:sz w:val="19"/>
              </w:rPr>
              <w:t>Payment gateway</w:t>
            </w:r>
          </w:p>
        </w:tc>
        <w:tc>
          <w:tcPr>
            <w:tcW w:type="dxa" w:w="5400"/>
          </w:tcPr>
          <w:p>
            <w:pPr>
              <w:spacing w:before="60" w:after="60"/>
            </w:pPr>
            <w:r/>
            <w:r>
              <w:rPr>
                <w:rFonts w:ascii="Calibri" w:hAnsi="Calibri"/>
                <w:color w:val="444F60"/>
                <w:sz w:val="19"/>
              </w:rPr>
              <w:t>Razorpay, Cashfree or PhonePe — must support UPI</w:t>
            </w:r>
          </w:p>
        </w:tc>
        <w:tc>
          <w:tcPr>
            <w:tcW w:type="dxa" w:w="1440"/>
          </w:tcPr>
          <w:p>
            <w:pPr>
              <w:spacing w:before="60" w:after="60"/>
            </w:pPr>
            <w:r/>
            <w:r>
              <w:rPr>
                <w:rFonts w:ascii="Calibri" w:hAnsi="Calibri"/>
                <w:color w:val="444F60"/>
                <w:sz w:val="19"/>
              </w:rPr>
              <w:t>1–2 weeks</w:t>
            </w:r>
          </w:p>
        </w:tc>
      </w:tr>
      <w:tr>
        <w:tc>
          <w:tcPr>
            <w:tcW w:type="dxa" w:w="2160"/>
          </w:tcPr>
          <w:p>
            <w:pPr>
              <w:spacing w:before="60" w:after="60"/>
            </w:pPr>
            <w:r/>
            <w:r>
              <w:rPr>
                <w:rFonts w:ascii="Calibri" w:hAnsi="Calibri"/>
                <w:b/>
                <w:color w:val="141922"/>
                <w:sz w:val="19"/>
              </w:rPr>
              <w:t>KYB provider</w:t>
            </w:r>
          </w:p>
        </w:tc>
        <w:tc>
          <w:tcPr>
            <w:tcW w:type="dxa" w:w="5400"/>
          </w:tcPr>
          <w:p>
            <w:pPr>
              <w:spacing w:before="60" w:after="60"/>
            </w:pPr>
            <w:r/>
            <w:r>
              <w:rPr>
                <w:rFonts w:ascii="Calibri" w:hAnsi="Calibri"/>
                <w:color w:val="444F60"/>
                <w:sz w:val="19"/>
              </w:rPr>
              <w:t>GSTIN verification: Signzy, IDfy, Karza or Hyperverge</w:t>
            </w:r>
          </w:p>
        </w:tc>
        <w:tc>
          <w:tcPr>
            <w:tcW w:type="dxa" w:w="1440"/>
          </w:tcPr>
          <w:p>
            <w:pPr>
              <w:spacing w:before="60" w:after="60"/>
            </w:pPr>
            <w:r/>
            <w:r>
              <w:rPr>
                <w:rFonts w:ascii="Calibri" w:hAnsi="Calibri"/>
                <w:color w:val="444F60"/>
                <w:sz w:val="19"/>
              </w:rPr>
              <w:t>1–2 weeks</w:t>
            </w:r>
          </w:p>
        </w:tc>
      </w:tr>
      <w:tr>
        <w:tc>
          <w:tcPr>
            <w:tcW w:type="dxa" w:w="2160"/>
          </w:tcPr>
          <w:p>
            <w:pPr>
              <w:spacing w:before="60" w:after="60"/>
            </w:pPr>
            <w:r/>
            <w:r>
              <w:rPr>
                <w:rFonts w:ascii="Calibri" w:hAnsi="Calibri"/>
                <w:b/>
                <w:color w:val="141922"/>
                <w:sz w:val="19"/>
              </w:rPr>
              <w:t>SMS/OTP provider</w:t>
            </w:r>
          </w:p>
        </w:tc>
        <w:tc>
          <w:tcPr>
            <w:tcW w:type="dxa" w:w="5400"/>
          </w:tcPr>
          <w:p>
            <w:pPr>
              <w:spacing w:before="60" w:after="60"/>
            </w:pPr>
            <w:r/>
            <w:r>
              <w:rPr>
                <w:rFonts w:ascii="Calibri" w:hAnsi="Calibri"/>
                <w:color w:val="444F60"/>
                <w:sz w:val="19"/>
              </w:rPr>
              <w:t>Plus completed DLT registration for sender ID and templates</w:t>
            </w:r>
          </w:p>
        </w:tc>
        <w:tc>
          <w:tcPr>
            <w:tcW w:type="dxa" w:w="1440"/>
          </w:tcPr>
          <w:p>
            <w:pPr>
              <w:spacing w:before="60" w:after="60"/>
            </w:pPr>
            <w:r/>
            <w:r>
              <w:rPr>
                <w:rFonts w:ascii="Calibri" w:hAnsi="Calibri"/>
                <w:color w:val="444F60"/>
                <w:sz w:val="19"/>
              </w:rPr>
              <w:t>1–3 weeks</w:t>
            </w:r>
          </w:p>
        </w:tc>
      </w:tr>
      <w:tr>
        <w:tc>
          <w:tcPr>
            <w:tcW w:type="dxa" w:w="2160"/>
          </w:tcPr>
          <w:p>
            <w:pPr>
              <w:spacing w:before="60" w:after="60"/>
            </w:pPr>
            <w:r/>
            <w:r>
              <w:rPr>
                <w:rFonts w:ascii="Calibri" w:hAnsi="Calibri"/>
                <w:b/>
                <w:color w:val="141922"/>
                <w:sz w:val="19"/>
              </w:rPr>
              <w:t>AI/voice provider</w:t>
            </w:r>
          </w:p>
        </w:tc>
        <w:tc>
          <w:tcPr>
            <w:tcW w:type="dxa" w:w="5400"/>
          </w:tcPr>
          <w:p>
            <w:pPr>
              <w:spacing w:before="60" w:after="60"/>
            </w:pPr>
            <w:r/>
            <w:r>
              <w:rPr>
                <w:rFonts w:ascii="Calibri" w:hAnsi="Calibri"/>
                <w:color w:val="444F60"/>
                <w:sz w:val="19"/>
              </w:rPr>
              <w:t>Or written confirmation to use Bedrock and Transcribe</w:t>
            </w:r>
          </w:p>
        </w:tc>
        <w:tc>
          <w:tcPr>
            <w:tcW w:type="dxa" w:w="1440"/>
          </w:tcPr>
          <w:p>
            <w:pPr>
              <w:spacing w:before="60" w:after="60"/>
            </w:pPr>
            <w:r/>
            <w:r>
              <w:rPr>
                <w:rFonts w:ascii="Calibri" w:hAnsi="Calibri"/>
                <w:color w:val="444F60"/>
                <w:sz w:val="19"/>
              </w:rPr>
              <w:t>—</w:t>
            </w:r>
          </w:p>
        </w:tc>
      </w:tr>
      <w:tr>
        <w:tc>
          <w:tcPr>
            <w:tcW w:type="dxa" w:w="2160"/>
          </w:tcPr>
          <w:p>
            <w:pPr>
              <w:spacing w:before="60" w:after="60"/>
            </w:pPr>
            <w:r/>
            <w:r>
              <w:rPr>
                <w:rFonts w:ascii="Calibri" w:hAnsi="Calibri"/>
                <w:b/>
                <w:color w:val="141922"/>
                <w:sz w:val="19"/>
              </w:rPr>
              <w:t>Telephony provider</w:t>
            </w:r>
          </w:p>
        </w:tc>
        <w:tc>
          <w:tcPr>
            <w:tcW w:type="dxa" w:w="5400"/>
          </w:tcPr>
          <w:p>
            <w:pPr>
              <w:spacing w:before="60" w:after="60"/>
            </w:pPr>
            <w:r/>
            <w:r>
              <w:rPr>
                <w:rFonts w:ascii="Calibri" w:hAnsi="Calibri"/>
                <w:color w:val="444F60"/>
                <w:sz w:val="19"/>
              </w:rPr>
              <w:t>Only if the interview is a real phone call — see open question 2</w:t>
            </w:r>
          </w:p>
        </w:tc>
        <w:tc>
          <w:tcPr>
            <w:tcW w:type="dxa" w:w="1440"/>
          </w:tcPr>
          <w:p>
            <w:pPr>
              <w:spacing w:before="60" w:after="60"/>
            </w:pPr>
            <w:r/>
            <w:r>
              <w:rPr>
                <w:rFonts w:ascii="Calibri" w:hAnsi="Calibri"/>
                <w:color w:val="444F60"/>
                <w:sz w:val="19"/>
              </w:rPr>
              <w:t>2–4 weeks</w:t>
            </w:r>
          </w:p>
        </w:tc>
      </w:tr>
      <w:tr>
        <w:tc>
          <w:tcPr>
            <w:tcW w:type="dxa" w:w="2160"/>
          </w:tcPr>
          <w:p>
            <w:pPr>
              <w:spacing w:before="60" w:after="60"/>
            </w:pPr>
            <w:r/>
            <w:r>
              <w:rPr>
                <w:rFonts w:ascii="Calibri" w:hAnsi="Calibri"/>
                <w:b/>
                <w:color w:val="141922"/>
                <w:sz w:val="19"/>
              </w:rPr>
              <w:t>Pricing decisions</w:t>
            </w:r>
          </w:p>
        </w:tc>
        <w:tc>
          <w:tcPr>
            <w:tcW w:type="dxa" w:w="5400"/>
          </w:tcPr>
          <w:p>
            <w:pPr>
              <w:spacing w:before="60" w:after="60"/>
            </w:pPr>
            <w:r/>
            <w:r>
              <w:rPr>
                <w:rFonts w:ascii="Calibri" w:hAnsi="Calibri"/>
                <w:color w:val="444F60"/>
                <w:sz w:val="19"/>
              </w:rPr>
              <w:t>Mock interview price, unlock price, wallet versus quota model, whether hire events bill at all</w:t>
            </w:r>
          </w:p>
        </w:tc>
        <w:tc>
          <w:tcPr>
            <w:tcW w:type="dxa" w:w="1440"/>
          </w:tcPr>
          <w:p>
            <w:pPr>
              <w:spacing w:before="60" w:after="60"/>
            </w:pPr>
            <w:r/>
            <w:r>
              <w:rPr>
                <w:rFonts w:ascii="Calibri" w:hAnsi="Calibri"/>
                <w:color w:val="444F60"/>
                <w:sz w:val="19"/>
              </w:rPr>
              <w:t>—</w:t>
            </w:r>
          </w:p>
        </w:tc>
      </w:tr>
    </w:tbl>
    <w:p>
      <w:pPr>
        <w:spacing w:after="80"/>
      </w:pPr>
    </w:p>
    <w:p>
      <w:pPr>
        <w:pStyle w:val="Heading3"/>
      </w:pPr>
      <w:r>
        <w:t>Business identity — only the client can obtain these</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EEF1F5"/>
          </w:tcPr>
          <w:p>
            <w:pPr>
              <w:spacing w:before="60" w:after="60"/>
            </w:pPr>
            <w:r/>
            <w:r>
              <w:rPr>
                <w:rFonts w:ascii="Calibri" w:hAnsi="Calibri"/>
                <w:b/>
                <w:color w:val="707C90"/>
                <w:sz w:val="15"/>
              </w:rPr>
              <w:t>ITEM</w:t>
            </w:r>
          </w:p>
        </w:tc>
        <w:tc>
          <w:tcPr>
            <w:tcW w:type="dxa" w:w="5400"/>
            <w:shd w:val="clear" w:color="auto" w:fill="EEF1F5"/>
          </w:tcPr>
          <w:p>
            <w:pPr>
              <w:spacing w:before="60" w:after="60"/>
            </w:pPr>
            <w:r/>
            <w:r>
              <w:rPr>
                <w:rFonts w:ascii="Calibri" w:hAnsi="Calibri"/>
                <w:b/>
                <w:color w:val="707C90"/>
                <w:sz w:val="15"/>
              </w:rPr>
              <w:t>DETAIL</w:t>
            </w:r>
          </w:p>
        </w:tc>
        <w:tc>
          <w:tcPr>
            <w:tcW w:type="dxa" w:w="1440"/>
            <w:shd w:val="clear" w:color="auto" w:fill="EEF1F5"/>
          </w:tcPr>
          <w:p>
            <w:pPr>
              <w:spacing w:before="60" w:after="60"/>
            </w:pPr>
            <w:r/>
            <w:r>
              <w:rPr>
                <w:rFonts w:ascii="Calibri" w:hAnsi="Calibri"/>
                <w:b/>
                <w:color w:val="707C90"/>
                <w:sz w:val="15"/>
              </w:rPr>
              <w:t>LEAD TIME</w:t>
            </w:r>
          </w:p>
        </w:tc>
      </w:tr>
      <w:tr>
        <w:tc>
          <w:tcPr>
            <w:tcW w:type="dxa" w:w="2160"/>
          </w:tcPr>
          <w:p>
            <w:pPr>
              <w:spacing w:before="60" w:after="60"/>
            </w:pPr>
            <w:r/>
            <w:r>
              <w:rPr>
                <w:rFonts w:ascii="Calibri" w:hAnsi="Calibri"/>
                <w:b/>
                <w:color w:val="141922"/>
                <w:sz w:val="19"/>
              </w:rPr>
              <w:t>Google Play Developer</w:t>
            </w:r>
          </w:p>
        </w:tc>
        <w:tc>
          <w:tcPr>
            <w:tcW w:type="dxa" w:w="5400"/>
          </w:tcPr>
          <w:p>
            <w:pPr>
              <w:spacing w:before="60" w:after="60"/>
            </w:pPr>
            <w:r/>
            <w:r>
              <w:rPr>
                <w:rFonts w:ascii="Calibri" w:hAnsi="Calibri"/>
                <w:color w:val="444F60"/>
                <w:sz w:val="19"/>
              </w:rPr>
              <w:t>$25 one-time, under the client's business identity</w:t>
            </w:r>
          </w:p>
        </w:tc>
        <w:tc>
          <w:tcPr>
            <w:tcW w:type="dxa" w:w="1440"/>
          </w:tcPr>
          <w:p>
            <w:pPr>
              <w:spacing w:before="60" w:after="60"/>
            </w:pPr>
            <w:r/>
            <w:r>
              <w:rPr>
                <w:rFonts w:ascii="Calibri" w:hAnsi="Calibri"/>
                <w:color w:val="444F60"/>
                <w:sz w:val="19"/>
              </w:rPr>
              <w:t>2–5 days</w:t>
            </w:r>
          </w:p>
        </w:tc>
      </w:tr>
      <w:tr>
        <w:tc>
          <w:tcPr>
            <w:tcW w:type="dxa" w:w="2160"/>
          </w:tcPr>
          <w:p>
            <w:pPr>
              <w:spacing w:before="60" w:after="60"/>
            </w:pPr>
            <w:r/>
            <w:r>
              <w:rPr>
                <w:rFonts w:ascii="Calibri" w:hAnsi="Calibri"/>
                <w:b/>
                <w:color w:val="141922"/>
                <w:sz w:val="19"/>
              </w:rPr>
              <w:t>Apple Developer</w:t>
            </w:r>
          </w:p>
        </w:tc>
        <w:tc>
          <w:tcPr>
            <w:tcW w:type="dxa" w:w="5400"/>
          </w:tcPr>
          <w:p>
            <w:pPr>
              <w:spacing w:before="60" w:after="60"/>
            </w:pPr>
            <w:r/>
            <w:r>
              <w:rPr>
                <w:rFonts w:ascii="Calibri" w:hAnsi="Calibri"/>
                <w:color w:val="444F60"/>
                <w:sz w:val="19"/>
              </w:rPr>
              <w:t>$99/year. An organization account requires a D-U-N-S number</w:t>
            </w:r>
          </w:p>
        </w:tc>
        <w:tc>
          <w:tcPr>
            <w:tcW w:type="dxa" w:w="1440"/>
          </w:tcPr>
          <w:p>
            <w:pPr>
              <w:spacing w:before="60" w:after="60"/>
            </w:pPr>
            <w:r/>
            <w:r>
              <w:rPr>
                <w:rFonts w:ascii="Calibri" w:hAnsi="Calibri"/>
                <w:color w:val="444F60"/>
                <w:sz w:val="19"/>
              </w:rPr>
              <w:t>1–3 weeks</w:t>
            </w:r>
          </w:p>
        </w:tc>
      </w:tr>
      <w:tr>
        <w:tc>
          <w:tcPr>
            <w:tcW w:type="dxa" w:w="2160"/>
          </w:tcPr>
          <w:p>
            <w:pPr>
              <w:spacing w:before="60" w:after="60"/>
            </w:pPr>
            <w:r/>
            <w:r>
              <w:rPr>
                <w:rFonts w:ascii="Calibri" w:hAnsi="Calibri"/>
                <w:b/>
                <w:color w:val="141922"/>
                <w:sz w:val="19"/>
              </w:rPr>
              <w:t>Payment gateway KYC</w:t>
            </w:r>
          </w:p>
        </w:tc>
        <w:tc>
          <w:tcPr>
            <w:tcW w:type="dxa" w:w="5400"/>
          </w:tcPr>
          <w:p>
            <w:pPr>
              <w:spacing w:before="60" w:after="60"/>
            </w:pPr>
            <w:r/>
            <w:r>
              <w:rPr>
                <w:rFonts w:ascii="Calibri" w:hAnsi="Calibri"/>
                <w:color w:val="444F60"/>
                <w:sz w:val="19"/>
              </w:rPr>
              <w:t>Business PAN, GST certificate, bank account, incorporation documents</w:t>
            </w:r>
          </w:p>
        </w:tc>
        <w:tc>
          <w:tcPr>
            <w:tcW w:type="dxa" w:w="1440"/>
          </w:tcPr>
          <w:p>
            <w:pPr>
              <w:spacing w:before="60" w:after="60"/>
            </w:pPr>
            <w:r/>
            <w:r>
              <w:rPr>
                <w:rFonts w:ascii="Calibri" w:hAnsi="Calibri"/>
                <w:color w:val="444F60"/>
                <w:sz w:val="19"/>
              </w:rPr>
              <w:t>1–2 weeks</w:t>
            </w:r>
          </w:p>
        </w:tc>
      </w:tr>
      <w:tr>
        <w:tc>
          <w:tcPr>
            <w:tcW w:type="dxa" w:w="2160"/>
          </w:tcPr>
          <w:p>
            <w:pPr>
              <w:spacing w:before="60" w:after="60"/>
            </w:pPr>
            <w:r/>
            <w:r>
              <w:rPr>
                <w:rFonts w:ascii="Calibri" w:hAnsi="Calibri"/>
                <w:b/>
                <w:color w:val="141922"/>
                <w:sz w:val="19"/>
              </w:rPr>
              <w:t>Domains &amp; DNS</w:t>
            </w:r>
          </w:p>
        </w:tc>
        <w:tc>
          <w:tcPr>
            <w:tcW w:type="dxa" w:w="5400"/>
          </w:tcPr>
          <w:p>
            <w:pPr>
              <w:spacing w:before="60" w:after="60"/>
            </w:pPr>
            <w:r/>
            <w:r>
              <w:rPr>
                <w:rFonts w:ascii="Calibri" w:hAnsi="Calibri"/>
                <w:color w:val="444F60"/>
                <w:sz w:val="19"/>
              </w:rPr>
              <w:t>Plus a sending domain for SES</w:t>
            </w:r>
          </w:p>
        </w:tc>
        <w:tc>
          <w:tcPr>
            <w:tcW w:type="dxa" w:w="1440"/>
          </w:tcPr>
          <w:p>
            <w:pPr>
              <w:spacing w:before="60" w:after="60"/>
            </w:pPr>
            <w:r/>
            <w:r>
              <w:rPr>
                <w:rFonts w:ascii="Calibri" w:hAnsi="Calibri"/>
                <w:color w:val="444F60"/>
                <w:sz w:val="19"/>
              </w:rPr>
              <w:t>1–2 days</w:t>
            </w:r>
          </w:p>
        </w:tc>
      </w:tr>
      <w:tr>
        <w:tc>
          <w:tcPr>
            <w:tcW w:type="dxa" w:w="2160"/>
          </w:tcPr>
          <w:p>
            <w:pPr>
              <w:spacing w:before="60" w:after="60"/>
            </w:pPr>
            <w:r/>
            <w:r>
              <w:rPr>
                <w:rFonts w:ascii="Calibri" w:hAnsi="Calibri"/>
                <w:b/>
                <w:color w:val="141922"/>
                <w:sz w:val="19"/>
              </w:rPr>
              <w:t>Google Cloud project</w:t>
            </w:r>
          </w:p>
        </w:tc>
        <w:tc>
          <w:tcPr>
            <w:tcW w:type="dxa" w:w="5400"/>
          </w:tcPr>
          <w:p>
            <w:pPr>
              <w:spacing w:before="60" w:after="60"/>
            </w:pPr>
            <w:r/>
            <w:r>
              <w:rPr>
                <w:rFonts w:ascii="Calibri" w:hAnsi="Calibri"/>
                <w:color w:val="444F60"/>
                <w:sz w:val="19"/>
              </w:rPr>
              <w:t>OAuth client IDs for web, Android and iOS, for Google Sign-In</w:t>
            </w:r>
          </w:p>
        </w:tc>
        <w:tc>
          <w:tcPr>
            <w:tcW w:type="dxa" w:w="1440"/>
          </w:tcPr>
          <w:p>
            <w:pPr>
              <w:spacing w:before="60" w:after="60"/>
            </w:pPr>
            <w:r/>
            <w:r>
              <w:rPr>
                <w:rFonts w:ascii="Calibri" w:hAnsi="Calibri"/>
                <w:color w:val="444F60"/>
                <w:sz w:val="19"/>
              </w:rPr>
              <w:t>1 day</w:t>
            </w:r>
          </w:p>
        </w:tc>
      </w:tr>
    </w:tbl>
    <w:p>
      <w:pPr>
        <w:spacing w:after="80"/>
      </w:pPr>
    </w:p>
    <w:p>
      <w:pPr>
        <w:pStyle w:val="Heading3"/>
      </w:pPr>
      <w:r>
        <w:t>Content and design</w:t>
      </w:r>
    </w:p>
    <w:p>
      <w:pPr>
        <w:pStyle w:val="ListBullet"/>
      </w:pPr>
      <w:r>
        <w:rPr>
          <w:b/>
          <w:color w:val="141922"/>
        </w:rPr>
        <w:t>Brand identity, design system and Figma files</w:t>
      </w:r>
      <w:r>
        <w:t xml:space="preserve"> — or an explicit agreement that design is in scope, as a separate line item.</w:t>
      </w:r>
    </w:p>
    <w:p>
      <w:pPr>
        <w:pStyle w:val="ListBullet"/>
      </w:pPr>
      <w:r>
        <w:rPr>
          <w:b/>
          <w:color w:val="141922"/>
        </w:rPr>
        <w:t>Questionnaire question bank</w:t>
      </w:r>
      <w:r>
        <w:t xml:space="preserve">, </w:t>
      </w:r>
      <w:r>
        <w:rPr>
          <w:b/>
          <w:color w:val="141922"/>
        </w:rPr>
        <w:t>interview question bank</w:t>
      </w:r>
      <w:r>
        <w:t xml:space="preserve">, </w:t>
      </w:r>
      <w:r>
        <w:rPr>
          <w:b/>
          <w:color w:val="141922"/>
        </w:rPr>
        <w:t>evaluation rubric</w:t>
      </w:r>
      <w:r>
        <w:t>, and the improvement-suggestion copy shown alongside scores.</w:t>
      </w:r>
    </w:p>
    <w:p>
      <w:pPr>
        <w:pStyle w:val="ListBullet"/>
      </w:pPr>
      <w:r>
        <w:rPr>
          <w:b/>
          <w:color w:val="141922"/>
        </w:rPr>
        <w:t>Which six to eight vernacular languages</w:t>
      </w:r>
      <w:r>
        <w:t>, and who funds translation. English and Hindi at launch; the architecture must support the rest from day one. The build supplies the i18n plumbing; the client supplies the strings.</w:t>
      </w:r>
    </w:p>
    <w:p>
      <w:pPr>
        <w:pStyle w:val="Heading3"/>
      </w:pPr>
      <w:r>
        <w:t>Legal — the client's counsel, not the build team</w:t>
      </w:r>
    </w:p>
    <w:p>
      <w:pPr>
        <w:pStyle w:val="ListBullet"/>
      </w:pPr>
      <w:r>
        <w:t>Privacy Policy, Terms of Service, employer agreement, college agreement.</w:t>
      </w:r>
    </w:p>
    <w:p>
      <w:pPr>
        <w:pStyle w:val="ListBullet"/>
      </w:pPr>
      <w:r>
        <w:rPr>
          <w:b/>
          <w:color w:val="141922"/>
        </w:rPr>
        <w:t>DPDP Act 2023 compliance review</w:t>
      </w:r>
      <w:r>
        <w:t>, data retention policy, consent copy, and consent versioning.</w:t>
      </w:r>
    </w:p>
    <w:p>
      <w:pPr>
        <w:pStyle w:val="ListBullet"/>
      </w:pPr>
      <w:r>
        <w:rPr>
          <w:b/>
          <w:color w:val="141922"/>
        </w:rPr>
        <w:t>Written sign-off on the 999-point score in an Indian consumer context.</w:t>
      </w:r>
      <w:r>
        <w:t xml:space="preserve"> A three-digit score shown to consumers closely resembles a credit bureau score; rule 6 exists precisely because counsel is aware of this. Get the sign-off on paper.</w:t>
      </w:r>
    </w:p>
    <w:p>
      <w:pPr>
        <w:pStyle w:val="Heading3"/>
      </w:pPr>
      <w:r>
        <w:t>Project management</w:t>
      </w:r>
    </w:p>
    <w:p>
      <w:pPr>
        <w:pStyle w:val="ListBullet"/>
      </w:pPr>
      <w:r>
        <w:t xml:space="preserve">A </w:t>
      </w:r>
      <w:r>
        <w:rPr>
          <w:b/>
          <w:color w:val="141922"/>
        </w:rPr>
        <w:t>named decision-maker</w:t>
      </w:r>
      <w:r>
        <w:t xml:space="preserve"> and an agreed review cadence. Three-sided marketplaces fail on slow decisions more often than on slow engineering.</w:t>
      </w:r>
    </w:p>
    <w:p>
      <w:pPr>
        <w:pStyle w:val="ListBullet"/>
      </w:pPr>
      <w:r>
        <w:t>Expected scale in year one, for infrastructure sizing.</w:t>
      </w:r>
    </w:p>
    <w:p>
      <w:pPr>
        <w:pStyle w:val="ListBullet"/>
      </w:pPr>
      <w:r>
        <w:t>Milestone and payment schedule, and agreement on which surface ships first.</w:t>
      </w:r>
    </w:p>
    <w:p>
      <w:pPr>
        <w:pStyle w:val="ListBullet"/>
      </w:pPr>
      <w:r>
        <w:rPr>
          <w:b/>
          <w:color w:val="141922"/>
        </w:rPr>
        <w:t>Pilot partners</w:t>
      </w:r>
      <w:r>
        <w:t xml:space="preserve"> — at least one college and a handful of employers willing to test with real data.</w:t>
      </w:r>
    </w:p>
    <w:p>
      <w:r>
        <w:br w:type="page"/>
      </w:r>
    </w:p>
    <w:p>
      <w:pPr>
        <w:pStyle w:val="Heading1"/>
      </w:pPr>
      <w:r>
        <w:t>7.  Open questions</w:t>
      </w:r>
    </w:p>
    <w:p>
      <w:pPr>
        <w:spacing w:after="40"/>
      </w:pPr>
      <w:r>
        <w:rPr>
          <w:b w:val="0"/>
          <w:i/>
          <w:color w:val="707C90"/>
          <w:sz w:val="19"/>
        </w:rPr>
        <w:t>Contradictions and gaps found across the PRD and SRS. The first two are large enough to move the estimate materially and should be answered before any number is quoted.</w:t>
      </w:r>
    </w:p>
    <w:p>
      <w:pPr>
        <w:spacing w:before="80" w:after="160"/>
        <w:pBdr>
          <w:bottom w:val="single" w:sz="6" w:color="C8CEDA"/>
        </w:pBdr>
      </w:pPr>
    </w:p>
    <w:p>
      <w:pPr>
        <w:keepNext/>
        <w:spacing w:before="280" w:after="60"/>
      </w:pPr>
      <w:r>
        <w:rPr>
          <w:rFonts w:ascii="Calibri" w:hAnsi="Calibri"/>
          <w:b/>
          <w:color w:val="141922"/>
          <w:sz w:val="22"/>
        </w:rPr>
        <w:t>1. Audio-only or video? The documents disagree.</w:t>
      </w:r>
      <w:r>
        <w:rPr>
          <w:b/>
          <w:color w:val="9A2820"/>
          <w:sz w:val="15"/>
        </w:rPr>
        <w:t xml:space="preserve">  [BLOCKER]</w:t>
      </w:r>
    </w:p>
    <w:p>
      <w:pPr>
        <w:spacing w:after="100"/>
        <w:ind w:left="259"/>
      </w:pPr>
      <w:r>
        <w:rPr>
          <w:sz w:val="20"/>
        </w:rPr>
        <w:t xml:space="preserve">The PRD (§4.4) says the candidate records responses as </w:t>
      </w:r>
      <w:r>
        <w:rPr>
          <w:i/>
          <w:sz w:val="20"/>
        </w:rPr>
        <w:t>“audio/video”</w:t>
      </w:r>
      <w:r>
        <w:rPr>
          <w:sz w:val="20"/>
        </w:rPr>
        <w:t xml:space="preserve"> and lists </w:t>
      </w:r>
      <w:r>
        <w:rPr>
          <w:b/>
          <w:color w:val="141922"/>
          <w:sz w:val="20"/>
        </w:rPr>
        <w:t>camera and lighting</w:t>
      </w:r>
      <w:r>
        <w:rPr>
          <w:sz w:val="20"/>
        </w:rPr>
        <w:t xml:space="preserve"> in the pre-payment device check. The SRS (§2.7) states in bold that these are </w:t>
      </w:r>
      <w:r>
        <w:rPr>
          <w:i/>
          <w:sz w:val="20"/>
        </w:rPr>
        <w:t>“phone-based audio interviews only… There is no camera, video capture, or video-based interview experience.”</w:t>
      </w:r>
    </w:p>
    <w:p>
      <w:pPr>
        <w:spacing w:after="100"/>
        <w:ind w:left="259"/>
      </w:pPr>
      <w:r>
        <w:rPr>
          <w:sz w:val="20"/>
        </w:rPr>
        <w:t>The SRS filename is versioned v3_Phone_Interview and is almost certainly newer — but its own device-check table still lists “Lighting” as a check. The contradiction survives inside the newer document.</w:t>
      </w:r>
    </w:p>
    <w:p>
      <w:pPr>
        <w:spacing w:before="80" w:after="200"/>
        <w:ind w:left="259"/>
      </w:pPr>
      <w:r>
        <w:rPr>
          <w:b/>
          <w:color w:val="8A6014"/>
          <w:sz w:val="15"/>
        </w:rPr>
        <w:t xml:space="preserve">ASK  </w:t>
      </w:r>
      <w:r>
        <w:rPr>
          <w:rFonts w:ascii="Consolas" w:hAnsi="Consolas"/>
          <w:color w:val="141922"/>
          <w:sz w:val="18"/>
        </w:rPr>
        <w:t>Which is it, and can we have it in writing?</w:t>
      </w:r>
    </w:p>
    <w:p>
      <w:pPr>
        <w:keepNext/>
        <w:spacing w:before="280" w:after="60"/>
      </w:pPr>
      <w:r>
        <w:rPr>
          <w:rFonts w:ascii="Calibri" w:hAnsi="Calibri"/>
          <w:b/>
          <w:color w:val="141922"/>
          <w:sz w:val="22"/>
        </w:rPr>
        <w:t>2. “Phone-based” — a real call, or in-app recording?</w:t>
      </w:r>
      <w:r>
        <w:rPr>
          <w:b/>
          <w:color w:val="9A2820"/>
          <w:sz w:val="15"/>
        </w:rPr>
        <w:t xml:space="preserve">  [BLOCKER]</w:t>
      </w:r>
    </w:p>
    <w:p>
      <w:pPr>
        <w:spacing w:after="100"/>
        <w:ind w:left="259"/>
      </w:pPr>
      <w:r>
        <w:rPr>
          <w:sz w:val="20"/>
        </w:rPr>
        <w:t xml:space="preserve">SRS §1.10.4 describes the system asking questions live and the candidate answering </w:t>
      </w:r>
      <w:r>
        <w:rPr>
          <w:i/>
          <w:sz w:val="20"/>
        </w:rPr>
        <w:t>“over the phone”</w:t>
      </w:r>
      <w:r>
        <w:rPr>
          <w:sz w:val="20"/>
        </w:rPr>
        <w:t>, which reads as a genuine PSTN call placed by the platform. But §1.10.5 describes local storage, per-question upload, a retry queue and offline recovery — behavior that only makes sense for in-app recording.</w:t>
      </w:r>
    </w:p>
    <w:p>
      <w:pPr>
        <w:spacing w:after="100"/>
        <w:ind w:left="259"/>
      </w:pPr>
      <w:r>
        <w:rPr>
          <w:sz w:val="20"/>
        </w:rPr>
        <w:t>These are different builds. In-app recording needs no telephony vendor and matches the described retry logic. A real phone call needs Amazon Connect or an Indian provider such as Exotel or Knowlarity, carries telephony regulatory work, requires real-time streaming speech-to-text, and invalidates the entire dropped-connection recovery model as written.</w:t>
      </w:r>
    </w:p>
    <w:p>
      <w:pPr>
        <w:spacing w:after="100"/>
        <w:ind w:left="259"/>
      </w:pPr>
      <w:r>
        <w:rPr>
          <w:sz w:val="20"/>
        </w:rPr>
        <w:t xml:space="preserve">This single question can move the estimate by </w:t>
      </w:r>
      <w:r>
        <w:rPr>
          <w:b/>
          <w:color w:val="141922"/>
          <w:sz w:val="20"/>
        </w:rPr>
        <w:t>four to six weeks</w:t>
      </w:r>
      <w:r>
        <w:rPr>
          <w:sz w:val="20"/>
        </w:rPr>
        <w:t>. It should be the first thing answered.</w:t>
      </w:r>
    </w:p>
    <w:p>
      <w:pPr>
        <w:spacing w:before="80" w:after="200"/>
        <w:ind w:left="259"/>
      </w:pPr>
      <w:r>
        <w:rPr>
          <w:b/>
          <w:color w:val="8A6014"/>
          <w:sz w:val="15"/>
        </w:rPr>
        <w:t xml:space="preserve">ASK  </w:t>
      </w:r>
      <w:r>
        <w:rPr>
          <w:rFonts w:ascii="Consolas" w:hAnsi="Consolas"/>
          <w:color w:val="141922"/>
          <w:sz w:val="18"/>
        </w:rPr>
        <w:t>Does the platform call the candidate, or does the candidate record in the app?</w:t>
      </w:r>
    </w:p>
    <w:p>
      <w:pPr>
        <w:keepNext/>
        <w:spacing w:before="280" w:after="60"/>
      </w:pPr>
      <w:r>
        <w:rPr>
          <w:rFonts w:ascii="Calibri" w:hAnsi="Calibri"/>
          <w:b/>
          <w:color w:val="141922"/>
          <w:sz w:val="22"/>
        </w:rPr>
        <w:t>3. After unlock, does the employer see the real score or the floored one?</w:t>
      </w:r>
      <w:r>
        <w:rPr>
          <w:b/>
          <w:color w:val="8A6412"/>
          <w:sz w:val="15"/>
        </w:rPr>
        <w:t xml:space="preserve">  [DECISION NEEDED]</w:t>
      </w:r>
    </w:p>
    <w:p>
      <w:pPr>
        <w:spacing w:after="100"/>
        <w:ind w:left="259"/>
      </w:pPr>
      <w:r>
        <w:rPr>
          <w:sz w:val="20"/>
        </w:rPr>
        <w:t>Rule 2 floors the displayed score at 680. After a paid unlock the employer is shown “the exact score”. If a candidate's true score is 540, the candidate sees 680 while the paying employer sees 540 — a trust problem, and arguably a disclosure one. If the employer also sees 680, then score-based filtering below 680 becomes meaningless and the threshold feature loses its purpose.</w:t>
      </w:r>
    </w:p>
    <w:p>
      <w:pPr>
        <w:spacing w:after="100"/>
        <w:ind w:left="259"/>
      </w:pPr>
      <w:r>
        <w:rPr>
          <w:sz w:val="20"/>
        </w:rPr>
        <w:t>Neither document resolves this.</w:t>
      </w:r>
    </w:p>
    <w:p>
      <w:pPr>
        <w:spacing w:before="80" w:after="200"/>
        <w:ind w:left="259"/>
      </w:pPr>
      <w:r>
        <w:rPr>
          <w:b/>
          <w:color w:val="8A6014"/>
          <w:sz w:val="15"/>
        </w:rPr>
        <w:t xml:space="preserve">ASK  </w:t>
      </w:r>
      <w:r>
        <w:rPr>
          <w:rFonts w:ascii="Consolas" w:hAnsi="Consolas"/>
          <w:color w:val="141922"/>
          <w:sz w:val="18"/>
        </w:rPr>
        <w:t>Which value does a paying employer see post-unlock?</w:t>
      </w:r>
    </w:p>
    <w:p>
      <w:pPr>
        <w:keepNext/>
        <w:spacing w:before="280" w:after="60"/>
      </w:pPr>
      <w:r>
        <w:rPr>
          <w:rFonts w:ascii="Calibri" w:hAnsi="Calibri"/>
          <w:b/>
          <w:color w:val="141922"/>
          <w:sz w:val="22"/>
        </w:rPr>
        <w:t>4. Job thresholds versus the display floor</w:t>
      </w:r>
      <w:r>
        <w:rPr>
          <w:b/>
          <w:color w:val="8A6412"/>
          <w:sz w:val="15"/>
        </w:rPr>
        <w:t xml:space="preserve">  [DECISION NEEDED]</w:t>
      </w:r>
    </w:p>
    <w:p>
      <w:pPr>
        <w:spacing w:after="100"/>
        <w:ind w:left="259"/>
      </w:pPr>
      <w:r>
        <w:rPr>
          <w:sz w:val="20"/>
        </w:rPr>
        <w:t xml:space="preserve">SRS §1.7.2 requires eligibility to be computed against the </w:t>
      </w:r>
      <w:r>
        <w:rPr>
          <w:i/>
          <w:sz w:val="20"/>
        </w:rPr>
        <w:t>authoritative</w:t>
      </w:r>
      <w:r>
        <w:rPr>
          <w:sz w:val="20"/>
        </w:rPr>
        <w:t xml:space="preserve"> score, while the candidate is shown the floored one. A candidate seeing “680” who is told they fail a 680-threshold job will read it as a bug.</w:t>
      </w:r>
    </w:p>
    <w:p>
      <w:pPr>
        <w:spacing w:before="80" w:after="200"/>
        <w:ind w:left="259"/>
      </w:pPr>
      <w:r>
        <w:rPr>
          <w:b/>
          <w:color w:val="8A6014"/>
          <w:sz w:val="15"/>
        </w:rPr>
        <w:t xml:space="preserve">ASK  </w:t>
      </w:r>
      <w:r>
        <w:rPr>
          <w:rFonts w:ascii="Consolas" w:hAnsi="Consolas"/>
          <w:color w:val="141922"/>
          <w:sz w:val="18"/>
        </w:rPr>
        <w:t>What does the candidate-facing copy say in that case?</w:t>
      </w:r>
    </w:p>
    <w:p>
      <w:pPr>
        <w:keepNext/>
        <w:spacing w:before="280" w:after="60"/>
      </w:pPr>
      <w:r>
        <w:rPr>
          <w:rFonts w:ascii="Calibri" w:hAnsi="Calibri"/>
          <w:b/>
          <w:color w:val="141922"/>
          <w:sz w:val="22"/>
        </w:rPr>
        <w:t>5. Data deletion conflicts with audit immutability</w:t>
      </w:r>
      <w:r>
        <w:rPr>
          <w:b/>
          <w:color w:val="8A6412"/>
          <w:sz w:val="15"/>
        </w:rPr>
        <w:t xml:space="preserve">  [DECISION NEEDED]</w:t>
      </w:r>
    </w:p>
    <w:p>
      <w:pPr>
        <w:spacing w:after="100"/>
        <w:ind w:left="259"/>
      </w:pPr>
      <w:r>
        <w:rPr>
          <w:sz w:val="20"/>
        </w:rPr>
        <w:t>Rule 9 requires append-only audit records. The privacy section requires account deletion on request. These pull against each other and the resolution is a policy decision, not an engineering one.</w:t>
      </w:r>
    </w:p>
    <w:p>
      <w:pPr>
        <w:spacing w:before="80" w:after="200"/>
        <w:ind w:left="259"/>
      </w:pPr>
      <w:r>
        <w:rPr>
          <w:b/>
          <w:color w:val="8A6014"/>
          <w:sz w:val="15"/>
        </w:rPr>
        <w:t xml:space="preserve">ASK  </w:t>
      </w:r>
      <w:r>
        <w:rPr>
          <w:rFonts w:ascii="Consolas" w:hAnsi="Consolas"/>
          <w:color w:val="141922"/>
          <w:sz w:val="18"/>
        </w:rPr>
        <w:t>Which fields are hard-deleted, which are anonymized, and what do audit records retain?</w:t>
      </w:r>
    </w:p>
    <w:p>
      <w:pPr>
        <w:keepNext/>
        <w:spacing w:before="280" w:after="60"/>
      </w:pPr>
      <w:r>
        <w:rPr>
          <w:rFonts w:ascii="Calibri" w:hAnsi="Calibri"/>
          <w:b/>
          <w:color w:val="141922"/>
          <w:sz w:val="22"/>
        </w:rPr>
        <w:t>6. Two separate consent scopes</w:t>
      </w:r>
      <w:r>
        <w:rPr>
          <w:b/>
          <w:color w:val="8A6412"/>
          <w:sz w:val="15"/>
        </w:rPr>
        <w:t xml:space="preserve">  [DECISION NEEDED]</w:t>
      </w:r>
    </w:p>
    <w:p>
      <w:pPr>
        <w:spacing w:after="100"/>
        <w:ind w:left="259"/>
      </w:pPr>
      <w:r>
        <w:rPr>
          <w:sz w:val="20"/>
        </w:rPr>
        <w:t>Roster-link consent (the college may see that you exist) and individual-visibility consent (the college may see your data) are distinct in the SRS, which requires consent to be stored with scope, timestamp, version and status, and to be revocable.</w:t>
      </w:r>
    </w:p>
    <w:p>
      <w:pPr>
        <w:spacing w:after="100"/>
        <w:ind w:left="259"/>
      </w:pPr>
      <w:r>
        <w:rPr>
          <w:sz w:val="20"/>
        </w:rPr>
        <w:t>This must be modeled correctly from the first migration. Retrofitting a consent model onto a live system with real student data is painful and legally exposed.</w:t>
      </w:r>
    </w:p>
    <w:p>
      <w:pPr>
        <w:spacing w:before="80" w:after="200"/>
        <w:ind w:left="259"/>
      </w:pPr>
      <w:r>
        <w:rPr>
          <w:b/>
          <w:color w:val="8A6014"/>
          <w:sz w:val="15"/>
        </w:rPr>
        <w:t xml:space="preserve">ASK  </w:t>
      </w:r>
      <w:r>
        <w:rPr>
          <w:rFonts w:ascii="Consolas" w:hAnsi="Consolas"/>
          <w:color w:val="141922"/>
          <w:sz w:val="18"/>
        </w:rPr>
        <w:t>Confirm the exact scopes and what each one unlocks.</w:t>
      </w:r>
    </w:p>
    <w:p>
      <w:pPr>
        <w:keepNext/>
        <w:spacing w:before="280" w:after="60"/>
      </w:pPr>
      <w:r>
        <w:rPr>
          <w:rFonts w:ascii="Calibri" w:hAnsi="Calibri"/>
          <w:b/>
          <w:color w:val="141922"/>
          <w:sz w:val="22"/>
        </w:rPr>
        <w:t>7. PRD §1.1 says “all five surfaces” but lists four</w:t>
      </w:r>
      <w:r>
        <w:rPr>
          <w:b/>
          <w:color w:val="707C90"/>
          <w:sz w:val="15"/>
        </w:rPr>
        <w:t xml:space="preserve">  [NOTED]</w:t>
      </w:r>
    </w:p>
    <w:p>
      <w:pPr>
        <w:spacing w:after="100"/>
        <w:ind w:left="259"/>
      </w:pPr>
      <w:r>
        <w:rPr>
          <w:sz w:val="20"/>
        </w:rPr>
        <w:t>Almost certainly a documentation typo rather than a missing surface — worth a one-line confirmation.</w:t>
      </w:r>
    </w:p>
    <w:p>
      <w:pPr>
        <w:keepNext/>
        <w:spacing w:before="280" w:after="60"/>
      </w:pPr>
      <w:r>
        <w:rPr>
          <w:rFonts w:ascii="Calibri" w:hAnsi="Calibri"/>
          <w:b/>
          <w:color w:val="141922"/>
          <w:sz w:val="22"/>
        </w:rPr>
        <w:t>8. Hire-event billing is explicitly deferred</w:t>
      </w:r>
      <w:r>
        <w:rPr>
          <w:b/>
          <w:color w:val="707C90"/>
          <w:sz w:val="15"/>
        </w:rPr>
        <w:t xml:space="preserve">  [NOTED]</w:t>
      </w:r>
    </w:p>
    <w:p>
      <w:pPr>
        <w:spacing w:after="100"/>
        <w:ind w:left="259"/>
      </w:pPr>
      <w:r>
        <w:rPr>
          <w:sz w:val="20"/>
        </w:rPr>
        <w:t xml:space="preserve">The SRS states the billing behavior for hire events remains a business decision and </w:t>
      </w:r>
      <w:r>
        <w:rPr>
          <w:i/>
          <w:sz w:val="20"/>
        </w:rPr>
        <w:t>“must not be assumed in the UI contract.”</w:t>
      </w:r>
      <w:r>
        <w:rPr>
          <w:sz w:val="20"/>
        </w:rPr>
        <w:t xml:space="preserve"> Building the hire confirmation flow is fine; the billing hook stays a stub until this lands.</w:t>
      </w:r>
    </w:p>
    <w:p>
      <w:r>
        <w:br w:type="page"/>
      </w:r>
    </w:p>
    <w:p>
      <w:pPr>
        <w:pStyle w:val="Heading1"/>
      </w:pPr>
      <w:r>
        <w:t>8.  Scale and phasing</w:t>
      </w:r>
    </w:p>
    <w:p>
      <w:pPr>
        <w:spacing w:after="40"/>
      </w:pPr>
      <w:r>
        <w:rPr>
          <w:b w:val="0"/>
          <w:i/>
          <w:color w:val="707C90"/>
          <w:sz w:val="19"/>
        </w:rPr>
        <w:t>An honest read of the size of this build, and the order that de-risks it.</w:t>
      </w:r>
    </w:p>
    <w:p>
      <w:pPr>
        <w:spacing w:before="80" w:after="160"/>
        <w:pBdr>
          <w:bottom w:val="single" w:sz="6" w:color="C8CEDA"/>
        </w:pBdr>
      </w:pPr>
    </w:p>
    <w:tbl>
      <w:tblPr>
        <w:tblStyle w:val="TableGrid"/>
        <w:tblW w:type="auto" w:w="0"/>
        <w:jc w:val="left"/>
        <w:tblLook w:firstColumn="1" w:firstRow="1" w:lastColumn="0" w:lastRow="0" w:noHBand="0" w:noVBand="1" w:val="04A0"/>
      </w:tblPr>
      <w:tblGrid>
        <w:gridCol w:w="4680"/>
        <w:gridCol w:w="4680"/>
      </w:tblGrid>
      <w:tr>
        <w:tc>
          <w:tcPr>
            <w:tcW w:type="dxa" w:w="2736"/>
            <w:shd w:val="clear" w:color="auto" w:fill="EEF1F5"/>
          </w:tcPr>
          <w:p>
            <w:pPr>
              <w:spacing w:before="60" w:after="60"/>
            </w:pPr>
            <w:r/>
            <w:r>
              <w:rPr>
                <w:rFonts w:ascii="Calibri" w:hAnsi="Calibri"/>
                <w:b/>
                <w:color w:val="707C90"/>
                <w:sz w:val="15"/>
              </w:rPr>
              <w:t>DIMENSION</w:t>
            </w:r>
          </w:p>
        </w:tc>
        <w:tc>
          <w:tcPr>
            <w:tcW w:type="dxa" w:w="6264"/>
            <w:shd w:val="clear" w:color="auto" w:fill="EEF1F5"/>
          </w:tcPr>
          <w:p>
            <w:pPr>
              <w:spacing w:before="60" w:after="60"/>
            </w:pPr>
            <w:r/>
            <w:r>
              <w:rPr>
                <w:rFonts w:ascii="Calibri" w:hAnsi="Calibri"/>
                <w:b/>
                <w:color w:val="707C90"/>
                <w:sz w:val="15"/>
              </w:rPr>
              <w:t>EXTENT</w:t>
            </w:r>
          </w:p>
        </w:tc>
      </w:tr>
      <w:tr>
        <w:tc>
          <w:tcPr>
            <w:tcW w:type="dxa" w:w="2736"/>
          </w:tcPr>
          <w:p>
            <w:pPr>
              <w:spacing w:before="60" w:after="60"/>
            </w:pPr>
            <w:r/>
            <w:r>
              <w:rPr>
                <w:rFonts w:ascii="Calibri" w:hAnsi="Calibri"/>
                <w:b/>
                <w:color w:val="141922"/>
                <w:sz w:val="19"/>
              </w:rPr>
              <w:t>Client applications</w:t>
            </w:r>
          </w:p>
        </w:tc>
        <w:tc>
          <w:tcPr>
            <w:tcW w:type="dxa" w:w="6264"/>
          </w:tcPr>
          <w:p>
            <w:pPr>
              <w:spacing w:before="60" w:after="60"/>
            </w:pPr>
            <w:r/>
            <w:r>
              <w:rPr>
                <w:rFonts w:ascii="Calibri" w:hAnsi="Calibri"/>
                <w:color w:val="444F60"/>
                <w:sz w:val="19"/>
              </w:rPr>
              <w:t>Four — one mobile, three desktop web. Roughly 55–70 distinct screens</w:t>
            </w:r>
          </w:p>
        </w:tc>
      </w:tr>
      <w:tr>
        <w:tc>
          <w:tcPr>
            <w:tcW w:type="dxa" w:w="2736"/>
          </w:tcPr>
          <w:p>
            <w:pPr>
              <w:spacing w:before="60" w:after="60"/>
            </w:pPr>
            <w:r/>
            <w:r>
              <w:rPr>
                <w:rFonts w:ascii="Calibri" w:hAnsi="Calibri"/>
                <w:b/>
                <w:color w:val="141922"/>
                <w:sz w:val="19"/>
              </w:rPr>
              <w:t>Backend</w:t>
            </w:r>
          </w:p>
        </w:tc>
        <w:tc>
          <w:tcPr>
            <w:tcW w:type="dxa" w:w="6264"/>
          </w:tcPr>
          <w:p>
            <w:pPr>
              <w:spacing w:before="60" w:after="60"/>
            </w:pPr>
            <w:r/>
            <w:r>
              <w:rPr>
                <w:rFonts w:ascii="Calibri" w:hAnsi="Calibri"/>
                <w:color w:val="444F60"/>
                <w:sz w:val="19"/>
              </w:rPr>
              <w:t>One API, around 20 domain modules, async workers, and a payments and entitlements layer</w:t>
            </w:r>
          </w:p>
        </w:tc>
      </w:tr>
      <w:tr>
        <w:tc>
          <w:tcPr>
            <w:tcW w:type="dxa" w:w="2736"/>
          </w:tcPr>
          <w:p>
            <w:pPr>
              <w:spacing w:before="60" w:after="60"/>
            </w:pPr>
            <w:r/>
            <w:r>
              <w:rPr>
                <w:rFonts w:ascii="Calibri" w:hAnsi="Calibri"/>
                <w:b/>
                <w:color w:val="141922"/>
                <w:sz w:val="19"/>
              </w:rPr>
              <w:t>Third-party integrations</w:t>
            </w:r>
          </w:p>
        </w:tc>
        <w:tc>
          <w:tcPr>
            <w:tcW w:type="dxa" w:w="6264"/>
          </w:tcPr>
          <w:p>
            <w:pPr>
              <w:spacing w:before="60" w:after="60"/>
            </w:pPr>
            <w:r/>
            <w:r>
              <w:rPr>
                <w:rFonts w:ascii="Calibri" w:hAnsi="Calibri"/>
                <w:color w:val="444F60"/>
                <w:sz w:val="19"/>
              </w:rPr>
              <w:t>Three minimum — payments, KYB, SMS — plus two AI pipelines</w:t>
            </w:r>
          </w:p>
        </w:tc>
      </w:tr>
      <w:tr>
        <w:tc>
          <w:tcPr>
            <w:tcW w:type="dxa" w:w="2736"/>
          </w:tcPr>
          <w:p>
            <w:pPr>
              <w:spacing w:before="60" w:after="60"/>
            </w:pPr>
            <w:r/>
            <w:r>
              <w:rPr>
                <w:rFonts w:ascii="Calibri" w:hAnsi="Calibri"/>
                <w:b/>
                <w:color w:val="141922"/>
                <w:sz w:val="19"/>
              </w:rPr>
              <w:t>Cross-cutting requirements</w:t>
            </w:r>
          </w:p>
        </w:tc>
        <w:tc>
          <w:tcPr>
            <w:tcW w:type="dxa" w:w="6264"/>
          </w:tcPr>
          <w:p>
            <w:pPr>
              <w:spacing w:before="60" w:after="60"/>
            </w:pPr>
            <w:r/>
            <w:r>
              <w:rPr>
                <w:rFonts w:ascii="Calibri" w:hAnsi="Calibri"/>
                <w:color w:val="444F60"/>
                <w:sz w:val="19"/>
              </w:rPr>
              <w:t>Multi-tenant isolation, RBAC, consent management, audit trail — all first-class, all with explicit acceptance criteria</w:t>
            </w:r>
          </w:p>
        </w:tc>
      </w:tr>
      <w:tr>
        <w:tc>
          <w:tcPr>
            <w:tcW w:type="dxa" w:w="2736"/>
          </w:tcPr>
          <w:p>
            <w:pPr>
              <w:spacing w:before="60" w:after="60"/>
            </w:pPr>
            <w:r/>
            <w:r>
              <w:rPr>
                <w:rFonts w:ascii="Calibri" w:hAnsi="Calibri"/>
                <w:b/>
                <w:color w:val="141922"/>
                <w:sz w:val="19"/>
              </w:rPr>
              <w:t>Localization</w:t>
            </w:r>
          </w:p>
        </w:tc>
        <w:tc>
          <w:tcPr>
            <w:tcW w:type="dxa" w:w="6264"/>
          </w:tcPr>
          <w:p>
            <w:pPr>
              <w:spacing w:before="60" w:after="60"/>
            </w:pPr>
            <w:r/>
            <w:r>
              <w:rPr>
                <w:rFonts w:ascii="Calibri" w:hAnsi="Calibri"/>
                <w:color w:val="444F60"/>
                <w:sz w:val="19"/>
              </w:rPr>
              <w:t>Eight languages, resource-driven, no hardcoded user-facing strings anywhere</w:t>
            </w:r>
          </w:p>
        </w:tc>
      </w:tr>
      <w:tr>
        <w:tc>
          <w:tcPr>
            <w:tcW w:type="dxa" w:w="2736"/>
          </w:tcPr>
          <w:p>
            <w:pPr>
              <w:spacing w:before="60" w:after="60"/>
            </w:pPr>
            <w:r/>
            <w:r>
              <w:rPr>
                <w:rFonts w:ascii="Calibri" w:hAnsi="Calibri"/>
                <w:b/>
                <w:color w:val="141922"/>
                <w:sz w:val="19"/>
              </w:rPr>
              <w:t>Acceptance criteria</w:t>
            </w:r>
          </w:p>
        </w:tc>
        <w:tc>
          <w:tcPr>
            <w:tcW w:type="dxa" w:w="6264"/>
          </w:tcPr>
          <w:p>
            <w:pPr>
              <w:spacing w:before="60" w:after="60"/>
            </w:pPr>
            <w:r/>
            <w:r>
              <w:rPr>
                <w:rFonts w:ascii="Calibri" w:hAnsi="Calibri"/>
                <w:color w:val="444F60"/>
                <w:sz w:val="19"/>
              </w:rPr>
              <w:t>Over 25 enumerated in SRS §2.25, and the build will be measured against them</w:t>
            </w:r>
          </w:p>
        </w:tc>
      </w:tr>
    </w:tbl>
    <w:p>
      <w:pPr>
        <w:spacing w:after="80"/>
      </w:pPr>
    </w:p>
    <w:p>
      <w:r>
        <w:t xml:space="preserve">At full scope, with a single engineer, this is a </w:t>
      </w:r>
      <w:r>
        <w:rPr>
          <w:b/>
          <w:color w:val="141922"/>
        </w:rPr>
        <w:t>six to ten month</w:t>
      </w:r>
      <w:r>
        <w:t xml:space="preserve"> build. If the expectation on the client's side is eight to twelve weeks, that conversation needs to happen now rather than in month three.</w:t>
      </w:r>
    </w:p>
    <w:p>
      <w:pPr>
        <w:pStyle w:val="Heading2"/>
      </w:pPr>
      <w:r>
        <w:t>Recommended phasing</w:t>
      </w:r>
    </w:p>
    <w:p>
      <w:pPr>
        <w:spacing w:before="160" w:after="20"/>
        <w:ind w:left="461" w:hanging="461"/>
      </w:pPr>
      <w:r>
        <w:rPr>
          <w:rFonts w:ascii="Consolas" w:hAnsi="Consolas"/>
          <w:b/>
          <w:color w:val="8A6014"/>
          <w:sz w:val="19"/>
        </w:rPr>
        <w:t xml:space="preserve">1.  </w:t>
      </w:r>
      <w:r>
        <w:rPr>
          <w:b/>
          <w:color w:val="141922"/>
          <w:sz w:val="21"/>
        </w:rPr>
        <w:t>Backend foundation, auth, and the candidate scoring loop</w:t>
      </w:r>
    </w:p>
    <w:p>
      <w:pPr>
        <w:spacing w:after="40"/>
        <w:ind w:left="461"/>
      </w:pPr>
      <w:r>
        <w:rPr>
          <w:color w:val="444F60"/>
          <w:sz w:val="20"/>
        </w:rPr>
        <w:t>Resume intake → parse → review → score → share. This is the demoable core and the part users and investors react to.</w:t>
      </w:r>
    </w:p>
    <w:p>
      <w:pPr>
        <w:spacing w:before="160" w:after="20"/>
        <w:ind w:left="461" w:hanging="461"/>
      </w:pPr>
      <w:r>
        <w:rPr>
          <w:rFonts w:ascii="Consolas" w:hAnsi="Consolas"/>
          <w:b/>
          <w:color w:val="8A6014"/>
          <w:sz w:val="19"/>
        </w:rPr>
        <w:t xml:space="preserve">2.  </w:t>
      </w:r>
      <w:r>
        <w:rPr>
          <w:b/>
          <w:color w:val="141922"/>
          <w:sz w:val="21"/>
        </w:rPr>
        <w:t>Employer console: KYB, jobs, applications pipeline</w:t>
      </w:r>
    </w:p>
    <w:p>
      <w:pPr>
        <w:spacing w:after="40"/>
        <w:ind w:left="461"/>
      </w:pPr>
      <w:r>
        <w:rPr>
          <w:color w:val="444F60"/>
          <w:sz w:val="20"/>
        </w:rPr>
        <w:t>Plus the admin KYB queue, which is required to unblock employers at all.</w:t>
      </w:r>
    </w:p>
    <w:p>
      <w:pPr>
        <w:spacing w:before="160" w:after="20"/>
        <w:ind w:left="461" w:hanging="461"/>
      </w:pPr>
      <w:r>
        <w:rPr>
          <w:rFonts w:ascii="Consolas" w:hAnsi="Consolas"/>
          <w:b/>
          <w:color w:val="8A6014"/>
          <w:sz w:val="19"/>
        </w:rPr>
        <w:t xml:space="preserve">3.  </w:t>
      </w:r>
      <w:r>
        <w:rPr>
          <w:b/>
          <w:color w:val="141922"/>
          <w:sz w:val="21"/>
        </w:rPr>
        <w:t>Candidate discovery, unlock, payments and wallet</w:t>
      </w:r>
    </w:p>
    <w:p>
      <w:pPr>
        <w:spacing w:after="40"/>
        <w:ind w:left="461"/>
      </w:pPr>
      <w:r>
        <w:rPr>
          <w:color w:val="444F60"/>
          <w:sz w:val="20"/>
        </w:rPr>
        <w:t>Where revenue starts — and where reconciliation and idempotency get genuinely deep.</w:t>
      </w:r>
    </w:p>
    <w:p>
      <w:pPr>
        <w:spacing w:before="160" w:after="20"/>
        <w:ind w:left="461" w:hanging="461"/>
      </w:pPr>
      <w:r>
        <w:rPr>
          <w:rFonts w:ascii="Consolas" w:hAnsi="Consolas"/>
          <w:b/>
          <w:color w:val="8A6014"/>
          <w:sz w:val="19"/>
        </w:rPr>
        <w:t xml:space="preserve">4.  </w:t>
      </w:r>
      <w:r>
        <w:rPr>
          <w:b/>
          <w:color w:val="141922"/>
          <w:sz w:val="21"/>
        </w:rPr>
        <w:t>AI mock interview and questionnaire</w:t>
      </w:r>
    </w:p>
    <w:p>
      <w:pPr>
        <w:spacing w:after="40"/>
        <w:ind w:left="461"/>
      </w:pPr>
      <w:r>
        <w:rPr>
          <w:color w:val="444F60"/>
          <w:sz w:val="20"/>
        </w:rPr>
        <w:t>The paid candidate-side product. Blocked on open questions 1 and 2.</w:t>
      </w:r>
    </w:p>
    <w:p>
      <w:pPr>
        <w:spacing w:before="160" w:after="20"/>
        <w:ind w:left="461" w:hanging="461"/>
      </w:pPr>
      <w:r>
        <w:rPr>
          <w:rFonts w:ascii="Consolas" w:hAnsi="Consolas"/>
          <w:b/>
          <w:color w:val="8A6014"/>
          <w:sz w:val="19"/>
        </w:rPr>
        <w:t xml:space="preserve">5.  </w:t>
      </w:r>
      <w:r>
        <w:rPr>
          <w:b/>
          <w:color w:val="141922"/>
          <w:sz w:val="21"/>
        </w:rPr>
        <w:t>College console and the remaining admin surfaces</w:t>
      </w:r>
    </w:p>
    <w:p>
      <w:pPr>
        <w:spacing w:after="40"/>
        <w:ind w:left="461"/>
      </w:pPr>
      <w:r>
        <w:rPr>
          <w:color w:val="444F60"/>
          <w:sz w:val="20"/>
        </w:rPr>
        <w:t>Roster, consent, analytics, placements; integrity queue, disputes, audit UI.</w:t>
      </w:r>
    </w:p>
    <w:p>
      <w:pPr>
        <w:spacing w:before="160" w:after="20"/>
        <w:ind w:left="461" w:hanging="461"/>
      </w:pPr>
      <w:r>
        <w:rPr>
          <w:rFonts w:ascii="Consolas" w:hAnsi="Consolas"/>
          <w:b/>
          <w:color w:val="8A6014"/>
          <w:sz w:val="19"/>
        </w:rPr>
        <w:t xml:space="preserve">6.  </w:t>
      </w:r>
      <w:r>
        <w:rPr>
          <w:b/>
          <w:color w:val="141922"/>
          <w:sz w:val="21"/>
        </w:rPr>
        <w:t>Localization, accessibility, and low-end Android hardening</w:t>
      </w:r>
    </w:p>
    <w:p>
      <w:pPr>
        <w:spacing w:after="40"/>
        <w:ind w:left="461"/>
      </w:pPr>
      <w:r>
        <w:rPr>
          <w:color w:val="444F60"/>
          <w:sz w:val="20"/>
        </w:rPr>
        <w:t>Eight languages, keyboard navigation, contrast, and real-device performance testing.</w:t>
      </w:r>
    </w:p>
    <w:p/>
    <w:tbl>
      <w:tblPr>
        <w:tblStyle w:val="TableGrid"/>
        <w:tblW w:type="auto" w:w="0"/>
        <w:tblLook w:firstColumn="1" w:firstRow="1" w:lastColumn="0" w:lastRow="0" w:noHBand="0" w:noVBand="1" w:val="04A0"/>
      </w:tblPr>
      <w:tblGrid>
        <w:gridCol w:w="9360"/>
      </w:tblGrid>
      <w:tr>
        <w:tc>
          <w:tcPr>
            <w:tcW w:type="dxa" w:w="9360"/>
            <w:shd w:val="clear" w:color="auto" w:fill="F4F6FA"/>
          </w:tcPr>
          <w:p>
            <w:pPr>
              <w:spacing w:before="80" w:after="60"/>
            </w:pPr>
            <w:r/>
            <w:r>
              <w:rPr>
                <w:b/>
                <w:color w:val="1F3A6E"/>
                <w:sz w:val="15"/>
              </w:rPr>
              <w:t>WHERE THE RISK CONCENTRATES</w:t>
            </w:r>
          </w:p>
          <w:p>
            <w:pPr>
              <w:spacing w:after="60"/>
            </w:pPr>
            <w:r>
              <w:rPr>
                <w:color w:val="444F60"/>
                <w:sz w:val="19"/>
              </w:rPr>
              <w:t>Phases 3 and 4 are the ones most likely to overrun. Payments reconciliation, idempotency across unlock and entitlement, and the interview processing pipeline are all deceptively deep, and all three depend on vendor decisions the client has not yet made.</w:t>
            </w:r>
          </w:p>
        </w:tc>
      </w:tr>
    </w:tbl>
    <w:p>
      <w:pPr>
        <w:spacing w:after="80"/>
      </w:pPr>
    </w:p>
    <w:p>
      <w:pPr>
        <w:pStyle w:val="Heading1"/>
      </w:pPr>
      <w:r>
        <w:t>Recommended next step</w:t>
      </w:r>
    </w:p>
    <w:p>
      <w:r>
        <w:t xml:space="preserve">Send the client the dependency list and the open questions as a single document, and hold the quote until three things are answered: </w:t>
      </w:r>
      <w:r>
        <w:rPr>
          <w:b/>
          <w:color w:val="141922"/>
        </w:rPr>
        <w:t>audio versus video</w:t>
      </w:r>
      <w:r>
        <w:t xml:space="preserve">, </w:t>
      </w:r>
      <w:r>
        <w:rPr>
          <w:b/>
          <w:color w:val="141922"/>
        </w:rPr>
        <w:t>real phone call versus in-app recording</w:t>
      </w:r>
      <w:r>
        <w:t xml:space="preserve">, and the </w:t>
      </w:r>
      <w:r>
        <w:rPr>
          <w:b/>
          <w:color w:val="141922"/>
        </w:rPr>
        <w:t>scoring algorithm specification</w:t>
      </w:r>
      <w:r>
        <w:t>.</w:t>
      </w:r>
    </w:p>
    <w:p>
      <w:r>
        <w:rPr>
          <w:b w:val="0"/>
          <w:i w:val="0"/>
        </w:rPr>
        <w:t>The first two determine the shape of an entire phase. The third is the product itself — everything else described here is the machine that delivers it.</w:t>
      </w:r>
    </w:p>
    <w:p>
      <w:pPr>
        <w:spacing w:before="280" w:after="80"/>
        <w:pBdr>
          <w:bottom w:val="single" w:sz="6" w:color="C8CEDA"/>
        </w:pBdr>
      </w:pPr>
    </w:p>
    <w:p>
      <w:r>
        <w:rPr>
          <w:b w:val="0"/>
          <w:i/>
          <w:color w:val="707C90"/>
          <w:sz w:val="17"/>
        </w:rPr>
        <w:t>Prepared from the BharatPath PRD, SRS v3 (User Flows &amp; Interface Specifications), and the platform outline.  ·  Pre-contract scoping  ·  Confidential.</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07C90"/>
        <w:sz w:val="16"/>
      </w:rPr>
      <w:t xml:space="preserve">BharatPath Build Brief  ·  Pre-contract scoping  ·  Confidential  ·  Page </w:t>
    </w:r>
    <w:fldSimple w:instr="PAGE">
      <w:r>
        <w:rPr>
          <w:sz w:val="16"/>
          <w:color w:val="707C90"/>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eastAsia="Calibri"/>
      <w:color w:val="444F6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80"/>
      <w:outlineLvl w:val="0"/>
    </w:pPr>
    <w:rPr>
      <w:rFonts w:asciiTheme="majorHAnsi" w:eastAsiaTheme="majorEastAsia" w:hAnsiTheme="majorHAnsi" w:cstheme="majorBidi" w:ascii="Georgia" w:hAnsi="Georgia"/>
      <w:b w:val="0"/>
      <w:bCs/>
      <w:i w:val="0"/>
      <w:color w:val="1F3A6E"/>
      <w:sz w:val="38"/>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i w:val="0"/>
      <w:color w:val="141922"/>
      <w:sz w:val="26"/>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i w:val="0"/>
      <w:color w:val="8A601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Georgia" w:hAnsi="Georgia"/>
      <w:b w:val="0"/>
      <w:i w:val="0"/>
      <w:color w:val="1F3A6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Georgia" w:hAnsi="Georgia"/>
      <w:b w:val="0"/>
      <w:i/>
      <w:iCs/>
      <w:color w:val="444F6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444F6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444F6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