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Calibri" w:hAnsi="Calibri"/>
          <w:b/>
          <w:color w:val="1E3A5F"/>
          <w:sz w:val="52"/>
        </w:rPr>
        <w:t>Ag–Mg Interactive Binary Phase Diagram</w:t>
      </w:r>
    </w:p>
    <w:p>
      <w:pPr>
        <w:spacing w:after="120"/>
        <w:jc w:val="center"/>
      </w:pPr>
      <w:r>
        <w:rPr>
          <w:rFonts w:ascii="Calibri" w:hAnsi="Calibri"/>
          <w:color w:val="4472C4"/>
          <w:sz w:val="28"/>
        </w:rPr>
        <w:t>A Browser-Based Interactive Tool for Materials Science Education</w:t>
      </w:r>
    </w:p>
    <w:p>
      <w:pPr>
        <w:jc w:val="center"/>
      </w:pPr>
      <w:r>
        <w:rPr>
          <w:rFonts w:ascii="Calibri Italic" w:hAnsi="Calibri Italic"/>
          <w:color w:val="606060"/>
          <w:sz w:val="22"/>
        </w:rPr>
        <w:t>April 2026  ·  Packathon Project Presentation</w:t>
      </w:r>
    </w:p>
    <w:p/>
    <w:p>
      <w:pPr>
        <w:pBdr>
          <w:bottom w:val="single" w:sz="6" w:space="1" w:color="1E3A5F"/>
        </w:pBdr>
        <w:spacing w:before="0" w:after="120"/>
      </w:pPr>
    </w:p>
    <w:p/>
    <w:p>
      <w:pPr>
        <w:pStyle w:val="Heading1"/>
      </w:pPr>
      <w:r>
        <w:rPr>
          <w:color w:val="1E3A5F"/>
        </w:rPr>
        <w:t>1. Project Overview</w:t>
      </w:r>
    </w:p>
    <w:p>
      <w:pPr>
        <w:spacing w:after="120"/>
      </w:pPr>
      <w:r>
        <w:t>The Ag–Mg Interactive Binary Phase Diagram is a zero-dependency, fully browser-based scientific tool that allows users to explore the Silver–Magnesium (Ag–Mg) binary alloy system in real time. It was developed as a Packathon project, aiming to make advanced materials science concepts — phase boundaries, lever-rule calculations, and microstructure evolution — accessible through an elegant, interactive interface.</w:t>
      </w:r>
    </w:p>
    <w:p>
      <w:pPr>
        <w:spacing w:after="120"/>
      </w:pPr>
      <w:r>
        <w:t>The application runs entirely inside a single HTML file (≈ 80 KB) with no external libraries or build steps required. It can be opened directly in any modern web browser or hosted on a static platform such as Vercel.</w:t>
      </w:r>
    </w:p>
    <w:p>
      <w:pPr>
        <w:pBdr>
          <w:bottom w:val="single" w:sz="6" w:space="1" w:color="1E3A5F"/>
        </w:pBdr>
        <w:spacing w:before="0" w:after="120"/>
      </w:pPr>
    </w:p>
    <w:p>
      <w:pPr>
        <w:pStyle w:val="Heading1"/>
      </w:pPr>
      <w:r>
        <w:rPr>
          <w:color w:val="1E3A5F"/>
        </w:rPr>
        <w:t>2. Motivation &amp; Problem Statement</w:t>
      </w:r>
    </w:p>
    <w:p>
      <w:pPr>
        <w:spacing w:after="120"/>
      </w:pPr>
      <w:r>
        <w:t>Understanding binary phase diagrams is fundamental to metallurgy and materials engineering, yet existing digital tools are often: heavy (requiring MATLAB or specialised CALPHAD software), not interactive, lacking microstructure visualisations, or behind expensive paywalls.</w:t>
      </w:r>
    </w:p>
    <w:p>
      <w:pPr>
        <w:spacing w:after="120"/>
      </w:pPr>
      <w:r>
        <w:t>Our goal was to create a lightweight, freely accessible, visually rich educational tool that:</w:t>
      </w:r>
    </w:p>
    <w:p>
      <w:pPr>
        <w:pStyle w:val="ListBullet"/>
        <w:spacing w:after="80"/>
      </w:pPr>
      <w:r>
        <w:t>Renders the full Ag–Mg phase diagram using literature-backed data.</w:t>
      </w:r>
    </w:p>
    <w:p>
      <w:pPr>
        <w:pStyle w:val="ListBullet"/>
        <w:spacing w:after="80"/>
      </w:pPr>
      <w:r>
        <w:t>Allows real-time exploration of phase states at any (T, C₀) point.</w:t>
      </w:r>
    </w:p>
    <w:p>
      <w:pPr>
        <w:pStyle w:val="ListBullet"/>
        <w:spacing w:after="80"/>
      </w:pPr>
      <w:r>
        <w:t>Applies the lever rule automatically for two-phase regions.</w:t>
      </w:r>
    </w:p>
    <w:p>
      <w:pPr>
        <w:pStyle w:val="ListBullet"/>
        <w:spacing w:after="80"/>
      </w:pPr>
      <w:r>
        <w:t>Visualises representative microstructures for each phase state.</w:t>
      </w:r>
    </w:p>
    <w:p>
      <w:pPr>
        <w:pStyle w:val="ListBullet"/>
        <w:spacing w:after="80"/>
      </w:pPr>
      <w:r>
        <w:t>Exports analysis as a PDF — directly from the browser.</w:t>
      </w:r>
    </w:p>
    <w:p>
      <w:pPr>
        <w:pBdr>
          <w:bottom w:val="single" w:sz="6" w:space="1" w:color="1E3A5F"/>
        </w:pBdr>
        <w:spacing w:before="0" w:after="120"/>
      </w:pPr>
    </w:p>
    <w:p>
      <w:pPr>
        <w:pStyle w:val="Heading1"/>
      </w:pPr>
      <w:r>
        <w:rPr>
          <w:color w:val="1E3A5F"/>
        </w:rPr>
        <w:t>3. Key Features</w:t>
      </w:r>
    </w:p>
    <w:p>
      <w:pPr>
        <w:pStyle w:val="ListBullet"/>
        <w:spacing w:after="100"/>
      </w:pPr>
      <w:r>
        <w:rPr>
          <w:b/>
          <w:color w:val="1E3A5F"/>
        </w:rPr>
        <w:t xml:space="preserve">Interactive Phase Diagram: </w:t>
      </w:r>
      <w:r>
        <w:t>A zoomable, hoverable Canvas-rendered phase diagram covering 100–1,000 °C and 0–100 wt.% Mg with colour-coded phase regions.</w:t>
      </w:r>
    </w:p>
    <w:p>
      <w:pPr>
        <w:pStyle w:val="ListBullet"/>
        <w:spacing w:after="100"/>
      </w:pPr>
      <w:r>
        <w:rPr>
          <w:b/>
          <w:color w:val="1E3A5F"/>
        </w:rPr>
        <w:t xml:space="preserve">Real-Time Controls: </w:t>
      </w:r>
      <w:r>
        <w:t>Temperature and composition sliders instantly update the phase state, lever-rule display, and microstructure canvas.</w:t>
      </w:r>
    </w:p>
    <w:p>
      <w:pPr>
        <w:pStyle w:val="ListBullet"/>
        <w:spacing w:after="100"/>
      </w:pPr>
      <w:r>
        <w:rPr>
          <w:b/>
          <w:color w:val="1E3A5F"/>
        </w:rPr>
        <w:t xml:space="preserve">Lever Rule Engine: </w:t>
      </w:r>
      <w:r>
        <w:t>Automatic calculation of phase fractions (f₁, f₂) for any two-phase field, displayed as a segmented bar chart.</w:t>
      </w:r>
    </w:p>
    <w:p>
      <w:pPr>
        <w:pStyle w:val="ListBullet"/>
        <w:spacing w:after="100"/>
      </w:pPr>
      <w:r>
        <w:rPr>
          <w:b/>
          <w:color w:val="1E3A5F"/>
        </w:rPr>
        <w:t xml:space="preserve">Microstructure Visualisation: </w:t>
      </w:r>
      <w:r>
        <w:t>A Canvas-based rendering engine draws representative microstructures: uniform α grains, precipitates, dendrites, lamellar eutectic structures, and intermetallic patterns — all generated algorithmically.</w:t>
      </w:r>
    </w:p>
    <w:p>
      <w:pPr>
        <w:pStyle w:val="ListBullet"/>
        <w:spacing w:after="100"/>
      </w:pPr>
      <w:r>
        <w:rPr>
          <w:b/>
          <w:color w:val="1E3A5F"/>
        </w:rPr>
        <w:t xml:space="preserve">Temperature Sweep Animation: </w:t>
      </w:r>
      <w:r>
        <w:t>An animated sweep moves the temperature marker across the diagram at adjustable speed, showing how phases evolve on cooling or heating.</w:t>
      </w:r>
    </w:p>
    <w:p>
      <w:pPr>
        <w:pStyle w:val="ListBullet"/>
        <w:spacing w:after="100"/>
      </w:pPr>
      <w:r>
        <w:rPr>
          <w:b/>
          <w:color w:val="1E3A5F"/>
        </w:rPr>
        <w:t xml:space="preserve">Phase Fraction Pie Chart: </w:t>
      </w:r>
      <w:r>
        <w:t>A real-time pie chart shows proportional phase fractions.</w:t>
      </w:r>
    </w:p>
    <w:p>
      <w:pPr>
        <w:pStyle w:val="ListBullet"/>
        <w:spacing w:after="100"/>
      </w:pPr>
      <w:r>
        <w:rPr>
          <w:b/>
          <w:color w:val="1E3A5F"/>
        </w:rPr>
        <w:t xml:space="preserve">Hover Tooltips: </w:t>
      </w:r>
      <w:r>
        <w:t>Hovering over any point on the phase diagram shows exact phase information for that coordinate.</w:t>
      </w:r>
    </w:p>
    <w:p>
      <w:pPr>
        <w:pStyle w:val="ListBullet"/>
        <w:spacing w:after="100"/>
      </w:pPr>
      <w:r>
        <w:rPr>
          <w:b/>
          <w:color w:val="1E3A5F"/>
        </w:rPr>
        <w:t xml:space="preserve">PDF Export: </w:t>
      </w:r>
      <w:r>
        <w:t>A single click opens the browser print dialog for a print-ready analysis report.</w:t>
      </w:r>
    </w:p>
    <w:p>
      <w:pPr>
        <w:pBdr>
          <w:bottom w:val="single" w:sz="6" w:space="1" w:color="1E3A5F"/>
        </w:pBdr>
        <w:spacing w:before="0" w:after="120"/>
      </w:pPr>
    </w:p>
    <w:p>
      <w:pPr>
        <w:pStyle w:val="Heading1"/>
      </w:pPr>
      <w:r>
        <w:rPr>
          <w:color w:val="1E3A5F"/>
        </w:rPr>
        <w:t>4. The Ag–Mg Alloy System — Scientific Background</w:t>
      </w:r>
    </w:p>
    <w:p>
      <w:pPr>
        <w:spacing w:after="120"/>
      </w:pPr>
      <w:r>
        <w:t>Silver (Ag) and Magnesium (Mg) form a rich binary system with multiple intermetallic compounds and invariant reactions. Key thermodynamic points used in this project are listed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561"/>
          </w:tcPr>
          <w:p>
            <w:r>
              <w:t>Ag melting point</w:t>
            </w:r>
          </w:p>
        </w:tc>
        <w:tc>
          <w:tcPr>
            <w:tcW w:type="dxa" w:w="4561"/>
          </w:tcPr>
          <w:p>
            <w:r>
              <w:t>961.93 °C</w:t>
            </w:r>
          </w:p>
        </w:tc>
      </w:tr>
      <w:tr>
        <w:tc>
          <w:tcPr>
            <w:tcW w:type="dxa" w:w="4561"/>
          </w:tcPr>
          <w:p>
            <w:r>
              <w:t>Mg melting point</w:t>
            </w:r>
          </w:p>
        </w:tc>
        <w:tc>
          <w:tcPr>
            <w:tcW w:type="dxa" w:w="4561"/>
          </w:tcPr>
          <w:p>
            <w:r>
              <w:t>650 °C</w:t>
            </w:r>
          </w:p>
        </w:tc>
      </w:tr>
      <w:tr>
        <w:tc>
          <w:tcPr>
            <w:tcW w:type="dxa" w:w="4561"/>
          </w:tcPr>
          <w:p>
            <w:r>
              <w:t>Eutectic E2 (γ + δ + L)</w:t>
            </w:r>
          </w:p>
        </w:tc>
        <w:tc>
          <w:tcPr>
            <w:tcW w:type="dxa" w:w="4561"/>
          </w:tcPr>
          <w:p>
            <w:r>
              <w:t>~472 °C, ~50 wt.% Mg</w:t>
            </w:r>
          </w:p>
        </w:tc>
      </w:tr>
      <w:tr>
        <w:tc>
          <w:tcPr>
            <w:tcW w:type="dxa" w:w="4561"/>
          </w:tcPr>
          <w:p>
            <w:r>
              <w:t>Peritectic point P</w:t>
            </w:r>
          </w:p>
        </w:tc>
        <w:tc>
          <w:tcPr>
            <w:tcW w:type="dxa" w:w="4561"/>
          </w:tcPr>
          <w:p>
            <w:r>
              <w:t>~492 °C, ~32 wt.% Mg</w:t>
            </w:r>
          </w:p>
        </w:tc>
      </w:tr>
      <w:tr>
        <w:tc>
          <w:tcPr>
            <w:tcW w:type="dxa" w:w="4561"/>
          </w:tcPr>
          <w:p>
            <w:r>
              <w:t>β' congruent maximum</w:t>
            </w:r>
          </w:p>
        </w:tc>
        <w:tc>
          <w:tcPr>
            <w:tcW w:type="dxa" w:w="4561"/>
          </w:tcPr>
          <w:p>
            <w:r>
              <w:t>~820 °C, ~20 wt.% Mg</w:t>
            </w:r>
          </w:p>
        </w:tc>
      </w:tr>
      <w:tr>
        <w:tc>
          <w:tcPr>
            <w:tcW w:type="dxa" w:w="4561"/>
          </w:tcPr>
          <w:p>
            <w:r>
              <w:t>Metatectic E1 (α + β' + L)</w:t>
            </w:r>
          </w:p>
        </w:tc>
        <w:tc>
          <w:tcPr>
            <w:tcW w:type="dxa" w:w="4561"/>
          </w:tcPr>
          <w:p>
            <w:r>
              <w:t>~760 °C, ~10 wt.% Mg</w:t>
            </w:r>
          </w:p>
        </w:tc>
      </w:tr>
      <w:tr>
        <w:tc>
          <w:tcPr>
            <w:tcW w:type="dxa" w:w="4561"/>
          </w:tcPr>
          <w:p>
            <w:r>
              <w:t>Liquidus data source</w:t>
            </w:r>
          </w:p>
        </w:tc>
        <w:tc>
          <w:tcPr>
            <w:tcW w:type="dxa" w:w="4561"/>
          </w:tcPr>
          <w:p>
            <w:r>
              <w:t>Experimental CSV (9,986 → 276 points after smoothing)</w:t>
            </w:r>
          </w:p>
        </w:tc>
      </w:tr>
      <w:tr>
        <w:tc>
          <w:tcPr>
            <w:tcW w:type="dxa" w:w="4561"/>
          </w:tcPr>
          <w:p>
            <w:r>
              <w:t>Accuracy (piecewise model)</w:t>
            </w:r>
          </w:p>
        </w:tc>
        <w:tc>
          <w:tcPr>
            <w:tcW w:type="dxa" w:w="4561"/>
          </w:tcPr>
          <w:p>
            <w:r>
              <w:t>±10 °C  ·  ±2 at.%</w:t>
            </w:r>
          </w:p>
        </w:tc>
      </w:tr>
    </w:tbl>
    <w:p/>
    <w:p>
      <w:pPr>
        <w:spacing w:after="120"/>
      </w:pPr>
      <w:r>
        <w:t>Phases present in the Ag–Mg system: liquid (L), α-Ag solid solution, β' (B2-ordered AgMg intermetallic), γ (Ag₃Mg), δ (AgMg₃ / ε), and pure Mg solid solution. The intermetallics β' and γ occupy narrow composition windows requiring careful piecewise boundary definitions.</w:t>
      </w:r>
    </w:p>
    <w:p>
      <w:pPr>
        <w:pBdr>
          <w:bottom w:val="single" w:sz="6" w:space="1" w:color="1E3A5F"/>
        </w:pBdr>
        <w:spacing w:before="0" w:after="120"/>
      </w:pPr>
    </w:p>
    <w:p>
      <w:pPr>
        <w:pStyle w:val="Heading1"/>
      </w:pPr>
      <w:r>
        <w:rPr>
          <w:color w:val="1E3A5F"/>
        </w:rPr>
        <w:t>5. How the Tool Was Built</w:t>
      </w:r>
    </w:p>
    <w:p>
      <w:pPr>
        <w:pStyle w:val="Heading2"/>
      </w:pPr>
      <w:r>
        <w:rPr>
          <w:color w:val="1E3A5F"/>
        </w:rPr>
        <w:t>5.1 Technology Stack</w:t>
      </w:r>
    </w:p>
    <w:p>
      <w:pPr>
        <w:pStyle w:val="ListBullet"/>
        <w:spacing w:after="100"/>
      </w:pPr>
      <w:r>
        <w:rPr>
          <w:b/>
          <w:color w:val="1E3A5F"/>
        </w:rPr>
        <w:t xml:space="preserve">HTML5 + CSS3: </w:t>
      </w:r>
      <w:r>
        <w:t>All UI structure and styling — dark-mode design system with CSS custom properties, glassmorphism cards, animated gradients, and responsive grid layout.</w:t>
      </w:r>
    </w:p>
    <w:p>
      <w:pPr>
        <w:pStyle w:val="ListBullet"/>
        <w:spacing w:after="100"/>
      </w:pPr>
      <w:r>
        <w:rPr>
          <w:b/>
          <w:color w:val="1E3A5F"/>
        </w:rPr>
        <w:t xml:space="preserve">Vanilla JavaScript (ES2020): </w:t>
      </w:r>
      <w:r>
        <w:t>All application logic, data processing, phase detection, and Canvas rendering — zero runtime dependencies.</w:t>
      </w:r>
    </w:p>
    <w:p>
      <w:pPr>
        <w:pStyle w:val="ListBullet"/>
        <w:spacing w:after="100"/>
      </w:pPr>
      <w:r>
        <w:rPr>
          <w:b/>
          <w:color w:val="1E3A5F"/>
        </w:rPr>
        <w:t xml:space="preserve">HTML5 Canvas 2D API: </w:t>
      </w:r>
      <w:r>
        <w:t>Two canvas elements: one for the phase diagram itself, and one for the microstructure visualisation panel.</w:t>
      </w:r>
    </w:p>
    <w:p>
      <w:pPr>
        <w:pStyle w:val="ListBullet"/>
        <w:spacing w:after="100"/>
      </w:pPr>
      <w:r>
        <w:rPr>
          <w:b/>
          <w:color w:val="1E3A5F"/>
        </w:rPr>
        <w:t xml:space="preserve">Google Fonts (Inter + JetBrains Mono): </w:t>
      </w:r>
      <w:r>
        <w:t>Professional typography loaded at runtime for readability.</w:t>
      </w:r>
    </w:p>
    <w:p>
      <w:pPr>
        <w:pStyle w:val="ListBullet"/>
        <w:spacing w:after="100"/>
      </w:pPr>
      <w:r>
        <w:rPr>
          <w:b/>
          <w:color w:val="1E3A5F"/>
        </w:rPr>
        <w:t xml:space="preserve">Python (pre-processing only): </w:t>
      </w:r>
      <w:r>
        <w:t>process_liquidus.py and process_alpha_solidus.py were used offline to parse and smooth raw experimental CSV datasets into compact JavaScript arrays.</w:t>
      </w:r>
    </w:p>
    <w:p>
      <w:pPr>
        <w:pStyle w:val="ListBullet"/>
        <w:spacing w:after="100"/>
      </w:pPr>
      <w:r>
        <w:rPr>
          <w:b/>
          <w:color w:val="1E3A5F"/>
        </w:rPr>
        <w:t xml:space="preserve">Vercel: </w:t>
      </w:r>
      <w:r>
        <w:t>Static-site deployment — the single index.html is served globally via CDN.</w:t>
      </w:r>
    </w:p>
    <w:p>
      <w:pPr>
        <w:pStyle w:val="Heading2"/>
      </w:pPr>
      <w:r>
        <w:rPr>
          <w:color w:val="1E3A5F"/>
        </w:rPr>
        <w:t>5.2 Phase Boundary Data Acquisition</w:t>
      </w:r>
    </w:p>
    <w:p>
      <w:pPr>
        <w:spacing w:after="120"/>
      </w:pPr>
      <w:r>
        <w:t>Phase boundary data was sourced from the ASM Binary Alloy Phase Diagrams (Massalski, 1990) and ASM Handbook Vol. 3 (1992). Raw experimental liquidus data was provided as a CSV file containing 9,986 data points. Before embedding this data into the application, a Python pre-processing pipeline was written:</w:t>
      </w:r>
    </w:p>
    <w:p>
      <w:pPr>
        <w:pStyle w:val="ListBullet"/>
        <w:spacing w:after="80"/>
      </w:pPr>
      <w:r>
        <w:t>Load the CSV with pandas.</w:t>
      </w:r>
    </w:p>
    <w:p>
      <w:pPr>
        <w:pStyle w:val="ListBullet"/>
        <w:spacing w:after="80"/>
      </w:pPr>
      <w:r>
        <w:t>Sort and remove duplicate (composition, temperature) pairs.</w:t>
      </w:r>
    </w:p>
    <w:p>
      <w:pPr>
        <w:pStyle w:val="ListBullet"/>
        <w:spacing w:after="80"/>
      </w:pPr>
      <w:r>
        <w:t>Apply a Savitzky–Golay smoothing filter to reduce noise.</w:t>
      </w:r>
    </w:p>
    <w:p>
      <w:pPr>
        <w:pStyle w:val="ListBullet"/>
        <w:spacing w:after="80"/>
      </w:pPr>
      <w:r>
        <w:t>Downsample to ~276 representative points using uniform step sampling.</w:t>
      </w:r>
    </w:p>
    <w:p>
      <w:pPr>
        <w:pStyle w:val="ListBullet"/>
        <w:spacing w:after="80"/>
      </w:pPr>
      <w:r>
        <w:t>Output the result as a compact JavaScript array literal.</w:t>
      </w:r>
    </w:p>
    <w:p>
      <w:pPr>
        <w:spacing w:after="120"/>
      </w:pPr>
      <w:r>
        <w:t>The α-solidus boundary was processed similarly from alpha solidus.csv. All other boundaries (solvus lines, intermetallic regions) were digitised by hand as piecewise-linear [wt.% Mg, T °C] arrays directly in JavaScript.</w:t>
      </w:r>
    </w:p>
    <w:p>
      <w:pPr>
        <w:pStyle w:val="Heading2"/>
      </w:pPr>
      <w:r>
        <w:rPr>
          <w:color w:val="1E3A5F"/>
        </w:rPr>
        <w:t>5.3 Phase Detection Algorithm</w:t>
      </w:r>
    </w:p>
    <w:p>
      <w:pPr>
        <w:spacing w:after="120"/>
      </w:pPr>
      <w:r>
        <w:t>Given a user-selected (temperature T, composition C₀), the application determines the current phase state using a boundary-based algorithm:</w:t>
      </w:r>
    </w:p>
    <w:p>
      <w:pPr>
        <w:pStyle w:val="ListBullet"/>
        <w:spacing w:after="80"/>
      </w:pPr>
      <w:r>
        <w:t>If T &gt; liquidus(C₀) → Liquid.</w:t>
      </w:r>
    </w:p>
    <w:p>
      <w:pPr>
        <w:pStyle w:val="ListBullet"/>
        <w:spacing w:after="80"/>
      </w:pPr>
      <w:r>
        <w:t>Test each predefined two-phase region by checking if C₀ falls between the two boundary curves at temperature T.</w:t>
      </w:r>
    </w:p>
    <w:p>
      <w:pPr>
        <w:pStyle w:val="ListBullet"/>
        <w:spacing w:after="80"/>
      </w:pPr>
      <w:r>
        <w:t>Test single-phase solid regions (α, β', γ, δ, Mg-ss) using solvus curves.</w:t>
      </w:r>
    </w:p>
    <w:p>
      <w:pPr>
        <w:pStyle w:val="ListBullet"/>
        <w:spacing w:after="80"/>
      </w:pPr>
      <w:r>
        <w:t>Check invariant temperatures (eutectic 472 °C, peritectic 492 °C) within ±5 °C tolerance.</w:t>
      </w:r>
    </w:p>
    <w:p>
      <w:pPr>
        <w:pStyle w:val="ListBullet"/>
        <w:spacing w:after="80"/>
      </w:pPr>
      <w:r>
        <w:t>Return phase label, description, and the boundary concentrations C₁ / C₂ needed for the lever rule.</w:t>
      </w:r>
    </w:p>
    <w:p>
      <w:pPr>
        <w:pStyle w:val="Heading2"/>
      </w:pPr>
      <w:r>
        <w:rPr>
          <w:color w:val="1E3A5F"/>
        </w:rPr>
        <w:t>5.4 Lever Rule Calculation</w:t>
      </w:r>
    </w:p>
    <w:p>
      <w:pPr>
        <w:spacing w:after="120"/>
      </w:pPr>
      <w:r>
        <w:t>For a composition C₀ in a two-phase field [C₁, C₂], the application calculates the mass fractions using the classical lever rule:</w:t>
      </w:r>
    </w:p>
    <w:p>
      <w:pPr>
        <w:spacing w:before="80" w:after="160"/>
        <w:jc w:val="center"/>
      </w:pPr>
      <w:r>
        <w:rPr>
          <w:rFonts w:ascii="Courier New" w:hAnsi="Courier New"/>
          <w:b/>
          <w:color w:val="1E5F99"/>
          <w:sz w:val="22"/>
        </w:rPr>
        <w:t>f₁ = (C₂ − C₀) / (C₂ − C₁)          f₂ = (C₀ − C₁) / (C₂ − C₁)</w:t>
      </w:r>
    </w:p>
    <w:p>
      <w:pPr>
        <w:spacing w:after="120"/>
      </w:pPr>
      <w:r>
        <w:t>Results are displayed as: numerical fractions in the Lever Rule panel, an animated segmented bar chart, and updated microstructure proportions.</w:t>
      </w:r>
    </w:p>
    <w:p>
      <w:pPr>
        <w:pStyle w:val="Heading2"/>
      </w:pPr>
      <w:r>
        <w:rPr>
          <w:color w:val="1E3A5F"/>
        </w:rPr>
        <w:t>5.5 Microstructure Visualisation Engine</w:t>
      </w:r>
    </w:p>
    <w:p>
      <w:pPr>
        <w:spacing w:after="120"/>
      </w:pPr>
      <w:r>
        <w:t>A key innovation of this project is the algorithmically generated microstructure visualisation. Each phase state is mapped to a specific rendering mode drawn on an HTML Canvas: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</w:rPr>
              <w:t>Phase State</w:t>
            </w:r>
          </w:p>
        </w:tc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</w:rPr>
              <w:t>Microstructure Type</w:t>
            </w:r>
          </w:p>
        </w:tc>
        <w:tc>
          <w:tcPr>
            <w:tcW w:type="dxa" w:w="3041"/>
            <w:shd w:val="clear" w:color="auto" w:fill="1E3A5F"/>
          </w:tcPr>
          <w:p>
            <w:r>
              <w:rPr>
                <w:b/>
                <w:color w:val="FFFFFF"/>
              </w:rPr>
              <w:t>Visual Pattern</w:t>
            </w:r>
          </w:p>
        </w:tc>
      </w:tr>
      <w:tr>
        <w:tc>
          <w:tcPr>
            <w:tcW w:type="dxa" w:w="3041"/>
          </w:tcPr>
          <w:p>
            <w:r>
              <w:t>Liquid</w:t>
            </w:r>
          </w:p>
        </w:tc>
        <w:tc>
          <w:tcPr>
            <w:tcW w:type="dxa" w:w="3041"/>
          </w:tcPr>
          <w:p>
            <w:r>
              <w:t>Liquid</w:t>
            </w:r>
          </w:p>
        </w:tc>
        <w:tc>
          <w:tcPr>
            <w:tcW w:type="dxa" w:w="3041"/>
          </w:tcPr>
          <w:p>
            <w:r>
              <w:t>Animated swirling circles / bubbles</w:t>
            </w:r>
          </w:p>
        </w:tc>
      </w:tr>
      <w:tr>
        <w:tc>
          <w:tcPr>
            <w:tcW w:type="dxa" w:w="3041"/>
          </w:tcPr>
          <w:p>
            <w:r>
              <w:t>α solid solution</w:t>
            </w:r>
          </w:p>
        </w:tc>
        <w:tc>
          <w:tcPr>
            <w:tcW w:type="dxa" w:w="3041"/>
          </w:tcPr>
          <w:p>
            <w:r>
              <w:t>Uniform grains</w:t>
            </w:r>
          </w:p>
        </w:tc>
        <w:tc>
          <w:tcPr>
            <w:tcW w:type="dxa" w:w="3041"/>
          </w:tcPr>
          <w:p>
            <w:r>
              <w:t>Voronoi-like polygonal grain structure</w:t>
            </w:r>
          </w:p>
        </w:tc>
      </w:tr>
      <w:tr>
        <w:tc>
          <w:tcPr>
            <w:tcW w:type="dxa" w:w="3041"/>
          </w:tcPr>
          <w:p>
            <w:r>
              <w:t>β' intermetallic</w:t>
            </w:r>
          </w:p>
        </w:tc>
        <w:tc>
          <w:tcPr>
            <w:tcW w:type="dxa" w:w="3041"/>
          </w:tcPr>
          <w:p>
            <w:r>
              <w:t>Intermetallic</w:t>
            </w:r>
          </w:p>
        </w:tc>
        <w:tc>
          <w:tcPr>
            <w:tcW w:type="dxa" w:w="3041"/>
          </w:tcPr>
          <w:p>
            <w:r>
              <w:t>Regular ordered rectangular tiles</w:t>
            </w:r>
          </w:p>
        </w:tc>
      </w:tr>
      <w:tr>
        <w:tc>
          <w:tcPr>
            <w:tcW w:type="dxa" w:w="3041"/>
          </w:tcPr>
          <w:p>
            <w:r>
              <w:t>α + β' two-phase</w:t>
            </w:r>
          </w:p>
        </w:tc>
        <w:tc>
          <w:tcPr>
            <w:tcW w:type="dxa" w:w="3041"/>
          </w:tcPr>
          <w:p>
            <w:r>
              <w:t>Precipitate</w:t>
            </w:r>
          </w:p>
        </w:tc>
        <w:tc>
          <w:tcPr>
            <w:tcW w:type="dxa" w:w="3041"/>
          </w:tcPr>
          <w:p>
            <w:r>
              <w:t>Grain matrix with second-phase particles</w:t>
            </w:r>
          </w:p>
        </w:tc>
      </w:tr>
      <w:tr>
        <w:tc>
          <w:tcPr>
            <w:tcW w:type="dxa" w:w="3041"/>
          </w:tcPr>
          <w:p>
            <w:r>
              <w:t>Eutectic (L↔α+β')</w:t>
            </w:r>
          </w:p>
        </w:tc>
        <w:tc>
          <w:tcPr>
            <w:tcW w:type="dxa" w:w="3041"/>
          </w:tcPr>
          <w:p>
            <w:r>
              <w:t>Lamellar</w:t>
            </w:r>
          </w:p>
        </w:tc>
        <w:tc>
          <w:tcPr>
            <w:tcW w:type="dxa" w:w="3041"/>
          </w:tcPr>
          <w:p>
            <w:r>
              <w:t>Alternating dark/light lamellae bands</w:t>
            </w:r>
          </w:p>
        </w:tc>
      </w:tr>
      <w:tr>
        <w:tc>
          <w:tcPr>
            <w:tcW w:type="dxa" w:w="3041"/>
          </w:tcPr>
          <w:p>
            <w:r>
              <w:t>Peritectic</w:t>
            </w:r>
          </w:p>
        </w:tc>
        <w:tc>
          <w:tcPr>
            <w:tcW w:type="dxa" w:w="3041"/>
          </w:tcPr>
          <w:p>
            <w:r>
              <w:t>Dendritic</w:t>
            </w:r>
          </w:p>
        </w:tc>
        <w:tc>
          <w:tcPr>
            <w:tcW w:type="dxa" w:w="3041"/>
          </w:tcPr>
          <w:p>
            <w:r>
              <w:t>Branched dendritic solidification arms</w:t>
            </w:r>
          </w:p>
        </w:tc>
      </w:tr>
      <w:tr>
        <w:tc>
          <w:tcPr>
            <w:tcW w:type="dxa" w:w="3041"/>
          </w:tcPr>
          <w:p>
            <w:r>
              <w:t>γ, δ regions</w:t>
            </w:r>
          </w:p>
        </w:tc>
        <w:tc>
          <w:tcPr>
            <w:tcW w:type="dxa" w:w="3041"/>
          </w:tcPr>
          <w:p>
            <w:r>
              <w:t>Intermetallic</w:t>
            </w:r>
          </w:p>
        </w:tc>
        <w:tc>
          <w:tcPr>
            <w:tcW w:type="dxa" w:w="3041"/>
          </w:tcPr>
          <w:p>
            <w:r>
              <w:t>Dense ordered tiling pattern</w:t>
            </w:r>
          </w:p>
        </w:tc>
      </w:tr>
    </w:tbl>
    <w:p/>
    <w:p>
      <w:pPr>
        <w:spacing w:after="120"/>
      </w:pPr>
      <w:r>
        <w:t>All microstructure patterns use a seeded pseudo-random number generator so results are deterministic and reproducible for any given (T, C₀). The rendering is triggered every time the user moves a slider or clicks the diagram, providing instantaneous visual feedback.</w:t>
      </w:r>
    </w:p>
    <w:p>
      <w:pPr>
        <w:pStyle w:val="Heading2"/>
      </w:pPr>
      <w:r>
        <w:rPr>
          <w:color w:val="1E3A5F"/>
        </w:rPr>
        <w:t>5.6 UI &amp; Design System</w:t>
      </w:r>
    </w:p>
    <w:p>
      <w:pPr>
        <w:spacing w:after="120"/>
      </w:pPr>
      <w:r>
        <w:t>The interface was designed with a dark-mode aesthetic inspired by modern developer tools and scientific dashboards. The design system is defined entirely in CSS custom properties and includes:</w:t>
      </w:r>
    </w:p>
    <w:p>
      <w:pPr>
        <w:pStyle w:val="ListBullet"/>
        <w:spacing w:after="80"/>
      </w:pPr>
      <w:r>
        <w:t>A deep-dark background (#050505) with layered surface cards.</w:t>
      </w:r>
    </w:p>
    <w:p>
      <w:pPr>
        <w:pStyle w:val="ListBullet"/>
        <w:spacing w:after="80"/>
      </w:pPr>
      <w:r>
        <w:t>Purple-to-teal gradient accents (--accent: #8b5cf6, --teal: #14b8a6).</w:t>
      </w:r>
    </w:p>
    <w:p>
      <w:pPr>
        <w:pStyle w:val="ListBullet"/>
        <w:spacing w:after="80"/>
      </w:pPr>
      <w:r>
        <w:t>Animated conic-gradient glow on the Microstructure card.</w:t>
      </w:r>
    </w:p>
    <w:p>
      <w:pPr>
        <w:pStyle w:val="ListBullet"/>
        <w:spacing w:after="80"/>
      </w:pPr>
      <w:r>
        <w:t>Smooth cubic-bezier transitions on all interactive elements.</w:t>
      </w:r>
    </w:p>
    <w:p>
      <w:pPr>
        <w:pStyle w:val="ListBullet"/>
        <w:spacing w:after="80"/>
      </w:pPr>
      <w:r>
        <w:t>A fully responsive CSS Grid layout (sidebar + main canvas) that stacks on mobile.</w:t>
      </w:r>
    </w:p>
    <w:p>
      <w:pPr>
        <w:pStyle w:val="ListBullet"/>
        <w:spacing w:after="80"/>
      </w:pPr>
      <w:r>
        <w:t>Custom-styled range sliders with gradient thumbs.</w:t>
      </w:r>
    </w:p>
    <w:p>
      <w:pPr>
        <w:pStyle w:val="ListBullet"/>
        <w:spacing w:after="80"/>
      </w:pPr>
      <w:r>
        <w:t>Hover-activated tooltips positioned via JavaScript mouse tracking.</w:t>
      </w:r>
    </w:p>
    <w:p>
      <w:pPr>
        <w:pBdr>
          <w:bottom w:val="single" w:sz="6" w:space="1" w:color="1E3A5F"/>
        </w:pBdr>
        <w:spacing w:before="0" w:after="120"/>
      </w:pPr>
    </w:p>
    <w:p>
      <w:pPr>
        <w:pStyle w:val="Heading1"/>
      </w:pPr>
      <w:r>
        <w:rPr>
          <w:color w:val="1E3A5F"/>
        </w:rPr>
        <w:t>6. Development Journey</w:t>
      </w:r>
    </w:p>
    <w:p>
      <w:pPr>
        <w:pStyle w:val="Heading2"/>
      </w:pPr>
      <w:r>
        <w:rPr>
          <w:color w:val="1E3A5F"/>
        </w:rPr>
        <w:t>Phase 1 — Initial Prototype</w:t>
      </w:r>
    </w:p>
    <w:p>
      <w:pPr>
        <w:spacing w:after="120"/>
      </w:pPr>
      <w:r>
        <w:t>The project began with a basic phase diagram canvas rendering experiment using approximate boundary data. Temperature and composition sliders were added and a simple phase-label display was implemented.</w:t>
      </w:r>
    </w:p>
    <w:p>
      <w:pPr>
        <w:pStyle w:val="Heading2"/>
      </w:pPr>
      <w:r>
        <w:rPr>
          <w:color w:val="1E3A5F"/>
        </w:rPr>
        <w:t>Phase 2 — Data-Driven Accuracy Upgrade</w:t>
      </w:r>
    </w:p>
    <w:p>
      <w:pPr>
        <w:spacing w:after="120"/>
      </w:pPr>
      <w:r>
        <w:t>The approximate boundary curves were replaced with literature-backed experimental data from the ASM Handbook. Python scripts (process_liquidus.py, process_alpha_solidus.py) were written to pre-process 9,986-point CSV datasets into compact, browser-embeddable JavaScript arrays.</w:t>
      </w:r>
    </w:p>
    <w:p>
      <w:pPr>
        <w:pStyle w:val="Heading2"/>
      </w:pPr>
      <w:r>
        <w:rPr>
          <w:color w:val="1E3A5F"/>
        </w:rPr>
        <w:t>Phase 3 — Phase Detection Overhaul</w:t>
      </w:r>
    </w:p>
    <w:p>
      <w:pPr>
        <w:spacing w:after="120"/>
      </w:pPr>
      <w:r>
        <w:t>The phase detection engine was rewritten using a boundary-traversal approach to correctly identify narrow regions (β', γ) that required strict piecewise boundary enforcement. Edge cases at invariant temperatures (eutectic 472 °C, peritectic 492 °C) were handled with tolerance bands.</w:t>
      </w:r>
    </w:p>
    <w:p>
      <w:pPr>
        <w:pStyle w:val="Heading2"/>
      </w:pPr>
      <w:r>
        <w:rPr>
          <w:color w:val="1E3A5F"/>
        </w:rPr>
        <w:t>Phase 4 — Lever Rule &amp; Visualisation</w:t>
      </w:r>
    </w:p>
    <w:p>
      <w:pPr>
        <w:spacing w:after="120"/>
      </w:pPr>
      <w:r>
        <w:t>The lever rule calculation module was integrated, outputting phase fractions to both a segmented bar chart and a displayed data panel. The composition sweep animation and PDF export feature were added.</w:t>
      </w:r>
    </w:p>
    <w:p>
      <w:pPr>
        <w:pStyle w:val="Heading2"/>
      </w:pPr>
      <w:r>
        <w:rPr>
          <w:color w:val="1E3A5F"/>
        </w:rPr>
        <w:t>Phase 5 — Microstructure Visualisation</w:t>
      </w:r>
    </w:p>
    <w:p>
      <w:pPr>
        <w:spacing w:after="120"/>
      </w:pPr>
      <w:r>
        <w:t>A complete Canvas-based microstructure rendering engine was designed and implemented. Each phase state was mapped to a distinct visual pattern (uniform grains, precipitates, lamellar, dendritic, intermetallic, liquid). The Microstructure card was given a glowing animated border to make it visually distinctive.</w:t>
      </w:r>
    </w:p>
    <w:p>
      <w:pPr>
        <w:pStyle w:val="Heading2"/>
      </w:pPr>
      <w:r>
        <w:rPr>
          <w:color w:val="1E3A5F"/>
        </w:rPr>
        <w:t>Phase 6 — Polish &amp; Deployment</w:t>
      </w:r>
    </w:p>
    <w:p>
      <w:pPr>
        <w:spacing w:after="120"/>
      </w:pPr>
      <w:r>
        <w:t>Final UI polish pass: responsive layout fixes, tooltip improvements, system-constants table, and README / documentation. The application was deployed to Vercel as a zero-config static site.</w:t>
      </w:r>
    </w:p>
    <w:p>
      <w:pPr>
        <w:pBdr>
          <w:bottom w:val="single" w:sz="6" w:space="1" w:color="1E3A5F"/>
        </w:pBdr>
        <w:spacing w:before="0" w:after="120"/>
      </w:pPr>
    </w:p>
    <w:p>
      <w:pPr>
        <w:pStyle w:val="Heading1"/>
      </w:pPr>
      <w:r>
        <w:rPr>
          <w:color w:val="1E3A5F"/>
        </w:rPr>
        <w:t>7. Assumptions &amp; Limitations</w:t>
      </w:r>
    </w:p>
    <w:p>
      <w:pPr>
        <w:pStyle w:val="ListBullet"/>
        <w:spacing w:after="80"/>
      </w:pPr>
      <w:r>
        <w:t>Phase boundaries are represented as piecewise-linear curves, not full CALPHAD thermodynamic polynomials.</w:t>
      </w:r>
    </w:p>
    <w:p>
      <w:pPr>
        <w:pStyle w:val="ListBullet"/>
        <w:spacing w:after="80"/>
      </w:pPr>
      <w:r>
        <w:t>The model assumes equilibrium conditions only; kinetics (e.g., undercooling, rapid solidification) are not modelled.</w:t>
      </w:r>
    </w:p>
    <w:p>
      <w:pPr>
        <w:pStyle w:val="ListBullet"/>
        <w:spacing w:after="80"/>
      </w:pPr>
      <w:r>
        <w:t>Accuracy is approximately ±10 °C and ±2 at.% compared to reference phase diagrams.</w:t>
      </w:r>
    </w:p>
    <w:p>
      <w:pPr>
        <w:pStyle w:val="ListBullet"/>
        <w:spacing w:after="80"/>
      </w:pPr>
      <w:r>
        <w:t>Metastable phases are excluded from the analysis.</w:t>
      </w:r>
    </w:p>
    <w:p>
      <w:pPr>
        <w:pStyle w:val="ListBullet"/>
        <w:spacing w:after="80"/>
      </w:pPr>
      <w:r>
        <w:t>Microstructure images are schematic and algorithmically generated — they are representative, not simulation-accurate.</w:t>
      </w:r>
    </w:p>
    <w:p>
      <w:pPr>
        <w:pStyle w:val="ListBullet"/>
        <w:spacing w:after="80"/>
      </w:pPr>
      <w:r>
        <w:t>Composition is expressed in wt.% Mg (weight percent) throughout the tool.</w:t>
      </w:r>
    </w:p>
    <w:p>
      <w:pPr>
        <w:pBdr>
          <w:bottom w:val="single" w:sz="6" w:space="1" w:color="1E3A5F"/>
        </w:pBdr>
        <w:spacing w:before="0" w:after="120"/>
      </w:pPr>
    </w:p>
    <w:p>
      <w:pPr>
        <w:pStyle w:val="Heading1"/>
      </w:pPr>
      <w:r>
        <w:rPr>
          <w:color w:val="1E3A5F"/>
        </w:rPr>
        <w:t>8. Project File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561"/>
            <w:shd w:val="clear" w:color="auto" w:fill="1E3A5F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561"/>
          </w:tcPr>
          <w:p>
            <w:r>
              <w:rPr>
                <w:rFonts w:ascii="Courier New" w:hAnsi="Courier New"/>
                <w:sz w:val="19"/>
              </w:rPr>
              <w:t>index.html</w:t>
            </w:r>
          </w:p>
        </w:tc>
        <w:tc>
          <w:tcPr>
            <w:tcW w:type="dxa" w:w="4561"/>
          </w:tcPr>
          <w:p>
            <w:r>
              <w:t>Complete single-file web application (~2,100 lines)</w:t>
            </w:r>
          </w:p>
        </w:tc>
      </w:tr>
      <w:tr>
        <w:tc>
          <w:tcPr>
            <w:tcW w:type="dxa" w:w="4561"/>
          </w:tcPr>
          <w:p>
            <w:r>
              <w:rPr>
                <w:rFonts w:ascii="Courier New" w:hAnsi="Courier New"/>
                <w:sz w:val="19"/>
              </w:rPr>
              <w:t>Final Website.html</w:t>
            </w:r>
          </w:p>
        </w:tc>
        <w:tc>
          <w:tcPr>
            <w:tcW w:type="dxa" w:w="4561"/>
          </w:tcPr>
          <w:p>
            <w:r>
              <w:t>Backup / alternate version of the final build</w:t>
            </w:r>
          </w:p>
        </w:tc>
      </w:tr>
      <w:tr>
        <w:tc>
          <w:tcPr>
            <w:tcW w:type="dxa" w:w="4561"/>
          </w:tcPr>
          <w:p>
            <w:r>
              <w:rPr>
                <w:rFonts w:ascii="Courier New" w:hAnsi="Courier New"/>
                <w:sz w:val="19"/>
              </w:rPr>
              <w:t>Liquidus Dataset.csv</w:t>
            </w:r>
          </w:p>
        </w:tc>
        <w:tc>
          <w:tcPr>
            <w:tcW w:type="dxa" w:w="4561"/>
          </w:tcPr>
          <w:p>
            <w:r>
              <w:t>Raw experimental liquidus data (9,986 data points)</w:t>
            </w:r>
          </w:p>
        </w:tc>
      </w:tr>
      <w:tr>
        <w:tc>
          <w:tcPr>
            <w:tcW w:type="dxa" w:w="4561"/>
          </w:tcPr>
          <w:p>
            <w:r>
              <w:rPr>
                <w:rFonts w:ascii="Courier New" w:hAnsi="Courier New"/>
                <w:sz w:val="19"/>
              </w:rPr>
              <w:t>alpha solidus.csv</w:t>
            </w:r>
          </w:p>
        </w:tc>
        <w:tc>
          <w:tcPr>
            <w:tcW w:type="dxa" w:w="4561"/>
          </w:tcPr>
          <w:p>
            <w:r>
              <w:t>Raw α-solidus boundary data</w:t>
            </w:r>
          </w:p>
        </w:tc>
      </w:tr>
      <w:tr>
        <w:tc>
          <w:tcPr>
            <w:tcW w:type="dxa" w:w="4561"/>
          </w:tcPr>
          <w:p>
            <w:r>
              <w:rPr>
                <w:rFonts w:ascii="Courier New" w:hAnsi="Courier New"/>
                <w:sz w:val="19"/>
              </w:rPr>
              <w:t>process_liquidus.py</w:t>
            </w:r>
          </w:p>
        </w:tc>
        <w:tc>
          <w:tcPr>
            <w:tcW w:type="dxa" w:w="4561"/>
          </w:tcPr>
          <w:p>
            <w:r>
              <w:t>Python pre-processing script for liquidus CSV</w:t>
            </w:r>
          </w:p>
        </w:tc>
      </w:tr>
      <w:tr>
        <w:tc>
          <w:tcPr>
            <w:tcW w:type="dxa" w:w="4561"/>
          </w:tcPr>
          <w:p>
            <w:r>
              <w:rPr>
                <w:rFonts w:ascii="Courier New" w:hAnsi="Courier New"/>
                <w:sz w:val="19"/>
              </w:rPr>
              <w:t>process_alpha_solidus.py</w:t>
            </w:r>
          </w:p>
        </w:tc>
        <w:tc>
          <w:tcPr>
            <w:tcW w:type="dxa" w:w="4561"/>
          </w:tcPr>
          <w:p>
            <w:r>
              <w:t>Python pre-processing script for α-solidus CSV</w:t>
            </w:r>
          </w:p>
        </w:tc>
      </w:tr>
      <w:tr>
        <w:tc>
          <w:tcPr>
            <w:tcW w:type="dxa" w:w="4561"/>
          </w:tcPr>
          <w:p>
            <w:r>
              <w:rPr>
                <w:rFonts w:ascii="Courier New" w:hAnsi="Courier New"/>
                <w:sz w:val="19"/>
              </w:rPr>
              <w:t>liquidus_js.txt</w:t>
            </w:r>
          </w:p>
        </w:tc>
        <w:tc>
          <w:tcPr>
            <w:tcW w:type="dxa" w:w="4561"/>
          </w:tcPr>
          <w:p>
            <w:r>
              <w:t>Processed JS array output of liquidus data</w:t>
            </w:r>
          </w:p>
        </w:tc>
      </w:tr>
      <w:tr>
        <w:tc>
          <w:tcPr>
            <w:tcW w:type="dxa" w:w="4561"/>
          </w:tcPr>
          <w:p>
            <w:r>
              <w:rPr>
                <w:rFonts w:ascii="Courier New" w:hAnsi="Courier New"/>
                <w:sz w:val="19"/>
              </w:rPr>
              <w:t>alpha_solidus_js.txt</w:t>
            </w:r>
          </w:p>
        </w:tc>
        <w:tc>
          <w:tcPr>
            <w:tcW w:type="dxa" w:w="4561"/>
          </w:tcPr>
          <w:p>
            <w:r>
              <w:t>Processed JS array output of α-solidus data</w:t>
            </w:r>
          </w:p>
        </w:tc>
      </w:tr>
      <w:tr>
        <w:tc>
          <w:tcPr>
            <w:tcW w:type="dxa" w:w="4561"/>
          </w:tcPr>
          <w:p>
            <w:r>
              <w:rPr>
                <w:rFonts w:ascii="Courier New" w:hAnsi="Courier New"/>
                <w:sz w:val="19"/>
              </w:rPr>
              <w:t>isotherm.py</w:t>
            </w:r>
          </w:p>
        </w:tc>
        <w:tc>
          <w:tcPr>
            <w:tcW w:type="dxa" w:w="4561"/>
          </w:tcPr>
          <w:p>
            <w:r>
              <w:t>Utility script for isotherm analysis</w:t>
            </w:r>
          </w:p>
        </w:tc>
      </w:tr>
      <w:tr>
        <w:tc>
          <w:tcPr>
            <w:tcW w:type="dxa" w:w="4561"/>
          </w:tcPr>
          <w:p>
            <w:r>
              <w:rPr>
                <w:rFonts w:ascii="Courier New" w:hAnsi="Courier New"/>
                <w:sz w:val="19"/>
              </w:rPr>
              <w:t>Ag Mg phase diagram.png</w:t>
            </w:r>
          </w:p>
        </w:tc>
        <w:tc>
          <w:tcPr>
            <w:tcW w:type="dxa" w:w="4561"/>
          </w:tcPr>
          <w:p>
            <w:r>
              <w:t>Reference phase diagram image</w:t>
            </w:r>
          </w:p>
        </w:tc>
      </w:tr>
      <w:tr>
        <w:tc>
          <w:tcPr>
            <w:tcW w:type="dxa" w:w="4561"/>
          </w:tcPr>
          <w:p>
            <w:r>
              <w:rPr>
                <w:rFonts w:ascii="Courier New" w:hAnsi="Courier New"/>
                <w:sz w:val="19"/>
              </w:rPr>
              <w:t>REPORT.md</w:t>
            </w:r>
          </w:p>
        </w:tc>
        <w:tc>
          <w:tcPr>
            <w:tcW w:type="dxa" w:w="4561"/>
          </w:tcPr>
          <w:p>
            <w:r>
              <w:t>Technical methodology report (Markdown)</w:t>
            </w:r>
          </w:p>
        </w:tc>
      </w:tr>
      <w:tr>
        <w:tc>
          <w:tcPr>
            <w:tcW w:type="dxa" w:w="4561"/>
          </w:tcPr>
          <w:p>
            <w:r>
              <w:rPr>
                <w:rFonts w:ascii="Courier New" w:hAnsi="Courier New"/>
                <w:sz w:val="19"/>
              </w:rPr>
              <w:t>README.md</w:t>
            </w:r>
          </w:p>
        </w:tc>
        <w:tc>
          <w:tcPr>
            <w:tcW w:type="dxa" w:w="4561"/>
          </w:tcPr>
          <w:p>
            <w:r>
              <w:t>Project overview and usage guide</w:t>
            </w:r>
          </w:p>
        </w:tc>
      </w:tr>
      <w:tr>
        <w:tc>
          <w:tcPr>
            <w:tcW w:type="dxa" w:w="4561"/>
          </w:tcPr>
          <w:p>
            <w:r>
              <w:rPr>
                <w:rFonts w:ascii="Courier New" w:hAnsi="Courier New"/>
                <w:sz w:val="19"/>
              </w:rPr>
              <w:t>package.json</w:t>
            </w:r>
          </w:p>
        </w:tc>
        <w:tc>
          <w:tcPr>
            <w:tcW w:type="dxa" w:w="4561"/>
          </w:tcPr>
          <w:p>
            <w:r>
              <w:t>Project metadata for npm/Vercel</w:t>
            </w:r>
          </w:p>
        </w:tc>
      </w:tr>
      <w:tr>
        <w:tc>
          <w:tcPr>
            <w:tcW w:type="dxa" w:w="4561"/>
          </w:tcPr>
          <w:p>
            <w:r>
              <w:rPr>
                <w:rFonts w:ascii="Courier New" w:hAnsi="Courier New"/>
                <w:sz w:val="19"/>
              </w:rPr>
              <w:t>vercel.json</w:t>
            </w:r>
          </w:p>
        </w:tc>
        <w:tc>
          <w:tcPr>
            <w:tcW w:type="dxa" w:w="4561"/>
          </w:tcPr>
          <w:p>
            <w:r>
              <w:t>Vercel deployment configuration</w:t>
            </w:r>
          </w:p>
        </w:tc>
      </w:tr>
    </w:tbl>
    <w:p/>
    <w:p>
      <w:pPr>
        <w:pBdr>
          <w:bottom w:val="single" w:sz="6" w:space="1" w:color="1E3A5F"/>
        </w:pBdr>
        <w:spacing w:before="0" w:after="120"/>
      </w:pPr>
    </w:p>
    <w:p>
      <w:pPr>
        <w:pStyle w:val="Heading1"/>
      </w:pPr>
      <w:r>
        <w:rPr>
          <w:color w:val="1E3A5F"/>
        </w:rPr>
        <w:t>9. References</w:t>
      </w:r>
    </w:p>
    <w:p>
      <w:pPr>
        <w:spacing w:after="80"/>
      </w:pPr>
      <w:r>
        <w:rPr>
          <w:b/>
        </w:rPr>
        <w:t xml:space="preserve">[1] </w:t>
      </w:r>
      <w:r>
        <w:t>Massalski, T. B. (Ed.). (1990). Binary Alloy Phase Diagrams (2nd ed.). ASM International.</w:t>
      </w:r>
    </w:p>
    <w:p>
      <w:pPr>
        <w:spacing w:after="80"/>
      </w:pPr>
      <w:r>
        <w:rPr>
          <w:b/>
        </w:rPr>
        <w:t xml:space="preserve">[2] </w:t>
      </w:r>
      <w:r>
        <w:t>ASM International. (1992). ASM Handbook Volume 3: Alloy Phase Diagrams. ASM International.</w:t>
      </w:r>
    </w:p>
    <w:p>
      <w:pPr>
        <w:spacing w:after="80"/>
      </w:pPr>
      <w:r>
        <w:rPr>
          <w:b/>
        </w:rPr>
        <w:t xml:space="preserve">[3] </w:t>
      </w:r>
      <w:r>
        <w:t>CALPHAD: Calculation of Phase Diagrams — A Comprehensive Guide. (General methodology reference.)</w:t>
      </w:r>
    </w:p>
    <w:p>
      <w:pPr>
        <w:spacing w:after="80"/>
      </w:pPr>
      <w:r>
        <w:rPr>
          <w:b/>
        </w:rPr>
        <w:t xml:space="preserve">[4] </w:t>
      </w:r>
      <w:r>
        <w:t>HTML5 Canvas 2D API — MDN Web Docs. https://developer.mozilla.org/en-US/docs/Web/API/Canvas_API</w:t>
      </w:r>
    </w:p>
    <w:p>
      <w:pPr>
        <w:spacing w:after="80"/>
      </w:pPr>
      <w:r>
        <w:rPr>
          <w:b/>
        </w:rPr>
        <w:t xml:space="preserve">[5] </w:t>
      </w:r>
      <w:r>
        <w:t>Inter Typeface — Rasmus Andersson. https://rsms.me/inter/</w:t>
      </w:r>
    </w:p>
    <w:p>
      <w:pPr>
        <w:pBdr>
          <w:bottom w:val="single" w:sz="6" w:space="1" w:color="1E3A5F"/>
        </w:pBdr>
        <w:spacing w:before="0" w:after="120"/>
      </w:pPr>
    </w:p>
    <w:p>
      <w:pPr>
        <w:jc w:val="center"/>
      </w:pPr>
      <w:r>
        <w:rPr>
          <w:i/>
          <w:color w:val="808080"/>
          <w:sz w:val="18"/>
        </w:rPr>
        <w:t>Ag–Mg Phase Diagram Tool  ·  Packathon 2026  ·  Built with HTML5 Canvas + Vanilla JavaScript  ·  Zero Dependencies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5F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