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left"/>
      </w:pPr>
      <w:r>
        <w:rPr>
          <w:rFonts w:ascii="Arial" w:cs="Arial" w:eastAsia="Arial" w:hAnsi="Arial"/>
          <w:b/>
          <w:bCs/>
          <w:caps/>
          <w:color w:val="2E75B6"/>
          <w:sz w:val="20"/>
          <w:szCs w:val="20"/>
        </w:rPr>
        <w:t xml:space="preserve">PRODUCT REQUIREMENTS DOCUMENT</w:t>
      </w:r>
    </w:p>
    <w:p>
      <w:pPr>
        <w:spacing w:after="60" w:before="0"/>
      </w:pPr>
      <w:r>
        <w:rPr>
          <w:rFonts w:ascii="Arial" w:cs="Arial" w:eastAsia="Arial" w:hAnsi="Arial"/>
          <w:b/>
          <w:bCs/>
          <w:color w:val="1F4E79"/>
          <w:sz w:val="56"/>
          <w:szCs w:val="56"/>
        </w:rPr>
        <w:t xml:space="preserve">RoboEval</w:t>
      </w:r>
    </w:p>
    <w:p>
      <w:pPr>
        <w:spacing w:after="60" w:before="0"/>
      </w:pPr>
      <w:r>
        <w:rPr>
          <w:rFonts w:ascii="Arial" w:cs="Arial" w:eastAsia="Arial" w:hAnsi="Arial"/>
          <w:color w:val="1A1A1A"/>
          <w:sz w:val="30"/>
          <w:szCs w:val="30"/>
        </w:rPr>
        <w:t xml:space="preserve">A Rigorous Evaluation &amp; Failure-Mode Study of</w:t>
      </w:r>
    </w:p>
    <w:p>
      <w:pPr>
        <w:spacing w:after="240" w:before="0"/>
      </w:pPr>
      <w:r>
        <w:rPr>
          <w:rFonts w:ascii="Arial" w:cs="Arial" w:eastAsia="Arial" w:hAnsi="Arial"/>
          <w:color w:val="1A1A1A"/>
          <w:sz w:val="30"/>
          <w:szCs w:val="30"/>
        </w:rPr>
        <w:t xml:space="preserve">Open-Source Robot Learning Policies with Residual RL Fine-Tuning</w:t>
      </w:r>
    </w:p>
    <w:p>
      <w:pPr>
        <w:pBdr>
          <w:bottom w:val="single" w:color="2E75B6" w:sz="6" w:space="1"/>
        </w:pBdr>
        <w:spacing w:after="80" w:before="80"/>
      </w:pP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before="0"/>
            </w:pPr>
            <w:r>
              <w:rPr>
                <w:rFonts w:ascii="Arial" w:cs="Arial" w:eastAsia="Arial" w:hAnsi="Arial"/>
                <w:b/>
                <w:bCs/>
                <w:color w:val="595959"/>
                <w:sz w:val="18"/>
                <w:szCs w:val="18"/>
              </w:rPr>
              <w:t xml:space="preserve">Author</w:t>
            </w:r>
          </w:p>
          <w:p>
            <w:pPr>
              <w:spacing w:after="0" w:before="0"/>
            </w:pPr>
            <w:r>
              <w:rPr>
                <w:rFonts w:ascii="Arial" w:cs="Arial" w:eastAsia="Arial" w:hAnsi="Arial"/>
                <w:color w:val="1A1A1A"/>
                <w:sz w:val="20"/>
                <w:szCs w:val="20"/>
              </w:rPr>
              <w:t xml:space="preserve">Rubeno Dechua</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before="0"/>
            </w:pPr>
            <w:r>
              <w:rPr>
                <w:rFonts w:ascii="Arial" w:cs="Arial" w:eastAsia="Arial" w:hAnsi="Arial"/>
                <w:b/>
                <w:bCs/>
                <w:color w:val="595959"/>
                <w:sz w:val="18"/>
                <w:szCs w:val="18"/>
              </w:rPr>
              <w:t xml:space="preserve">Status</w:t>
            </w:r>
          </w:p>
          <w:p>
            <w:pPr>
              <w:spacing w:after="0" w:before="0"/>
            </w:pPr>
            <w:r>
              <w:rPr>
                <w:rFonts w:ascii="Arial" w:cs="Arial" w:eastAsia="Arial" w:hAnsi="Arial"/>
                <w:color w:val="1A1A1A"/>
                <w:sz w:val="20"/>
                <w:szCs w:val="20"/>
              </w:rPr>
              <w:t xml:space="preserve">v1.0 — Approved</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before="0"/>
            </w:pPr>
            <w:r>
              <w:rPr>
                <w:rFonts w:ascii="Arial" w:cs="Arial" w:eastAsia="Arial" w:hAnsi="Arial"/>
                <w:b/>
                <w:bCs/>
                <w:color w:val="595959"/>
                <w:sz w:val="18"/>
                <w:szCs w:val="18"/>
              </w:rPr>
              <w:t xml:space="preserve">Last Updated</w:t>
            </w:r>
          </w:p>
          <w:p>
            <w:pPr>
              <w:spacing w:after="0" w:before="0"/>
            </w:pPr>
            <w:r>
              <w:rPr>
                <w:rFonts w:ascii="Arial" w:cs="Arial" w:eastAsia="Arial" w:hAnsi="Arial"/>
                <w:color w:val="1A1A1A"/>
                <w:sz w:val="20"/>
                <w:szCs w:val="20"/>
              </w:rPr>
              <w:t xml:space="preserve">May 2026</w:t>
            </w:r>
          </w:p>
        </w:tc>
        <w:tc>
          <w:tcPr>
            <w:tcW w:type="dxa" w:w="234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before="0"/>
            </w:pPr>
            <w:r>
              <w:rPr>
                <w:rFonts w:ascii="Arial" w:cs="Arial" w:eastAsia="Arial" w:hAnsi="Arial"/>
                <w:b/>
                <w:bCs/>
                <w:color w:val="595959"/>
                <w:sz w:val="18"/>
                <w:szCs w:val="18"/>
              </w:rPr>
              <w:t xml:space="preserve">Target Role</w:t>
            </w:r>
          </w:p>
          <w:p>
            <w:pPr>
              <w:spacing w:after="0" w:before="0"/>
            </w:pPr>
            <w:r>
              <w:rPr>
                <w:rFonts w:ascii="Arial" w:cs="Arial" w:eastAsia="Arial" w:hAnsi="Arial"/>
                <w:color w:val="1A1A1A"/>
                <w:sz w:val="20"/>
                <w:szCs w:val="20"/>
              </w:rPr>
              <w:t xml:space="preserve">Robot Learning Engineer</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One-Line Pitch</w:t>
            </w:r>
          </w:p>
          <w:p>
            <w:pPr>
              <w:spacing w:after="0" w:before="0"/>
            </w:pPr>
            <w:r>
              <w:rPr>
                <w:rFonts w:ascii="Arial" w:cs="Arial" w:eastAsia="Arial" w:hAnsi="Arial"/>
                <w:color w:val="1A1A1A"/>
                <w:sz w:val="21"/>
                <w:szCs w:val="21"/>
              </w:rPr>
              <w:t xml:space="preserve">RoboEval is an open-source evaluation harness and study that systematically measures where state-of-the-art imitation learning policies break, classifies failure modes, and demonstrates a residual RL loop that recovers the top-frequency failure — producing a reproducible benchmark, an interactive dashboard, and an arXiv-style writeup ready for submission.</w:t>
            </w:r>
          </w:p>
        </w:tc>
      </w:tr>
    </w:tbl>
    <w:p>
      <w:pPr>
        <w:spacing w:after="80" w:before="120"/>
      </w:pPr>
    </w:p>
    <w:p>
      <w:r>
        <w:br w:type="page"/>
      </w:r>
    </w:p>
    <w:p>
      <w:pPr>
        <w:pStyle w:val="Heading1"/>
        <w:spacing w:after="120" w:before="320"/>
      </w:pPr>
      <w:r>
        <w:rPr>
          <w:rFonts w:ascii="Arial" w:cs="Arial" w:eastAsia="Arial" w:hAnsi="Arial"/>
          <w:b/>
          <w:bCs/>
          <w:color w:val="1F4E79"/>
          <w:sz w:val="32"/>
          <w:szCs w:val="32"/>
        </w:rPr>
        <w:t xml:space="preserve">1. Executive Summary</w:t>
      </w:r>
    </w:p>
    <w:p>
      <w:pPr>
        <w:pBdr>
          <w:bottom w:val="single" w:color="2E75B6" w:sz="6" w:space="1"/>
        </w:pBdr>
        <w:spacing w:after="80" w:before="80"/>
      </w:pPr>
    </w:p>
    <w:p>
      <w:pPr>
        <w:spacing w:after="80" w:before="80"/>
      </w:pPr>
    </w:p>
    <w:p>
      <w:pPr>
        <w:spacing w:after="60" w:before="60"/>
      </w:pPr>
      <w:r>
        <w:rPr>
          <w:rFonts w:ascii="Arial" w:cs="Arial" w:eastAsia="Arial" w:hAnsi="Arial"/>
          <w:i w:val="false"/>
          <w:iCs w:val="false"/>
          <w:color w:val="1A1A1A"/>
          <w:sz w:val="22"/>
          <w:szCs w:val="22"/>
        </w:rPr>
        <w:t xml:space="preserve">Robot learning is transitioning from laboratory demonstrations to production deployments. The dominant paradigm — imitation learning via Behavioral Cloning, ACT, and Diffusion Policy — has achieved impressive task success in controlled conditions. However, the field lacks a rigorous, publicly available study of where these policies systematically fail, how failure modes distribute across policy architectures, and whether lightweight residual RL can recover them.</w:t>
      </w:r>
    </w:p>
    <w:p>
      <w:pPr>
        <w:spacing w:after="80" w:before="60"/>
      </w:pPr>
    </w:p>
    <w:p>
      <w:pPr>
        <w:spacing w:after="60" w:before="60"/>
      </w:pPr>
      <w:r>
        <w:rPr>
          <w:rFonts w:ascii="Arial" w:cs="Arial" w:eastAsia="Arial" w:hAnsi="Arial"/>
          <w:i w:val="false"/>
          <w:iCs w:val="false"/>
          <w:color w:val="1A1A1A"/>
          <w:sz w:val="22"/>
          <w:szCs w:val="22"/>
        </w:rPr>
        <w:t xml:space="preserve">RoboEval closes that gap. The project delivers:</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An evaluation harness </w:t>
      </w:r>
      <w:r>
        <w:rPr>
          <w:rFonts w:ascii="Arial" w:cs="Arial" w:eastAsia="Arial" w:hAnsi="Arial"/>
          <w:color w:val="1A1A1A"/>
          <w:sz w:val="22"/>
          <w:szCs w:val="22"/>
        </w:rPr>
        <w:t xml:space="preserve">that benchmarks multiple pretrained policies in simulation with a single config change</w:t>
      </w:r>
    </w:p>
    <w:p>
      <w:pPr>
        <w:pStyle w:val="ListParagraph"/>
        <w:numPr>
          <w:ilvl w:val="0"/>
          <w:numId w:val="2"/>
        </w:numPr>
        <w:spacing w:after="40" w:before="40"/>
      </w:pPr>
      <w:r>
        <w:rPr>
          <w:rFonts w:ascii="Arial" w:cs="Arial" w:eastAsia="Arial" w:hAnsi="Arial"/>
          <w:b/>
          <w:bCs/>
          <w:color w:val="1A1A1A"/>
          <w:sz w:val="22"/>
          <w:szCs w:val="22"/>
        </w:rPr>
        <w:t xml:space="preserve">A robustness suite </w:t>
      </w:r>
      <w:r>
        <w:rPr>
          <w:rFonts w:ascii="Arial" w:cs="Arial" w:eastAsia="Arial" w:hAnsi="Arial"/>
          <w:color w:val="1A1A1A"/>
          <w:sz w:val="22"/>
          <w:szCs w:val="22"/>
        </w:rPr>
        <w:t xml:space="preserve">that quantifies policy degradation under distribution shift, physical perturbation, and visual noise</w:t>
      </w:r>
    </w:p>
    <w:p>
      <w:pPr>
        <w:pStyle w:val="ListParagraph"/>
        <w:numPr>
          <w:ilvl w:val="0"/>
          <w:numId w:val="2"/>
        </w:numPr>
        <w:spacing w:after="40" w:before="40"/>
      </w:pPr>
      <w:r>
        <w:rPr>
          <w:rFonts w:ascii="Arial" w:cs="Arial" w:eastAsia="Arial" w:hAnsi="Arial"/>
          <w:b/>
          <w:bCs/>
          <w:color w:val="1A1A1A"/>
          <w:sz w:val="22"/>
          <w:szCs w:val="22"/>
        </w:rPr>
        <w:t xml:space="preserve">A failure taxonomy </w:t>
      </w:r>
      <w:r>
        <w:rPr>
          <w:rFonts w:ascii="Arial" w:cs="Arial" w:eastAsia="Arial" w:hAnsi="Arial"/>
          <w:color w:val="1A1A1A"/>
          <w:sz w:val="22"/>
          <w:szCs w:val="22"/>
        </w:rPr>
        <w:t xml:space="preserve">with six operationally-defined categories, a classifier, and per-policy breakdown</w:t>
      </w:r>
    </w:p>
    <w:p>
      <w:pPr>
        <w:pStyle w:val="ListParagraph"/>
        <w:numPr>
          <w:ilvl w:val="0"/>
          <w:numId w:val="2"/>
        </w:numPr>
        <w:spacing w:after="40" w:before="40"/>
      </w:pPr>
      <w:r>
        <w:rPr>
          <w:rFonts w:ascii="Arial" w:cs="Arial" w:eastAsia="Arial" w:hAnsi="Arial"/>
          <w:b/>
          <w:bCs/>
          <w:color w:val="1A1A1A"/>
          <w:sz w:val="22"/>
          <w:szCs w:val="22"/>
        </w:rPr>
        <w:t xml:space="preserve">A residual RL study </w:t>
      </w:r>
      <w:r>
        <w:rPr>
          <w:rFonts w:ascii="Arial" w:cs="Arial" w:eastAsia="Arial" w:hAnsi="Arial"/>
          <w:color w:val="1A1A1A"/>
          <w:sz w:val="22"/>
          <w:szCs w:val="22"/>
        </w:rPr>
        <w:t xml:space="preserve">showing whether PPO-based fine-tuning can recover the highest-frequency failure mode</w:t>
      </w:r>
    </w:p>
    <w:p>
      <w:pPr>
        <w:pStyle w:val="ListParagraph"/>
        <w:numPr>
          <w:ilvl w:val="0"/>
          <w:numId w:val="2"/>
        </w:numPr>
        <w:spacing w:after="40" w:before="40"/>
      </w:pPr>
      <w:r>
        <w:rPr>
          <w:rFonts w:ascii="Arial" w:cs="Arial" w:eastAsia="Arial" w:hAnsi="Arial"/>
          <w:b/>
          <w:bCs/>
          <w:color w:val="1A1A1A"/>
          <w:sz w:val="22"/>
          <w:szCs w:val="22"/>
        </w:rPr>
        <w:t xml:space="preserve">A public deliverables package </w:t>
      </w:r>
      <w:r>
        <w:rPr>
          <w:rFonts w:ascii="Arial" w:cs="Arial" w:eastAsia="Arial" w:hAnsi="Arial"/>
          <w:color w:val="1A1A1A"/>
          <w:sz w:val="22"/>
          <w:szCs w:val="22"/>
        </w:rPr>
        <w:t xml:space="preserve">including an interactive dashboard, demo video, MkDocs site, and arXiv-style writeup</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Why this project for Rubeno specifically</w:t>
            </w:r>
          </w:p>
          <w:p>
            <w:pPr>
              <w:spacing w:after="0" w:before="0"/>
            </w:pPr>
            <w:r>
              <w:rPr>
                <w:rFonts w:ascii="Arial" w:cs="Arial" w:eastAsia="Arial" w:hAnsi="Arial"/>
                <w:color w:val="1A1A1A"/>
                <w:sz w:val="21"/>
                <w:szCs w:val="21"/>
              </w:rPr>
              <w:t xml:space="preserve">Rubeno spent 8+ months at Physical Intelligence evaluating real robot policies, identifying failure modes, and documenting instructional frameworks — this project is a public, reproducible extension of that exact workflow. It fills the gap between industry experience and open-source portfolio signal that robot learning hiring teams need to see.</w:t>
            </w:r>
          </w:p>
        </w:tc>
      </w:tr>
    </w:tbl>
    <w:p>
      <w:pPr>
        <w:spacing w:after="80" w:before="120"/>
      </w:pPr>
    </w:p>
    <w:p>
      <w:pPr>
        <w:pStyle w:val="Heading1"/>
        <w:spacing w:after="120" w:before="320"/>
      </w:pPr>
      <w:r>
        <w:rPr>
          <w:rFonts w:ascii="Arial" w:cs="Arial" w:eastAsia="Arial" w:hAnsi="Arial"/>
          <w:b/>
          <w:bCs/>
          <w:color w:val="1F4E79"/>
          <w:sz w:val="32"/>
          <w:szCs w:val="32"/>
        </w:rPr>
        <w:t xml:space="preserve">2. Problem Statement</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2.1  The Gap in the Field</w:t>
      </w:r>
    </w:p>
    <w:p>
      <w:pPr>
        <w:spacing w:after="60" w:before="60"/>
      </w:pPr>
      <w:r>
        <w:rPr>
          <w:rFonts w:ascii="Arial" w:cs="Arial" w:eastAsia="Arial" w:hAnsi="Arial"/>
          <w:i w:val="false"/>
          <w:iCs w:val="false"/>
          <w:color w:val="1A1A1A"/>
          <w:sz w:val="22"/>
          <w:szCs w:val="22"/>
        </w:rPr>
        <w:t xml:space="preserve">State-of-the-art robot manipulation policies (ACT, Diffusion Policy, π0) are benchmarked primarily on task success rate in nominal conditions. Three critical gaps remain:</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No standardised public evaluation harness exists for comparing these policies under consistent conditions.</w:t>
      </w:r>
    </w:p>
    <w:p>
      <w:pPr>
        <w:pStyle w:val="ListParagraph"/>
        <w:numPr>
          <w:ilvl w:val="0"/>
          <w:numId w:val="2"/>
        </w:numPr>
        <w:spacing w:after="40" w:before="40"/>
      </w:pPr>
      <w:r>
        <w:rPr>
          <w:rFonts w:ascii="Arial" w:cs="Arial" w:eastAsia="Arial" w:hAnsi="Arial"/>
          <w:b w:val="false"/>
          <w:bCs w:val="false"/>
          <w:color w:val="1A1A1A"/>
          <w:sz w:val="22"/>
          <w:szCs w:val="22"/>
        </w:rPr>
        <w:t xml:space="preserve">Failure modes are qualitatively described in papers but rarely quantified, classified, or cross-compared across policy architectures.</w:t>
      </w:r>
    </w:p>
    <w:p>
      <w:pPr>
        <w:pStyle w:val="ListParagraph"/>
        <w:numPr>
          <w:ilvl w:val="0"/>
          <w:numId w:val="2"/>
        </w:numPr>
        <w:spacing w:after="40" w:before="40"/>
      </w:pPr>
      <w:r>
        <w:rPr>
          <w:rFonts w:ascii="Arial" w:cs="Arial" w:eastAsia="Arial" w:hAnsi="Arial"/>
          <w:b w:val="false"/>
          <w:bCs w:val="false"/>
          <w:color w:val="1A1A1A"/>
          <w:sz w:val="22"/>
          <w:szCs w:val="22"/>
        </w:rPr>
        <w:t xml:space="preserve">The value of lightweight residual RL on top of pretrained imitation policies is understood in theory but almost no public implementation with measured results exists for newcomers to the field.</w:t>
      </w:r>
    </w:p>
    <w:p>
      <w:pPr>
        <w:spacing w:after="80" w:before="80"/>
      </w:pPr>
    </w:p>
    <w:p>
      <w:pPr>
        <w:pStyle w:val="Heading2"/>
        <w:spacing w:after="100" w:before="240"/>
      </w:pPr>
      <w:r>
        <w:rPr>
          <w:rFonts w:ascii="Arial" w:cs="Arial" w:eastAsia="Arial" w:hAnsi="Arial"/>
          <w:b/>
          <w:bCs/>
          <w:color w:val="2E75B6"/>
          <w:sz w:val="26"/>
          <w:szCs w:val="26"/>
        </w:rPr>
        <w:t xml:space="preserve">2.2  The Gap for a Candidate</w:t>
      </w:r>
    </w:p>
    <w:p>
      <w:pPr>
        <w:spacing w:after="60" w:before="60"/>
      </w:pPr>
      <w:r>
        <w:rPr>
          <w:rFonts w:ascii="Arial" w:cs="Arial" w:eastAsia="Arial" w:hAnsi="Arial"/>
          <w:i w:val="false"/>
          <w:iCs w:val="false"/>
          <w:color w:val="1A1A1A"/>
          <w:sz w:val="22"/>
          <w:szCs w:val="22"/>
        </w:rPr>
        <w:t xml:space="preserve">New-grad and early-career robot learning candidates typically demonstrate:</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Toy RL implementations (CartPole, MuJoCo Ant) that every CS grad has done</w:t>
      </w:r>
    </w:p>
    <w:p>
      <w:pPr>
        <w:pStyle w:val="ListParagraph"/>
        <w:numPr>
          <w:ilvl w:val="0"/>
          <w:numId w:val="2"/>
        </w:numPr>
        <w:spacing w:after="40" w:before="40"/>
      </w:pPr>
      <w:r>
        <w:rPr>
          <w:rFonts w:ascii="Arial" w:cs="Arial" w:eastAsia="Arial" w:hAnsi="Arial"/>
          <w:b w:val="false"/>
          <w:bCs w:val="false"/>
          <w:color w:val="1A1A1A"/>
          <w:sz w:val="22"/>
          <w:szCs w:val="22"/>
        </w:rPr>
        <w:t xml:space="preserve">Course or Kaggle projects with no deployment or reproducibility discipline</w:t>
      </w:r>
    </w:p>
    <w:p>
      <w:pPr>
        <w:pStyle w:val="ListParagraph"/>
        <w:numPr>
          <w:ilvl w:val="0"/>
          <w:numId w:val="2"/>
        </w:numPr>
        <w:spacing w:after="40" w:before="40"/>
      </w:pPr>
      <w:r>
        <w:rPr>
          <w:rFonts w:ascii="Arial" w:cs="Arial" w:eastAsia="Arial" w:hAnsi="Arial"/>
          <w:b w:val="false"/>
          <w:bCs w:val="false"/>
          <w:color w:val="1A1A1A"/>
          <w:sz w:val="22"/>
          <w:szCs w:val="22"/>
        </w:rPr>
        <w:t xml:space="preserve">No public evidence of being able to design an experiment, run it cleanly, and communicate the results</w:t>
      </w:r>
    </w:p>
    <w:p>
      <w:pPr>
        <w:spacing w:after="80" w:before="60"/>
      </w:pPr>
    </w:p>
    <w:p>
      <w:pPr>
        <w:spacing w:after="60" w:before="60"/>
      </w:pPr>
      <w:r>
        <w:rPr>
          <w:rFonts w:ascii="Arial" w:cs="Arial" w:eastAsia="Arial" w:hAnsi="Arial"/>
          <w:i w:val="false"/>
          <w:iCs w:val="false"/>
          <w:color w:val="1A1A1A"/>
          <w:sz w:val="22"/>
          <w:szCs w:val="22"/>
        </w:rPr>
        <w:t xml:space="preserve">RoboEval is designed to fill all three gaps simultaneously and produce artifacts that map directly to responsibilities listed in Robot Learning Engineer and Autonomy Evaluation Engineer job descriptions.</w:t>
      </w:r>
    </w:p>
    <w:p>
      <w:pPr>
        <w:spacing w:after="80" w:before="120"/>
      </w:pPr>
    </w:p>
    <w:p>
      <w:pPr>
        <w:pStyle w:val="Heading1"/>
        <w:spacing w:after="120" w:before="320"/>
      </w:pPr>
      <w:r>
        <w:rPr>
          <w:rFonts w:ascii="Arial" w:cs="Arial" w:eastAsia="Arial" w:hAnsi="Arial"/>
          <w:b/>
          <w:bCs/>
          <w:color w:val="1F4E79"/>
          <w:sz w:val="32"/>
          <w:szCs w:val="32"/>
        </w:rPr>
        <w:t xml:space="preserve">3. Goals &amp; Non-Goals</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3.1  Goals</w:t>
      </w:r>
    </w:p>
    <w:p>
      <w:pPr>
        <w:spacing w:after="80" w:before="40"/>
      </w:pPr>
    </w:p>
    <w:p>
      <w:pPr>
        <w:pStyle w:val="ListParagraph"/>
        <w:numPr>
          <w:ilvl w:val="0"/>
          <w:numId w:val="3"/>
        </w:numPr>
        <w:spacing w:after="40" w:before="40"/>
      </w:pPr>
      <w:r>
        <w:rPr>
          <w:rFonts w:ascii="Arial" w:cs="Arial" w:eastAsia="Arial" w:hAnsi="Arial"/>
          <w:b w:val="false"/>
          <w:bCs w:val="false"/>
          <w:color w:val="1A1A1A"/>
          <w:sz w:val="22"/>
          <w:szCs w:val="22"/>
        </w:rPr>
        <w:t xml:space="preserve">Build and open-source a reproducible policy evaluation harness runnable on Apple M1 (8 GB RAM) with no GPU required for evaluation.</w:t>
      </w:r>
    </w:p>
    <w:p>
      <w:pPr>
        <w:pStyle w:val="ListParagraph"/>
        <w:numPr>
          <w:ilvl w:val="0"/>
          <w:numId w:val="3"/>
        </w:numPr>
        <w:spacing w:after="40" w:before="40"/>
      </w:pPr>
      <w:r>
        <w:rPr>
          <w:rFonts w:ascii="Arial" w:cs="Arial" w:eastAsia="Arial" w:hAnsi="Arial"/>
          <w:b w:val="false"/>
          <w:bCs w:val="false"/>
          <w:color w:val="1A1A1A"/>
          <w:sz w:val="22"/>
          <w:szCs w:val="22"/>
        </w:rPr>
        <w:t xml:space="preserve">Benchmark at least 3 pretrained manipulation policies from the LeRobot model zoo under baseline and perturbed conditions.</w:t>
      </w:r>
    </w:p>
    <w:p>
      <w:pPr>
        <w:pStyle w:val="ListParagraph"/>
        <w:numPr>
          <w:ilvl w:val="0"/>
          <w:numId w:val="3"/>
        </w:numPr>
        <w:spacing w:after="40" w:before="40"/>
      </w:pPr>
      <w:r>
        <w:rPr>
          <w:rFonts w:ascii="Arial" w:cs="Arial" w:eastAsia="Arial" w:hAnsi="Arial"/>
          <w:b w:val="false"/>
          <w:bCs w:val="false"/>
          <w:color w:val="1A1A1A"/>
          <w:sz w:val="22"/>
          <w:szCs w:val="22"/>
        </w:rPr>
        <w:t xml:space="preserve">Define, operationalise, and classify at least 6 failure mode categories across ≥150 labelled rollouts.</w:t>
      </w:r>
    </w:p>
    <w:p>
      <w:pPr>
        <w:pStyle w:val="ListParagraph"/>
        <w:numPr>
          <w:ilvl w:val="0"/>
          <w:numId w:val="3"/>
        </w:numPr>
        <w:spacing w:after="40" w:before="40"/>
      </w:pPr>
      <w:r>
        <w:rPr>
          <w:rFonts w:ascii="Arial" w:cs="Arial" w:eastAsia="Arial" w:hAnsi="Arial"/>
          <w:b w:val="false"/>
          <w:bCs w:val="false"/>
          <w:color w:val="1A1A1A"/>
          <w:sz w:val="22"/>
          <w:szCs w:val="22"/>
        </w:rPr>
        <w:t xml:space="preserve">Train a residual PPO policy on top of the highest-frequency failure mode and report ΔTSR (task success rate improvement) with ablations.</w:t>
      </w:r>
    </w:p>
    <w:p>
      <w:pPr>
        <w:pStyle w:val="ListParagraph"/>
        <w:numPr>
          <w:ilvl w:val="0"/>
          <w:numId w:val="3"/>
        </w:numPr>
        <w:spacing w:after="40" w:before="40"/>
      </w:pPr>
      <w:r>
        <w:rPr>
          <w:rFonts w:ascii="Arial" w:cs="Arial" w:eastAsia="Arial" w:hAnsi="Arial"/>
          <w:b w:val="false"/>
          <w:bCs w:val="false"/>
          <w:color w:val="1A1A1A"/>
          <w:sz w:val="22"/>
          <w:szCs w:val="22"/>
        </w:rPr>
        <w:t xml:space="preserve">Produce a public demo video, interactive Plotly/Dash dashboard, arXiv-style PDF writeup, and MkDocs documentation site.</w:t>
      </w:r>
    </w:p>
    <w:p>
      <w:pPr>
        <w:pStyle w:val="ListParagraph"/>
        <w:numPr>
          <w:ilvl w:val="0"/>
          <w:numId w:val="3"/>
        </w:numPr>
        <w:spacing w:after="40" w:before="40"/>
      </w:pPr>
      <w:r>
        <w:rPr>
          <w:rFonts w:ascii="Arial" w:cs="Arial" w:eastAsia="Arial" w:hAnsi="Arial"/>
          <w:b w:val="false"/>
          <w:bCs w:val="false"/>
          <w:color w:val="1A1A1A"/>
          <w:sz w:val="22"/>
          <w:szCs w:val="22"/>
        </w:rPr>
        <w:t xml:space="preserve">Complete all of the above in 10 weeks on a part-time schedule (~15–20 hrs/week).</w:t>
      </w:r>
    </w:p>
    <w:p>
      <w:pPr>
        <w:spacing w:after="80" w:before="80"/>
      </w:pPr>
    </w:p>
    <w:p>
      <w:pPr>
        <w:pStyle w:val="Heading2"/>
        <w:spacing w:after="100" w:before="240"/>
      </w:pPr>
      <w:r>
        <w:rPr>
          <w:rFonts w:ascii="Arial" w:cs="Arial" w:eastAsia="Arial" w:hAnsi="Arial"/>
          <w:b/>
          <w:bCs/>
          <w:color w:val="2E75B6"/>
          <w:sz w:val="26"/>
          <w:szCs w:val="26"/>
        </w:rPr>
        <w:t xml:space="preserve">3.2  Non-Goals</w:t>
      </w:r>
    </w:p>
    <w:p>
      <w:pPr>
        <w:spacing w:after="60" w:before="60"/>
      </w:pPr>
      <w:r>
        <w:rPr>
          <w:rFonts w:ascii="Arial" w:cs="Arial" w:eastAsia="Arial" w:hAnsi="Arial"/>
          <w:i w:val="false"/>
          <w:iCs w:val="false"/>
          <w:color w:val="1A1A1A"/>
          <w:sz w:val="22"/>
          <w:szCs w:val="22"/>
        </w:rPr>
        <w:t xml:space="preserve">The following are explicitly out of scope for v1.0 to protect timeline:</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Training a full policy from scratch — this requires compute we do not have and adds no differentiation over existing work</w:t>
      </w:r>
    </w:p>
    <w:p>
      <w:pPr>
        <w:pStyle w:val="ListParagraph"/>
        <w:numPr>
          <w:ilvl w:val="0"/>
          <w:numId w:val="2"/>
        </w:numPr>
        <w:spacing w:after="40" w:before="40"/>
      </w:pPr>
      <w:r>
        <w:rPr>
          <w:rFonts w:ascii="Arial" w:cs="Arial" w:eastAsia="Arial" w:hAnsi="Arial"/>
          <w:b w:val="false"/>
          <w:bCs w:val="false"/>
          <w:color w:val="1A1A1A"/>
          <w:sz w:val="22"/>
          <w:szCs w:val="22"/>
        </w:rPr>
        <w:t xml:space="preserve">Real-robot deployment — sim-only is sufficient and is the standard for eval research</w:t>
      </w:r>
    </w:p>
    <w:p>
      <w:pPr>
        <w:pStyle w:val="ListParagraph"/>
        <w:numPr>
          <w:ilvl w:val="0"/>
          <w:numId w:val="2"/>
        </w:numPr>
        <w:spacing w:after="40" w:before="40"/>
      </w:pPr>
      <w:r>
        <w:rPr>
          <w:rFonts w:ascii="Arial" w:cs="Arial" w:eastAsia="Arial" w:hAnsi="Arial"/>
          <w:b w:val="false"/>
          <w:bCs w:val="false"/>
          <w:color w:val="1A1A1A"/>
          <w:sz w:val="22"/>
          <w:szCs w:val="22"/>
        </w:rPr>
        <w:t xml:space="preserve">CUDA / GPU infrastructure — M1 MPS and Colab Pro overflow handle all compute needs</w:t>
      </w:r>
    </w:p>
    <w:p>
      <w:pPr>
        <w:pStyle w:val="ListParagraph"/>
        <w:numPr>
          <w:ilvl w:val="0"/>
          <w:numId w:val="2"/>
        </w:numPr>
        <w:spacing w:after="40" w:before="40"/>
      </w:pPr>
      <w:r>
        <w:rPr>
          <w:rFonts w:ascii="Arial" w:cs="Arial" w:eastAsia="Arial" w:hAnsi="Arial"/>
          <w:b w:val="false"/>
          <w:bCs w:val="false"/>
          <w:color w:val="1A1A1A"/>
          <w:sz w:val="22"/>
          <w:szCs w:val="22"/>
        </w:rPr>
        <w:t xml:space="preserve">Novel algorithm contributions — this is an empirical study, not a methods paper</w:t>
      </w:r>
    </w:p>
    <w:p>
      <w:pPr>
        <w:pStyle w:val="ListParagraph"/>
        <w:numPr>
          <w:ilvl w:val="0"/>
          <w:numId w:val="2"/>
        </w:numPr>
        <w:spacing w:after="40" w:before="40"/>
      </w:pPr>
      <w:r>
        <w:rPr>
          <w:rFonts w:ascii="Arial" w:cs="Arial" w:eastAsia="Arial" w:hAnsi="Arial"/>
          <w:b w:val="false"/>
          <w:bCs w:val="false"/>
          <w:color w:val="1A1A1A"/>
          <w:sz w:val="22"/>
          <w:szCs w:val="22"/>
        </w:rPr>
        <w:t xml:space="preserve">Comparison to proprietary models (π0, RT-2, Helix) — no public checkpoints available</w:t>
      </w:r>
    </w:p>
    <w:p>
      <w:pPr>
        <w:spacing w:after="80" w:before="120"/>
      </w:pPr>
    </w:p>
    <w:p>
      <w:pPr>
        <w:pStyle w:val="Heading1"/>
        <w:spacing w:after="120" w:before="320"/>
      </w:pPr>
      <w:r>
        <w:rPr>
          <w:rFonts w:ascii="Arial" w:cs="Arial" w:eastAsia="Arial" w:hAnsi="Arial"/>
          <w:b/>
          <w:bCs/>
          <w:color w:val="1F4E79"/>
          <w:sz w:val="32"/>
          <w:szCs w:val="32"/>
        </w:rPr>
        <w:t xml:space="preserve">4. Target Audience</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4.1  Primary: Hiring Teams at Robot Learning Companies</w:t>
      </w:r>
    </w:p>
    <w:p>
      <w:pPr>
        <w:spacing w:after="60" w:before="60"/>
      </w:pPr>
      <w:r>
        <w:rPr>
          <w:rFonts w:ascii="Arial" w:cs="Arial" w:eastAsia="Arial" w:hAnsi="Arial"/>
          <w:i w:val="false"/>
          <w:iCs w:val="false"/>
          <w:color w:val="1A1A1A"/>
          <w:sz w:val="22"/>
          <w:szCs w:val="22"/>
        </w:rPr>
        <w:t xml:space="preserve">The project's core external audience is recruiting and engineering teams at companies hiring for Robot Learning Engineer, Autonomy Evaluation Engineer, and ML Research Engineer roles. Specific targets include:</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Physical Intelligence, Skild AI, 1X Technologies, Figure AI, Dexterity, Covariant — manipulation-focused</w:t>
      </w:r>
    </w:p>
    <w:p>
      <w:pPr>
        <w:pStyle w:val="ListParagraph"/>
        <w:numPr>
          <w:ilvl w:val="0"/>
          <w:numId w:val="2"/>
        </w:numPr>
        <w:spacing w:after="40" w:before="40"/>
      </w:pPr>
      <w:r>
        <w:rPr>
          <w:rFonts w:ascii="Arial" w:cs="Arial" w:eastAsia="Arial" w:hAnsi="Arial"/>
          <w:b w:val="false"/>
          <w:bCs w:val="false"/>
          <w:color w:val="1A1A1A"/>
          <w:sz w:val="22"/>
          <w:szCs w:val="22"/>
        </w:rPr>
        <w:t xml:space="preserve">Boston Dynamics AI Institute, Apptronik, Agility Robotics — humanoid / mobility</w:t>
      </w:r>
    </w:p>
    <w:p>
      <w:pPr>
        <w:pStyle w:val="ListParagraph"/>
        <w:numPr>
          <w:ilvl w:val="0"/>
          <w:numId w:val="2"/>
        </w:numPr>
        <w:spacing w:after="40" w:before="40"/>
      </w:pPr>
      <w:r>
        <w:rPr>
          <w:rFonts w:ascii="Arial" w:cs="Arial" w:eastAsia="Arial" w:hAnsi="Arial"/>
          <w:b w:val="false"/>
          <w:bCs w:val="false"/>
          <w:color w:val="1A1A1A"/>
          <w:sz w:val="22"/>
          <w:szCs w:val="22"/>
        </w:rPr>
        <w:t xml:space="preserve">General Motors Autonomy, Waymo, Cruise Automation — autonomy evaluation adjacent</w:t>
      </w:r>
    </w:p>
    <w:p>
      <w:pPr>
        <w:spacing w:after="80" w:before="80"/>
      </w:pPr>
    </w:p>
    <w:p>
      <w:pPr>
        <w:pStyle w:val="Heading2"/>
        <w:spacing w:after="100" w:before="240"/>
      </w:pPr>
      <w:r>
        <w:rPr>
          <w:rFonts w:ascii="Arial" w:cs="Arial" w:eastAsia="Arial" w:hAnsi="Arial"/>
          <w:b/>
          <w:bCs/>
          <w:color w:val="2E75B6"/>
          <w:sz w:val="26"/>
          <w:szCs w:val="26"/>
        </w:rPr>
        <w:t xml:space="preserve">4.2  Secondary: The Robot Learning Research Community</w:t>
      </w:r>
    </w:p>
    <w:p>
      <w:pPr>
        <w:spacing w:after="60" w:before="60"/>
      </w:pPr>
      <w:r>
        <w:rPr>
          <w:rFonts w:ascii="Arial" w:cs="Arial" w:eastAsia="Arial" w:hAnsi="Arial"/>
          <w:i w:val="false"/>
          <w:iCs w:val="false"/>
          <w:color w:val="1A1A1A"/>
          <w:sz w:val="22"/>
          <w:szCs w:val="22"/>
        </w:rPr>
        <w:t xml:space="preserve">Open-sourcing the harness and study benefits researchers who want a plug-and-play evaluation baseline. GitHub stars, forks, citations, and community issues all add long-term professional signal.</w:t>
      </w:r>
    </w:p>
    <w:p>
      <w:pPr>
        <w:spacing w:after="80" w:before="80"/>
      </w:pPr>
    </w:p>
    <w:p>
      <w:pPr>
        <w:pStyle w:val="Heading2"/>
        <w:spacing w:after="100" w:before="240"/>
      </w:pPr>
      <w:r>
        <w:rPr>
          <w:rFonts w:ascii="Arial" w:cs="Arial" w:eastAsia="Arial" w:hAnsi="Arial"/>
          <w:b/>
          <w:bCs/>
          <w:color w:val="2E75B6"/>
          <w:sz w:val="26"/>
          <w:szCs w:val="26"/>
        </w:rPr>
        <w:t xml:space="preserve">4.3  Tertiary: Rubeno Himself</w:t>
      </w:r>
    </w:p>
    <w:p>
      <w:pPr>
        <w:spacing w:after="60" w:before="60"/>
      </w:pPr>
      <w:r>
        <w:rPr>
          <w:rFonts w:ascii="Arial" w:cs="Arial" w:eastAsia="Arial" w:hAnsi="Arial"/>
          <w:i w:val="false"/>
          <w:iCs w:val="false"/>
          <w:color w:val="1A1A1A"/>
          <w:sz w:val="22"/>
          <w:szCs w:val="22"/>
        </w:rPr>
        <w:t xml:space="preserve">The project functions as structured upskilling. Every phase introduces a concept that will come up in technical interviews: reward design, RL training loops, statistical experimental design, and research communication.</w:t>
      </w:r>
    </w:p>
    <w:p>
      <w:pPr>
        <w:spacing w:after="80" w:before="120"/>
      </w:pPr>
    </w:p>
    <w:p>
      <w:pPr>
        <w:pStyle w:val="Heading1"/>
        <w:spacing w:after="120" w:before="320"/>
      </w:pPr>
      <w:r>
        <w:rPr>
          <w:rFonts w:ascii="Arial" w:cs="Arial" w:eastAsia="Arial" w:hAnsi="Arial"/>
          <w:b/>
          <w:bCs/>
          <w:color w:val="1F4E79"/>
          <w:sz w:val="32"/>
          <w:szCs w:val="32"/>
        </w:rPr>
        <w:t xml:space="preserve">5. Technical Architecture</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5.1  System Overview</w:t>
      </w:r>
    </w:p>
    <w:p>
      <w:pPr>
        <w:spacing w:after="60" w:before="60"/>
      </w:pPr>
      <w:r>
        <w:rPr>
          <w:rFonts w:ascii="Arial" w:cs="Arial" w:eastAsia="Arial" w:hAnsi="Arial"/>
          <w:i w:val="false"/>
          <w:iCs w:val="false"/>
          <w:color w:val="1A1A1A"/>
          <w:sz w:val="22"/>
          <w:szCs w:val="22"/>
        </w:rPr>
        <w:t xml:space="preserve">RoboEval is structured as a Python library with four major components: Environment Layer, Policy Layer, Evaluation Engine, and Analysis &amp; Reporting Layer. These are orchestrated by Hydra configuration files and logged to Weights &amp; Biases.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Architecture Principle</w:t>
            </w:r>
          </w:p>
          <w:p>
            <w:pPr>
              <w:spacing w:after="0" w:before="0"/>
            </w:pPr>
            <w:r>
              <w:rPr>
                <w:rFonts w:ascii="Arial" w:cs="Arial" w:eastAsia="Arial" w:hAnsi="Arial"/>
                <w:color w:val="1A1A1A"/>
                <w:sz w:val="21"/>
                <w:szCs w:val="21"/>
              </w:rPr>
              <w:t xml:space="preserve">Every experiment must be fully reproducible from a single YAML config file. Given a config, the eval harness produces identical results (modulo fixed random seed) with one command: python evaluate.py config=baseline/act_nominal.yaml</w:t>
            </w:r>
          </w:p>
        </w:tc>
      </w:tr>
    </w:tbl>
    <w:p>
      <w:pPr>
        <w:spacing w:after="80" w:before="100"/>
      </w:pPr>
    </w:p>
    <w:p>
      <w:pPr>
        <w:pStyle w:val="Heading2"/>
        <w:spacing w:after="100" w:before="240"/>
      </w:pPr>
      <w:r>
        <w:rPr>
          <w:rFonts w:ascii="Arial" w:cs="Arial" w:eastAsia="Arial" w:hAnsi="Arial"/>
          <w:b/>
          <w:bCs/>
          <w:color w:val="2E75B6"/>
          <w:sz w:val="26"/>
          <w:szCs w:val="26"/>
        </w:rPr>
        <w:t xml:space="preserve">5.2  Repository Structure</w:t>
      </w:r>
    </w:p>
    <w:p>
      <w:pPr>
        <w:spacing w:after="80" w:before="40"/>
      </w:pPr>
    </w:p>
    <w:p>
      <w:pPr>
        <w:spacing w:after="60" w:before="60"/>
      </w:pPr>
      <w:r>
        <w:rPr>
          <w:rFonts w:ascii="Courier New" w:cs="Courier New" w:eastAsia="Courier New" w:hAnsi="Courier New"/>
          <w:color w:val="1A1A1A"/>
          <w:sz w:val="18"/>
          <w:szCs w:val="18"/>
        </w:rPr>
        <w:t xml:space="preserve">roboeval/
├── configs/              # Hydra YAML configs per experiment
│   ├── baseline/         # Nominal eval configs (one per policy)
│   ├── perturbation/     # Robustness suite configs
│   └── residual_rl/      # PPO fine-tuning configs
├── roboeval/             # Core library (typed Python)
│   ├── envs/             # Environment wrappers (Gymnasium API)
│   ├── policies/         # Policy loader + inference wrappers
│   ├── evaluation/       # Rollout engine, metric collectors
│   ├── taxonomy/         # Failure mode classifier
│   └── residual/         # Residual RL trainer (SB3 PPO)
├── analysis/             # Notebooks + Plotly dashboard
├── docs/                 # MkDocs source
├── tests/                # pytest unit + integration tests
├── .github/workflows/    # CI: lint, type-check, smoke-test
├── pyproject.toml        # Ruff, mypy, dependency config
└── README.md</w:t>
      </w:r>
    </w:p>
    <w:p>
      <w:pPr>
        <w:spacing w:after="80" w:before="80"/>
      </w:pPr>
    </w:p>
    <w:p>
      <w:pPr>
        <w:pStyle w:val="Heading2"/>
        <w:spacing w:after="100" w:before="240"/>
      </w:pPr>
      <w:r>
        <w:rPr>
          <w:rFonts w:ascii="Arial" w:cs="Arial" w:eastAsia="Arial" w:hAnsi="Arial"/>
          <w:b/>
          <w:bCs/>
          <w:color w:val="2E75B6"/>
          <w:sz w:val="26"/>
          <w:szCs w:val="26"/>
        </w:rPr>
        <w:t xml:space="preserve">5.3  Technology Stack</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500"/>
        <w:gridCol w:w="17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M1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MuJoCo 3 + gym-aloha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manipulation env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CPU/MPS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Simulation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PyBullet (fallback)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Lightweight alternative env</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LeRobot (HuggingFace)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 &amp; Diffusion Policy checkpoints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MPS inference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RL Training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Stable-Baselines3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PPO residual policy training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MPS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RL Training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Gymnasium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wrapper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 Mgmt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Hydra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Reproducible experiment configs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Logging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Weights &amp; Biases (free 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tracking, plots, artifacts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(cloud)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Visualization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Plotly + Dash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Interactive eval dashboard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Viz (static)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Seaborn + Matplotlib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Publication-quality plots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Quality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Ruff + mypy + pre-commit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Linting, typing, git hooks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Auto-test on push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(cloud)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MkDocs + mkdocstrings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Auto-generated API docs site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GPU Overflow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Colab Pro (~$10/mo)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Larger inference, RL training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 — cloud</w:t>
            </w:r>
          </w:p>
        </w:tc>
      </w:tr>
    </w:tbl>
    <w:p>
      <w:pPr>
        <w:spacing w:after="80" w:before="120"/>
      </w:pPr>
    </w:p>
    <w:p>
      <w:pPr>
        <w:pStyle w:val="Heading1"/>
        <w:spacing w:after="120" w:before="320"/>
      </w:pPr>
      <w:r>
        <w:rPr>
          <w:rFonts w:ascii="Arial" w:cs="Arial" w:eastAsia="Arial" w:hAnsi="Arial"/>
          <w:b/>
          <w:bCs/>
          <w:color w:val="1F4E79"/>
          <w:sz w:val="32"/>
          <w:szCs w:val="32"/>
        </w:rPr>
        <w:t xml:space="preserve">6. Evaluation Design</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6.1  Policies Under Study</w:t>
      </w:r>
    </w:p>
    <w:p>
      <w:pPr>
        <w:spacing w:after="60" w:before="60"/>
      </w:pPr>
      <w:r>
        <w:rPr>
          <w:rFonts w:ascii="Arial" w:cs="Arial" w:eastAsia="Arial" w:hAnsi="Arial"/>
          <w:i w:val="false"/>
          <w:iCs w:val="false"/>
          <w:color w:val="1A1A1A"/>
          <w:sz w:val="22"/>
          <w:szCs w:val="22"/>
        </w:rPr>
        <w:t xml:space="preserve">Three policies will be benchmarked in v1.0, selected from the LeRobot model zoo for public availability of pretrained checkpoints and compatibility with MuJoCo-based environments:</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Policy A — ACT (Action Chunking with Transformers): </w:t>
      </w:r>
      <w:r>
        <w:rPr>
          <w:rFonts w:ascii="Arial" w:cs="Arial" w:eastAsia="Arial" w:hAnsi="Arial"/>
          <w:color w:val="1A1A1A"/>
          <w:sz w:val="22"/>
          <w:szCs w:val="22"/>
        </w:rPr>
        <w:t xml:space="preserve">Transformer-based; outputs action chunks; strong on dexterous manipulation</w:t>
      </w:r>
    </w:p>
    <w:p>
      <w:pPr>
        <w:pStyle w:val="ListParagraph"/>
        <w:numPr>
          <w:ilvl w:val="0"/>
          <w:numId w:val="2"/>
        </w:numPr>
        <w:spacing w:after="40" w:before="40"/>
      </w:pPr>
      <w:r>
        <w:rPr>
          <w:rFonts w:ascii="Arial" w:cs="Arial" w:eastAsia="Arial" w:hAnsi="Arial"/>
          <w:b/>
          <w:bCs/>
          <w:color w:val="1A1A1A"/>
          <w:sz w:val="22"/>
          <w:szCs w:val="22"/>
        </w:rPr>
        <w:t xml:space="preserve">Policy B — Diffusion Policy (CNN variant): </w:t>
      </w:r>
      <w:r>
        <w:rPr>
          <w:rFonts w:ascii="Arial" w:cs="Arial" w:eastAsia="Arial" w:hAnsi="Arial"/>
          <w:color w:val="1A1A1A"/>
          <w:sz w:val="22"/>
          <w:szCs w:val="22"/>
        </w:rPr>
        <w:t xml:space="preserve">Denoising diffusion; strong generalisation; heavier inference</w:t>
      </w:r>
    </w:p>
    <w:p>
      <w:pPr>
        <w:pStyle w:val="ListParagraph"/>
        <w:numPr>
          <w:ilvl w:val="0"/>
          <w:numId w:val="2"/>
        </w:numPr>
        <w:spacing w:after="40" w:before="40"/>
      </w:pPr>
      <w:r>
        <w:rPr>
          <w:rFonts w:ascii="Arial" w:cs="Arial" w:eastAsia="Arial" w:hAnsi="Arial"/>
          <w:b/>
          <w:bCs/>
          <w:color w:val="1A1A1A"/>
          <w:sz w:val="22"/>
          <w:szCs w:val="22"/>
        </w:rPr>
        <w:t xml:space="preserve">Policy C — Diffusion Policy (Transformer variant): </w:t>
      </w:r>
      <w:r>
        <w:rPr>
          <w:rFonts w:ascii="Arial" w:cs="Arial" w:eastAsia="Arial" w:hAnsi="Arial"/>
          <w:color w:val="1A1A1A"/>
          <w:sz w:val="22"/>
          <w:szCs w:val="22"/>
        </w:rPr>
        <w:t xml:space="preserve">Same paradigm, different backbone; enables within-paradigm ablation</w:t>
      </w:r>
    </w:p>
    <w:p>
      <w:pPr>
        <w:spacing w:after="80" w:before="60"/>
      </w:pPr>
    </w:p>
    <w:p>
      <w:pPr>
        <w:spacing w:after="60" w:before="60"/>
      </w:pPr>
      <w:r>
        <w:rPr>
          <w:rFonts w:ascii="Arial" w:cs="Arial" w:eastAsia="Arial" w:hAnsi="Arial"/>
          <w:i w:val="false"/>
          <w:iCs w:val="false"/>
          <w:color w:val="1A1A1A"/>
          <w:sz w:val="22"/>
          <w:szCs w:val="22"/>
        </w:rPr>
        <w:t xml:space="preserve">If any checkpoint proves incompatible with M1 MPS inference, a CPU-only fallback or a smaller community fine-tuned version will substitute. Colab Pro is reserved for inference runs exceeding 4 GB VRAM.</w:t>
      </w:r>
    </w:p>
    <w:p>
      <w:pPr>
        <w:spacing w:after="80" w:before="80"/>
      </w:pPr>
    </w:p>
    <w:p>
      <w:pPr>
        <w:pStyle w:val="Heading2"/>
        <w:spacing w:after="100" w:before="240"/>
      </w:pPr>
      <w:r>
        <w:rPr>
          <w:rFonts w:ascii="Arial" w:cs="Arial" w:eastAsia="Arial" w:hAnsi="Arial"/>
          <w:b/>
          <w:bCs/>
          <w:color w:val="2E75B6"/>
          <w:sz w:val="26"/>
          <w:szCs w:val="26"/>
        </w:rPr>
        <w:t xml:space="preserve">6.2  Evaluation Tasks</w:t>
      </w:r>
    </w:p>
    <w:p>
      <w:pPr>
        <w:spacing w:after="60" w:before="60"/>
      </w:pPr>
      <w:r>
        <w:rPr>
          <w:rFonts w:ascii="Arial" w:cs="Arial" w:eastAsia="Arial" w:hAnsi="Arial"/>
          <w:i w:val="false"/>
          <w:iCs w:val="false"/>
          <w:color w:val="1A1A1A"/>
          <w:sz w:val="22"/>
          <w:szCs w:val="22"/>
        </w:rPr>
        <w:t xml:space="preserve">All evaluations use the gym-aloha manipulation environment (part of the LeRobot ecosystem), which runs on CPU without CUDA:</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Transfer Cube Task: </w:t>
      </w:r>
      <w:r>
        <w:rPr>
          <w:rFonts w:ascii="Arial" w:cs="Arial" w:eastAsia="Arial" w:hAnsi="Arial"/>
          <w:color w:val="1A1A1A"/>
          <w:sz w:val="22"/>
          <w:szCs w:val="22"/>
        </w:rPr>
        <w:t xml:space="preserve">Move a cube from one receptacle to another — standard, well-understood baseline task</w:t>
      </w:r>
    </w:p>
    <w:p>
      <w:pPr>
        <w:pStyle w:val="ListParagraph"/>
        <w:numPr>
          <w:ilvl w:val="0"/>
          <w:numId w:val="2"/>
        </w:numPr>
        <w:spacing w:after="40" w:before="40"/>
      </w:pPr>
      <w:r>
        <w:rPr>
          <w:rFonts w:ascii="Arial" w:cs="Arial" w:eastAsia="Arial" w:hAnsi="Arial"/>
          <w:b/>
          <w:bCs/>
          <w:color w:val="1A1A1A"/>
          <w:sz w:val="22"/>
          <w:szCs w:val="22"/>
        </w:rPr>
        <w:t xml:space="preserve">Insertion Task (stretch goal): </w:t>
      </w:r>
      <w:r>
        <w:rPr>
          <w:rFonts w:ascii="Arial" w:cs="Arial" w:eastAsia="Arial" w:hAnsi="Arial"/>
          <w:color w:val="1A1A1A"/>
          <w:sz w:val="22"/>
          <w:szCs w:val="22"/>
        </w:rPr>
        <w:t xml:space="preserve">Insert a peg into a socket — higher precision requirement, exposes more failure modes</w:t>
      </w:r>
    </w:p>
    <w:p>
      <w:pPr>
        <w:spacing w:after="80" w:before="80"/>
      </w:pPr>
    </w:p>
    <w:p>
      <w:pPr>
        <w:pStyle w:val="Heading2"/>
        <w:spacing w:after="100" w:before="240"/>
      </w:pPr>
      <w:r>
        <w:rPr>
          <w:rFonts w:ascii="Arial" w:cs="Arial" w:eastAsia="Arial" w:hAnsi="Arial"/>
          <w:b/>
          <w:bCs/>
          <w:color w:val="2E75B6"/>
          <w:sz w:val="26"/>
          <w:szCs w:val="26"/>
        </w:rPr>
        <w:t xml:space="preserve">6.3  Metrics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60"/>
        <w:gridCol w:w="2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 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Success Rate (TSR)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rollouts completing task end-to-end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eval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Reported ± std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Time-to-Success (TTS)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Median steps to task completion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Rollout logs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Perturbation Recovery 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TSR after mid-rollout object shift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 harness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baseline TSR × 0.5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Failure Mode Distribution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rollouts per failure category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Taxonomy classifier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Residual RL Delta (ΔTSR)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TSR improvement over frozen base policy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Ablation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+10% on target failure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 Reproducibility (σ)</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Std dev across 3 random seeds per config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 harness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σ &lt; 5%</w:t>
            </w:r>
          </w:p>
        </w:tc>
      </w:tr>
    </w:tbl>
    <w:p>
      <w:pPr>
        <w:spacing w:after="80" w:before="60"/>
      </w:pPr>
    </w:p>
    <w:p>
      <w:pPr>
        <w:spacing w:after="60" w:before="60"/>
      </w:pPr>
      <w:r>
        <w:rPr>
          <w:rFonts w:ascii="Arial" w:cs="Arial" w:eastAsia="Arial" w:hAnsi="Arial"/>
          <w:i/>
          <w:iCs/>
          <w:color w:val="595959"/>
          <w:sz w:val="22"/>
          <w:szCs w:val="22"/>
        </w:rPr>
        <w:t xml:space="preserve">All metrics are reported as mean ± standard deviation across 3 random seeds and ≥50 rollouts per condition. This is the minimum bar for results to be credible in a research context.</w:t>
      </w:r>
    </w:p>
    <w:p>
      <w:pPr>
        <w:spacing w:after="80" w:before="80"/>
      </w:pPr>
    </w:p>
    <w:p>
      <w:pPr>
        <w:pStyle w:val="Heading2"/>
        <w:spacing w:after="100" w:before="240"/>
      </w:pPr>
      <w:r>
        <w:rPr>
          <w:rFonts w:ascii="Arial" w:cs="Arial" w:eastAsia="Arial" w:hAnsi="Arial"/>
          <w:b/>
          <w:bCs/>
          <w:color w:val="2E75B6"/>
          <w:sz w:val="26"/>
          <w:szCs w:val="26"/>
        </w:rPr>
        <w:t xml:space="preserve">6.4  Robustness Perturbation Suite</w:t>
      </w:r>
    </w:p>
    <w:p>
      <w:pPr>
        <w:spacing w:after="60" w:before="60"/>
      </w:pPr>
      <w:r>
        <w:rPr>
          <w:rFonts w:ascii="Arial" w:cs="Arial" w:eastAsia="Arial" w:hAnsi="Arial"/>
          <w:i w:val="false"/>
          <w:iCs w:val="false"/>
          <w:color w:val="1A1A1A"/>
          <w:sz w:val="22"/>
          <w:szCs w:val="22"/>
        </w:rPr>
        <w:t xml:space="preserve">The perturbation suite stresses each policy along four axes. Each axis defines a range of perturbation intensities and reports TSR as a function of intensity — producing degradation curves rather than single-point measurements:</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Spatial perturbation: </w:t>
      </w:r>
      <w:r>
        <w:rPr>
          <w:rFonts w:ascii="Arial" w:cs="Arial" w:eastAsia="Arial" w:hAnsi="Arial"/>
          <w:color w:val="1A1A1A"/>
          <w:sz w:val="22"/>
          <w:szCs w:val="22"/>
        </w:rPr>
        <w:t xml:space="preserve">Object start position shifted ±1cm, ±3cm, ±5cm from nominal</w:t>
      </w:r>
    </w:p>
    <w:p>
      <w:pPr>
        <w:pStyle w:val="ListParagraph"/>
        <w:numPr>
          <w:ilvl w:val="0"/>
          <w:numId w:val="2"/>
        </w:numPr>
        <w:spacing w:after="40" w:before="40"/>
      </w:pPr>
      <w:r>
        <w:rPr>
          <w:rFonts w:ascii="Arial" w:cs="Arial" w:eastAsia="Arial" w:hAnsi="Arial"/>
          <w:b/>
          <w:bCs/>
          <w:color w:val="1A1A1A"/>
          <w:sz w:val="22"/>
          <w:szCs w:val="22"/>
        </w:rPr>
        <w:t xml:space="preserve">Visual perturbation: </w:t>
      </w:r>
      <w:r>
        <w:rPr>
          <w:rFonts w:ascii="Arial" w:cs="Arial" w:eastAsia="Arial" w:hAnsi="Arial"/>
          <w:color w:val="1A1A1A"/>
          <w:sz w:val="22"/>
          <w:szCs w:val="22"/>
        </w:rPr>
        <w:t xml:space="preserve">Lighting intensity varied ±30%, ±60%; distractor object added to scene</w:t>
      </w:r>
    </w:p>
    <w:p>
      <w:pPr>
        <w:pStyle w:val="ListParagraph"/>
        <w:numPr>
          <w:ilvl w:val="0"/>
          <w:numId w:val="2"/>
        </w:numPr>
        <w:spacing w:after="40" w:before="40"/>
      </w:pPr>
      <w:r>
        <w:rPr>
          <w:rFonts w:ascii="Arial" w:cs="Arial" w:eastAsia="Arial" w:hAnsi="Arial"/>
          <w:b/>
          <w:bCs/>
          <w:color w:val="1A1A1A"/>
          <w:sz w:val="22"/>
          <w:szCs w:val="22"/>
        </w:rPr>
        <w:t xml:space="preserve">Dynamic perturbation: </w:t>
      </w:r>
      <w:r>
        <w:rPr>
          <w:rFonts w:ascii="Arial" w:cs="Arial" w:eastAsia="Arial" w:hAnsi="Arial"/>
          <w:color w:val="1A1A1A"/>
          <w:sz w:val="22"/>
          <w:szCs w:val="22"/>
        </w:rPr>
        <w:t xml:space="preserve">Object pushed 2cm mid-rollout at step 25%, 50%, 75% of nominal completion</w:t>
      </w:r>
    </w:p>
    <w:p>
      <w:pPr>
        <w:pStyle w:val="ListParagraph"/>
        <w:numPr>
          <w:ilvl w:val="0"/>
          <w:numId w:val="2"/>
        </w:numPr>
        <w:spacing w:after="40" w:before="40"/>
      </w:pPr>
      <w:r>
        <w:rPr>
          <w:rFonts w:ascii="Arial" w:cs="Arial" w:eastAsia="Arial" w:hAnsi="Arial"/>
          <w:b/>
          <w:bCs/>
          <w:color w:val="1A1A1A"/>
          <w:sz w:val="22"/>
          <w:szCs w:val="22"/>
        </w:rPr>
        <w:t xml:space="preserve">Temporal perturbation: </w:t>
      </w:r>
      <w:r>
        <w:rPr>
          <w:rFonts w:ascii="Arial" w:cs="Arial" w:eastAsia="Arial" w:hAnsi="Arial"/>
          <w:color w:val="1A1A1A"/>
          <w:sz w:val="22"/>
          <w:szCs w:val="22"/>
        </w:rPr>
        <w:t xml:space="preserve">Action execution delayed by 1, 3, 5 steps (simulates real-world latency)</w:t>
      </w:r>
    </w:p>
    <w:p>
      <w:pPr>
        <w:spacing w:after="80" w:before="120"/>
      </w:pPr>
    </w:p>
    <w:p>
      <w:pPr>
        <w:pStyle w:val="Heading1"/>
        <w:spacing w:after="120" w:before="320"/>
      </w:pPr>
      <w:r>
        <w:rPr>
          <w:rFonts w:ascii="Arial" w:cs="Arial" w:eastAsia="Arial" w:hAnsi="Arial"/>
          <w:b/>
          <w:bCs/>
          <w:color w:val="1F4E79"/>
          <w:sz w:val="32"/>
          <w:szCs w:val="32"/>
        </w:rPr>
        <w:t xml:space="preserve">7. Failure Mode Taxonomy</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7.1  Design Principles</w:t>
      </w:r>
    </w:p>
    <w:p>
      <w:pPr>
        <w:spacing w:after="60" w:before="60"/>
      </w:pPr>
      <w:r>
        <w:rPr>
          <w:rFonts w:ascii="Arial" w:cs="Arial" w:eastAsia="Arial" w:hAnsi="Arial"/>
          <w:i w:val="false"/>
          <w:iCs w:val="false"/>
          <w:color w:val="1A1A1A"/>
          <w:sz w:val="22"/>
          <w:szCs w:val="22"/>
        </w:rPr>
        <w:t xml:space="preserve">The taxonomy is designed to be operationally unambiguous: any two labellers should agree on the failure category for a given rollout. Each category has a precise definition, a concrete example, and a measurable detection rule.</w:t>
      </w:r>
    </w:p>
    <w:p>
      <w:pPr>
        <w:spacing w:after="80" w:before="80"/>
      </w:pPr>
    </w:p>
    <w:p>
      <w:pPr>
        <w:pStyle w:val="Heading2"/>
        <w:spacing w:after="100" w:before="240"/>
      </w:pPr>
      <w:r>
        <w:rPr>
          <w:rFonts w:ascii="Arial" w:cs="Arial" w:eastAsia="Arial" w:hAnsi="Arial"/>
          <w:b/>
          <w:bCs/>
          <w:color w:val="2E75B6"/>
          <w:sz w:val="26"/>
          <w:szCs w:val="26"/>
        </w:rPr>
        <w:t xml:space="preserve">7.2  Taxonomy</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Grasp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Robot contacts object but drops or misses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Finger collision causes object to slide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Approach Failure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Robot reaches wrong position/orientation before contact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End-effector overshoots target by &gt;5cm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Recovery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cannot correct after perturbation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shifted 3cm — policy ignores and continues old trajectory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Action Oscillation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Policy outputs rapidly alternating contradictory actions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End-effector jitters in place for &gt;5 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not completed within step budget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plateaus with no progress for 50+ steps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Visual Confusion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Policy error correlates with visual change (lighting, distractor)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Success drops &gt;30% under changed lighting</w:t>
            </w:r>
          </w:p>
        </w:tc>
      </w:tr>
    </w:tbl>
    <w:p>
      <w:pPr>
        <w:spacing w:after="80" w:before="80"/>
      </w:pPr>
    </w:p>
    <w:p>
      <w:pPr>
        <w:pStyle w:val="Heading2"/>
        <w:spacing w:after="100" w:before="240"/>
      </w:pPr>
      <w:r>
        <w:rPr>
          <w:rFonts w:ascii="Arial" w:cs="Arial" w:eastAsia="Arial" w:hAnsi="Arial"/>
          <w:b/>
          <w:bCs/>
          <w:color w:val="2E75B6"/>
          <w:sz w:val="26"/>
          <w:szCs w:val="26"/>
        </w:rPr>
        <w:t xml:space="preserve">7.3  Labelling Protocol</w:t>
      </w:r>
    </w:p>
    <w:p>
      <w:pPr>
        <w:spacing w:after="80" w:before="40"/>
      </w:pPr>
    </w:p>
    <w:p>
      <w:pPr>
        <w:pStyle w:val="ListParagraph"/>
        <w:numPr>
          <w:ilvl w:val="0"/>
          <w:numId w:val="3"/>
        </w:numPr>
        <w:spacing w:after="40" w:before="40"/>
      </w:pPr>
      <w:r>
        <w:rPr>
          <w:rFonts w:ascii="Arial" w:cs="Arial" w:eastAsia="Arial" w:hAnsi="Arial"/>
          <w:b w:val="false"/>
          <w:bCs w:val="false"/>
          <w:color w:val="1A1A1A"/>
          <w:sz w:val="22"/>
          <w:szCs w:val="22"/>
        </w:rPr>
        <w:t xml:space="preserve">Run evaluation harness; save full rollout trajectory (observations, actions, rewards) per episode</w:t>
      </w:r>
    </w:p>
    <w:p>
      <w:pPr>
        <w:pStyle w:val="ListParagraph"/>
        <w:numPr>
          <w:ilvl w:val="0"/>
          <w:numId w:val="3"/>
        </w:numPr>
        <w:spacing w:after="40" w:before="40"/>
      </w:pPr>
      <w:r>
        <w:rPr>
          <w:rFonts w:ascii="Arial" w:cs="Arial" w:eastAsia="Arial" w:hAnsi="Arial"/>
          <w:b w:val="false"/>
          <w:bCs w:val="false"/>
          <w:color w:val="1A1A1A"/>
          <w:sz w:val="22"/>
          <w:szCs w:val="22"/>
        </w:rPr>
        <w:t xml:space="preserve">Auto-classify rollouts into failure categories using a rule-based classifier (threshold on position error, action variance, step count)</w:t>
      </w:r>
    </w:p>
    <w:p>
      <w:pPr>
        <w:pStyle w:val="ListParagraph"/>
        <w:numPr>
          <w:ilvl w:val="0"/>
          <w:numId w:val="3"/>
        </w:numPr>
        <w:spacing w:after="40" w:before="40"/>
      </w:pPr>
      <w:r>
        <w:rPr>
          <w:rFonts w:ascii="Arial" w:cs="Arial" w:eastAsia="Arial" w:hAnsi="Arial"/>
          <w:b w:val="false"/>
          <w:bCs w:val="false"/>
          <w:color w:val="1A1A1A"/>
          <w:sz w:val="22"/>
          <w:szCs w:val="22"/>
        </w:rPr>
        <w:t xml:space="preserve">Manually review a stratified sample of 30 rollouts (5 per category) to validate classifier accuracy</w:t>
      </w:r>
    </w:p>
    <w:p>
      <w:pPr>
        <w:pStyle w:val="ListParagraph"/>
        <w:numPr>
          <w:ilvl w:val="0"/>
          <w:numId w:val="3"/>
        </w:numPr>
        <w:spacing w:after="40" w:before="40"/>
      </w:pPr>
      <w:r>
        <w:rPr>
          <w:rFonts w:ascii="Arial" w:cs="Arial" w:eastAsia="Arial" w:hAnsi="Arial"/>
          <w:b w:val="false"/>
          <w:bCs w:val="false"/>
          <w:color w:val="1A1A1A"/>
          <w:sz w:val="22"/>
          <w:szCs w:val="22"/>
        </w:rPr>
        <w:t xml:space="preserve">Report inter-rater reliability on the sample (target: agreement &gt; 85%)</w:t>
      </w:r>
    </w:p>
    <w:p>
      <w:pPr>
        <w:pStyle w:val="ListParagraph"/>
        <w:numPr>
          <w:ilvl w:val="0"/>
          <w:numId w:val="3"/>
        </w:numPr>
        <w:spacing w:after="40" w:before="40"/>
      </w:pPr>
      <w:r>
        <w:rPr>
          <w:rFonts w:ascii="Arial" w:cs="Arial" w:eastAsia="Arial" w:hAnsi="Arial"/>
          <w:b w:val="false"/>
          <w:bCs w:val="false"/>
          <w:color w:val="1A1A1A"/>
          <w:sz w:val="22"/>
          <w:szCs w:val="22"/>
        </w:rPr>
        <w:t xml:space="preserve">Produce per-policy failure distribution heatmap</w:t>
      </w:r>
    </w:p>
    <w:p>
      <w:pPr>
        <w:spacing w:after="80" w:before="120"/>
      </w:pPr>
    </w:p>
    <w:p>
      <w:pPr>
        <w:pStyle w:val="Heading1"/>
        <w:spacing w:after="120" w:before="320"/>
      </w:pPr>
      <w:r>
        <w:rPr>
          <w:rFonts w:ascii="Arial" w:cs="Arial" w:eastAsia="Arial" w:hAnsi="Arial"/>
          <w:b/>
          <w:bCs/>
          <w:color w:val="1F4E79"/>
          <w:sz w:val="32"/>
          <w:szCs w:val="32"/>
        </w:rPr>
        <w:t xml:space="preserve">8. Residual RL Design</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8.1  Rationale</w:t>
      </w:r>
    </w:p>
    <w:p>
      <w:pPr>
        <w:spacing w:after="60" w:before="60"/>
      </w:pPr>
      <w:r>
        <w:rPr>
          <w:rFonts w:ascii="Arial" w:cs="Arial" w:eastAsia="Arial" w:hAnsi="Arial"/>
          <w:i w:val="false"/>
          <w:iCs w:val="false"/>
          <w:color w:val="1A1A1A"/>
          <w:sz w:val="22"/>
          <w:szCs w:val="22"/>
        </w:rPr>
        <w:t xml:space="preserve">Residual RL trains a small correction policy on top of a frozen base policy. Rather than replacing the base policy, it learns to predict the delta between what the base policy does and what should be done in failure-prone states. This is much cheaper to train than a policy from scratch and maps directly to real-world workflows where pretrained policies are valuable but imperfect.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Why Residual RL and not Full RL from scratch?</w:t>
            </w:r>
          </w:p>
          <w:p>
            <w:pPr>
              <w:spacing w:after="0" w:before="0"/>
            </w:pPr>
            <w:r>
              <w:rPr>
                <w:rFonts w:ascii="Arial" w:cs="Arial" w:eastAsia="Arial" w:hAnsi="Arial"/>
                <w:color w:val="1A1A1A"/>
                <w:sz w:val="21"/>
                <w:szCs w:val="21"/>
              </w:rPr>
              <w:t xml:space="preserve">Full RL from scratch on manipulation tasks requires millions of environment steps and significant GPU time — not feasible on M1 8 GB. Residual RL operates in a narrow region of the action space near the base policy, converges faster, and is the approach actually used by robot learning teams to iterate on deployed policies. This choice demonstrates research taste, not hardware limitation.</w:t>
            </w:r>
          </w:p>
        </w:tc>
      </w:tr>
    </w:tbl>
    <w:p>
      <w:pPr>
        <w:spacing w:after="80" w:before="100"/>
      </w:pPr>
    </w:p>
    <w:p>
      <w:pPr>
        <w:pStyle w:val="Heading2"/>
        <w:spacing w:after="100" w:before="240"/>
      </w:pPr>
      <w:r>
        <w:rPr>
          <w:rFonts w:ascii="Arial" w:cs="Arial" w:eastAsia="Arial" w:hAnsi="Arial"/>
          <w:b/>
          <w:bCs/>
          <w:color w:val="2E75B6"/>
          <w:sz w:val="26"/>
          <w:szCs w:val="26"/>
        </w:rPr>
        <w:t xml:space="preserve">8.2  Implementation</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Base policy: </w:t>
      </w:r>
      <w:r>
        <w:rPr>
          <w:rFonts w:ascii="Arial" w:cs="Arial" w:eastAsia="Arial" w:hAnsi="Arial"/>
          <w:color w:val="1A1A1A"/>
          <w:sz w:val="22"/>
          <w:szCs w:val="22"/>
        </w:rPr>
        <w:t xml:space="preserve">Frozen ACT checkpoint (Policy A) — highest failure rate in the most targeted failure category</w:t>
      </w:r>
    </w:p>
    <w:p>
      <w:pPr>
        <w:pStyle w:val="ListParagraph"/>
        <w:numPr>
          <w:ilvl w:val="0"/>
          <w:numId w:val="2"/>
        </w:numPr>
        <w:spacing w:after="40" w:before="40"/>
      </w:pPr>
      <w:r>
        <w:rPr>
          <w:rFonts w:ascii="Arial" w:cs="Arial" w:eastAsia="Arial" w:hAnsi="Arial"/>
          <w:b/>
          <w:bCs/>
          <w:color w:val="1A1A1A"/>
          <w:sz w:val="22"/>
          <w:szCs w:val="22"/>
        </w:rPr>
        <w:t xml:space="preserve">Residual policy: </w:t>
      </w:r>
      <w:r>
        <w:rPr>
          <w:rFonts w:ascii="Arial" w:cs="Arial" w:eastAsia="Arial" w:hAnsi="Arial"/>
          <w:color w:val="1A1A1A"/>
          <w:sz w:val="22"/>
          <w:szCs w:val="22"/>
        </w:rPr>
        <w:t xml:space="preserve">Small MLP (2 hidden layers, 256 units) trained with PPO via Stable-Baselines3</w:t>
      </w:r>
    </w:p>
    <w:p>
      <w:pPr>
        <w:pStyle w:val="ListParagraph"/>
        <w:numPr>
          <w:ilvl w:val="0"/>
          <w:numId w:val="2"/>
        </w:numPr>
        <w:spacing w:after="40" w:before="40"/>
      </w:pPr>
      <w:r>
        <w:rPr>
          <w:rFonts w:ascii="Arial" w:cs="Arial" w:eastAsia="Arial" w:hAnsi="Arial"/>
          <w:b/>
          <w:bCs/>
          <w:color w:val="1A1A1A"/>
          <w:sz w:val="22"/>
          <w:szCs w:val="22"/>
        </w:rPr>
        <w:t xml:space="preserve">Reward signal: </w:t>
      </w:r>
      <w:r>
        <w:rPr>
          <w:rFonts w:ascii="Arial" w:cs="Arial" w:eastAsia="Arial" w:hAnsi="Arial"/>
          <w:color w:val="1A1A1A"/>
          <w:sz w:val="22"/>
          <w:szCs w:val="22"/>
        </w:rPr>
        <w:t xml:space="preserve">Sparse success reward + shaped distance-to-goal term (ablated separately)</w:t>
      </w:r>
    </w:p>
    <w:p>
      <w:pPr>
        <w:pStyle w:val="ListParagraph"/>
        <w:numPr>
          <w:ilvl w:val="0"/>
          <w:numId w:val="2"/>
        </w:numPr>
        <w:spacing w:after="40" w:before="40"/>
      </w:pPr>
      <w:r>
        <w:rPr>
          <w:rFonts w:ascii="Arial" w:cs="Arial" w:eastAsia="Arial" w:hAnsi="Arial"/>
          <w:b/>
          <w:bCs/>
          <w:color w:val="1A1A1A"/>
          <w:sz w:val="22"/>
          <w:szCs w:val="22"/>
        </w:rPr>
        <w:t xml:space="preserve">Training budget: </w:t>
      </w:r>
      <w:r>
        <w:rPr>
          <w:rFonts w:ascii="Arial" w:cs="Arial" w:eastAsia="Arial" w:hAnsi="Arial"/>
          <w:color w:val="1A1A1A"/>
          <w:sz w:val="22"/>
          <w:szCs w:val="22"/>
        </w:rPr>
        <w:t xml:space="preserve">500k environment steps (feasible in ~4 hours on M1 CPU / 1 hour on Colab)</w:t>
      </w:r>
    </w:p>
    <w:p>
      <w:pPr>
        <w:pStyle w:val="ListParagraph"/>
        <w:numPr>
          <w:ilvl w:val="0"/>
          <w:numId w:val="2"/>
        </w:numPr>
        <w:spacing w:after="40" w:before="40"/>
      </w:pPr>
      <w:r>
        <w:rPr>
          <w:rFonts w:ascii="Arial" w:cs="Arial" w:eastAsia="Arial" w:hAnsi="Arial"/>
          <w:b/>
          <w:bCs/>
          <w:color w:val="1A1A1A"/>
          <w:sz w:val="22"/>
          <w:szCs w:val="22"/>
        </w:rPr>
        <w:t xml:space="preserve">Action composition: </w:t>
      </w:r>
      <w:r>
        <w:rPr>
          <w:rFonts w:ascii="Arial" w:cs="Arial" w:eastAsia="Arial" w:hAnsi="Arial"/>
          <w:color w:val="1A1A1A"/>
          <w:sz w:val="22"/>
          <w:szCs w:val="22"/>
        </w:rPr>
        <w:t xml:space="preserve">Final action = base_action + α × residual_action, where α is a learnable scalar</w:t>
      </w:r>
    </w:p>
    <w:p>
      <w:pPr>
        <w:spacing w:after="80" w:before="80"/>
      </w:pPr>
    </w:p>
    <w:p>
      <w:pPr>
        <w:pStyle w:val="Heading2"/>
        <w:spacing w:after="100" w:before="240"/>
      </w:pPr>
      <w:r>
        <w:rPr>
          <w:rFonts w:ascii="Arial" w:cs="Arial" w:eastAsia="Arial" w:hAnsi="Arial"/>
          <w:b/>
          <w:bCs/>
          <w:color w:val="2E75B6"/>
          <w:sz w:val="26"/>
          <w:szCs w:val="26"/>
        </w:rPr>
        <w:t xml:space="preserve">8.3  Ablation Plan</w:t>
      </w:r>
    </w:p>
    <w:p>
      <w:pPr>
        <w:spacing w:after="60" w:before="60"/>
      </w:pPr>
      <w:r>
        <w:rPr>
          <w:rFonts w:ascii="Arial" w:cs="Arial" w:eastAsia="Arial" w:hAnsi="Arial"/>
          <w:i w:val="false"/>
          <w:iCs w:val="false"/>
          <w:color w:val="1A1A1A"/>
          <w:sz w:val="22"/>
          <w:szCs w:val="22"/>
        </w:rPr>
        <w:t xml:space="preserve">Three conditions are reported to make the study credible:</w:t>
      </w:r>
    </w:p>
    <w:p>
      <w:pPr>
        <w:spacing w:after="80" w:before="40"/>
      </w:pPr>
    </w:p>
    <w:p>
      <w:pPr>
        <w:pStyle w:val="ListParagraph"/>
        <w:numPr>
          <w:ilvl w:val="0"/>
          <w:numId w:val="2"/>
        </w:numPr>
        <w:spacing w:after="40" w:before="40"/>
      </w:pPr>
      <w:r>
        <w:rPr>
          <w:rFonts w:ascii="Arial" w:cs="Arial" w:eastAsia="Arial" w:hAnsi="Arial"/>
          <w:b/>
          <w:bCs/>
          <w:color w:val="1A1A1A"/>
          <w:sz w:val="22"/>
          <w:szCs w:val="22"/>
        </w:rPr>
        <w:t xml:space="preserve">Condition A — Frozen base only: </w:t>
      </w:r>
      <w:r>
        <w:rPr>
          <w:rFonts w:ascii="Arial" w:cs="Arial" w:eastAsia="Arial" w:hAnsi="Arial"/>
          <w:color w:val="1A1A1A"/>
          <w:sz w:val="22"/>
          <w:szCs w:val="22"/>
        </w:rPr>
        <w:t xml:space="preserve">ACT policy, no residual (baseline)</w:t>
      </w:r>
    </w:p>
    <w:p>
      <w:pPr>
        <w:pStyle w:val="ListParagraph"/>
        <w:numPr>
          <w:ilvl w:val="0"/>
          <w:numId w:val="2"/>
        </w:numPr>
        <w:spacing w:after="40" w:before="40"/>
      </w:pPr>
      <w:r>
        <w:rPr>
          <w:rFonts w:ascii="Arial" w:cs="Arial" w:eastAsia="Arial" w:hAnsi="Arial"/>
          <w:b/>
          <w:bCs/>
          <w:color w:val="1A1A1A"/>
          <w:sz w:val="22"/>
          <w:szCs w:val="22"/>
        </w:rPr>
        <w:t xml:space="preserve">Condition B — Residual RL (sparse reward): </w:t>
      </w:r>
      <w:r>
        <w:rPr>
          <w:rFonts w:ascii="Arial" w:cs="Arial" w:eastAsia="Arial" w:hAnsi="Arial"/>
          <w:color w:val="1A1A1A"/>
          <w:sz w:val="22"/>
          <w:szCs w:val="22"/>
        </w:rPr>
        <w:t xml:space="preserve">PPO residual with binary success signal</w:t>
      </w:r>
    </w:p>
    <w:p>
      <w:pPr>
        <w:pStyle w:val="ListParagraph"/>
        <w:numPr>
          <w:ilvl w:val="0"/>
          <w:numId w:val="2"/>
        </w:numPr>
        <w:spacing w:after="40" w:before="40"/>
      </w:pPr>
      <w:r>
        <w:rPr>
          <w:rFonts w:ascii="Arial" w:cs="Arial" w:eastAsia="Arial" w:hAnsi="Arial"/>
          <w:b/>
          <w:bCs/>
          <w:color w:val="1A1A1A"/>
          <w:sz w:val="22"/>
          <w:szCs w:val="22"/>
        </w:rPr>
        <w:t xml:space="preserve">Condition C — Residual RL (shaped reward): </w:t>
      </w:r>
      <w:r>
        <w:rPr>
          <w:rFonts w:ascii="Arial" w:cs="Arial" w:eastAsia="Arial" w:hAnsi="Arial"/>
          <w:color w:val="1A1A1A"/>
          <w:sz w:val="22"/>
          <w:szCs w:val="22"/>
        </w:rPr>
        <w:t xml:space="preserve">PPO residual with distance-to-goal shaping</w:t>
      </w:r>
    </w:p>
    <w:p>
      <w:pPr>
        <w:spacing w:after="80" w:before="60"/>
      </w:pPr>
    </w:p>
    <w:p>
      <w:pPr>
        <w:spacing w:after="60" w:before="60"/>
      </w:pPr>
      <w:r>
        <w:rPr>
          <w:rFonts w:ascii="Arial" w:cs="Arial" w:eastAsia="Arial" w:hAnsi="Arial"/>
          <w:i/>
          <w:iCs/>
          <w:color w:val="1A1A1A"/>
          <w:sz w:val="22"/>
          <w:szCs w:val="22"/>
        </w:rPr>
        <w:t xml:space="preserve">ΔTSR = TSR(Condition B or C) − TSR(Condition A). A positive ΔTSR &gt; 10% on the target failure mode is the success criterion. A negative or null result is still reported with analysis — honest null results are valued in research.</w:t>
      </w:r>
    </w:p>
    <w:p>
      <w:pPr>
        <w:spacing w:after="80" w:before="120"/>
      </w:pPr>
    </w:p>
    <w:p>
      <w:pPr>
        <w:pStyle w:val="Heading1"/>
        <w:spacing w:after="120" w:before="320"/>
      </w:pPr>
      <w:r>
        <w:rPr>
          <w:rFonts w:ascii="Arial" w:cs="Arial" w:eastAsia="Arial" w:hAnsi="Arial"/>
          <w:b/>
          <w:bCs/>
          <w:color w:val="1F4E79"/>
          <w:sz w:val="32"/>
          <w:szCs w:val="32"/>
        </w:rPr>
        <w:t xml:space="preserve">9. Deliverables</w:t>
      </w:r>
    </w:p>
    <w:p>
      <w:pPr>
        <w:pBdr>
          <w:bottom w:val="single" w:color="2E75B6"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Audience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Repository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Typed Python codebase, CI, full README, MIT license, one-command eval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Robot learning / MLOps teams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Evaluation Harness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Pluggable harness: swap policy or env with single config change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Infra / research engineers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 Report (PDF)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arXiv-style writeup: method, results, ablations, limitations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Research-leaning hiring managers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Interactive Dashboard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Plotly/Dash web app: filter by policy, metric, failure mode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 applied ML teams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Video (90s)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Screen-recorded rollouts showing key failure modes + recovery delta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recruiters — top of funnel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MkDocs Site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Auto-generated API docs, hosted on GitHub Pages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Engineering due-diligence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W&amp;B Report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Weights &amp; Biases run dashboard with all 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practitioners</w:t>
            </w:r>
          </w:p>
        </w:tc>
      </w:tr>
    </w:tbl>
    <w:p>
      <w:pPr>
        <w:spacing w:after="80" w:before="80"/>
      </w:pPr>
    </w:p>
    <w:p>
      <w:pPr>
        <w:pStyle w:val="Heading2"/>
        <w:spacing w:after="100" w:before="240"/>
      </w:pPr>
      <w:r>
        <w:rPr>
          <w:rFonts w:ascii="Arial" w:cs="Arial" w:eastAsia="Arial" w:hAnsi="Arial"/>
          <w:b/>
          <w:bCs/>
          <w:color w:val="2E75B6"/>
          <w:sz w:val="26"/>
          <w:szCs w:val="26"/>
        </w:rPr>
        <w:t xml:space="preserve">9.1  Industry-Standard Quality Checklist</w:t>
      </w:r>
    </w:p>
    <w:p>
      <w:pPr>
        <w:spacing w:after="60" w:before="60"/>
      </w:pPr>
      <w:r>
        <w:rPr>
          <w:rFonts w:ascii="Arial" w:cs="Arial" w:eastAsia="Arial" w:hAnsi="Arial"/>
          <w:i w:val="false"/>
          <w:iCs w:val="false"/>
          <w:color w:val="1A1A1A"/>
          <w:sz w:val="22"/>
          <w:szCs w:val="22"/>
        </w:rPr>
        <w:t xml:space="preserve">Every deliverable must pass the following before public release:</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GitHub repository: zero lint errors (Ruff), zero mypy type errors, CI passing on push, &gt;70% test coverage, README with one-command eval instructions</w:t>
      </w:r>
    </w:p>
    <w:p>
      <w:pPr>
        <w:pStyle w:val="ListParagraph"/>
        <w:numPr>
          <w:ilvl w:val="0"/>
          <w:numId w:val="2"/>
        </w:numPr>
        <w:spacing w:after="40" w:before="40"/>
      </w:pPr>
      <w:r>
        <w:rPr>
          <w:rFonts w:ascii="Arial" w:cs="Arial" w:eastAsia="Arial" w:hAnsi="Arial"/>
          <w:b w:val="false"/>
          <w:bCs w:val="false"/>
          <w:color w:val="1A1A1A"/>
          <w:sz w:val="22"/>
          <w:szCs w:val="22"/>
        </w:rPr>
        <w:t xml:space="preserve">Writeup: methods section reproducible from description alone; results section includes uncertainty estimates; limitations section present and honest</w:t>
      </w:r>
    </w:p>
    <w:p>
      <w:pPr>
        <w:pStyle w:val="ListParagraph"/>
        <w:numPr>
          <w:ilvl w:val="0"/>
          <w:numId w:val="2"/>
        </w:numPr>
        <w:spacing w:after="40" w:before="40"/>
      </w:pPr>
      <w:r>
        <w:rPr>
          <w:rFonts w:ascii="Arial" w:cs="Arial" w:eastAsia="Arial" w:hAnsi="Arial"/>
          <w:b w:val="false"/>
          <w:bCs w:val="false"/>
          <w:color w:val="1A1A1A"/>
          <w:sz w:val="22"/>
          <w:szCs w:val="22"/>
        </w:rPr>
        <w:t xml:space="preserve">Dashboard: loads in &lt;3 seconds; mobile-responsive; all plots have axis labels, units, and titles</w:t>
      </w:r>
    </w:p>
    <w:p>
      <w:pPr>
        <w:pStyle w:val="ListParagraph"/>
        <w:numPr>
          <w:ilvl w:val="0"/>
          <w:numId w:val="2"/>
        </w:numPr>
        <w:spacing w:after="40" w:before="40"/>
      </w:pPr>
      <w:r>
        <w:rPr>
          <w:rFonts w:ascii="Arial" w:cs="Arial" w:eastAsia="Arial" w:hAnsi="Arial"/>
          <w:b w:val="false"/>
          <w:bCs w:val="false"/>
          <w:color w:val="1A1A1A"/>
          <w:sz w:val="22"/>
          <w:szCs w:val="22"/>
        </w:rPr>
        <w:t xml:space="preserve">Demo video: narrated; failure modes visually annotated; ≤90 seconds; 1080p minimum</w:t>
      </w:r>
    </w:p>
    <w:p>
      <w:pPr>
        <w:pStyle w:val="ListParagraph"/>
        <w:numPr>
          <w:ilvl w:val="0"/>
          <w:numId w:val="2"/>
        </w:numPr>
        <w:spacing w:after="40" w:before="40"/>
      </w:pPr>
      <w:r>
        <w:rPr>
          <w:rFonts w:ascii="Arial" w:cs="Arial" w:eastAsia="Arial" w:hAnsi="Arial"/>
          <w:b w:val="false"/>
          <w:bCs w:val="false"/>
          <w:color w:val="1A1A1A"/>
          <w:sz w:val="22"/>
          <w:szCs w:val="22"/>
        </w:rPr>
        <w:t xml:space="preserve">MkDocs site: all public functions documented; quickstart example runs without modification</w:t>
      </w:r>
    </w:p>
    <w:p>
      <w:pPr>
        <w:spacing w:after="80" w:before="120"/>
      </w:pPr>
    </w:p>
    <w:p>
      <w:pPr>
        <w:pStyle w:val="Heading1"/>
        <w:spacing w:after="120" w:before="320"/>
      </w:pPr>
      <w:r>
        <w:rPr>
          <w:rFonts w:ascii="Arial" w:cs="Arial" w:eastAsia="Arial" w:hAnsi="Arial"/>
          <w:b/>
          <w:bCs/>
          <w:color w:val="1F4E79"/>
          <w:sz w:val="32"/>
          <w:szCs w:val="32"/>
        </w:rPr>
        <w:t xml:space="preserve">10. Project Plan</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10.1  Phase Overview</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360"/>
        <w:gridCol w:w="23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Foundation &amp; Environment Setup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 scaffold, env verified, CI passing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Baseline Policy Evaluation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metrics on 3 policies, evaluation harness v1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Robustness &amp; Failure Mode Study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Perturbation suite, failure taxonomy, ablation plots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4–5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Residual RL Fine-tuning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Trained residual policy, delta metrics, ablation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6–7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Dashboard &amp; Writeup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Plotly dashboard, blog post draft, demo video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Polish &amp; Launch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Peer review, README, arXiv-style PDF, public release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9–10</w:t>
            </w:r>
          </w:p>
        </w:tc>
      </w:tr>
    </w:tbl>
    <w:p>
      <w:pPr>
        <w:spacing w:after="80" w:before="80"/>
      </w:pPr>
    </w:p>
    <w:p>
      <w:pPr>
        <w:pStyle w:val="Heading2"/>
        <w:spacing w:after="100" w:before="240"/>
      </w:pPr>
      <w:r>
        <w:rPr>
          <w:rFonts w:ascii="Arial" w:cs="Arial" w:eastAsia="Arial" w:hAnsi="Arial"/>
          <w:b/>
          <w:bCs/>
          <w:color w:val="2E75B6"/>
          <w:sz w:val="26"/>
          <w:szCs w:val="26"/>
        </w:rPr>
        <w:t xml:space="preserve">10.2  Week-by-Week Schedule</w:t>
      </w:r>
    </w:p>
    <w:p>
      <w:pPr>
        <w:spacing w:after="60" w:before="60"/>
      </w:pPr>
      <w:r>
        <w:rPr>
          <w:rFonts w:ascii="Arial" w:cs="Arial" w:eastAsia="Arial" w:hAnsi="Arial"/>
          <w:i w:val="false"/>
          <w:iCs w:val="false"/>
          <w:color w:val="1A1A1A"/>
          <w:sz w:val="22"/>
          <w:szCs w:val="22"/>
        </w:rPr>
        <w:t xml:space="preserve">Based on 15–20 focused hours per week, executable alongside part-time or full-time work:</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60"/>
        <w:gridCol w:w="3900"/>
        <w:gridCol w:w="2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Setup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 scaffold, CI, env install, smoke-test policy rollout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rollout renders without crash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 v1</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Baseline TSR on Policy A (ACT), 50 rollouts, log to W&amp;B</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W&amp;B dashboard showing TSR ± std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 v1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TSR on Policies B &amp; C; evaluation harness generalised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3 policies run via single config flag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Robustness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Perturbation suite: object shift, lighting, distractor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Perturbation TSR table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Study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taxonomy: label 150+ rollouts, build classifier, plot distribution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Taxonomy heatmap + per-policy breakdown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Residual RL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PPO residual policy setup; train on top-1 failure mode in sim</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Training curve visible in W&amp;B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Residual RL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Ablation: residual vs. frozen baseline; compute ΔTSR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Ablation table with ≥3 conditions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Plotly dashboard; 90-second demo video; blog post draft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 deployed; video uploaded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Polish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arXiv-style PDF; MkDocs site; peer review (1 external reader)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readable start-to-finish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Launch</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 v1.0 release; post on LinkedIn + r/MachineLearning; cold outreach</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GitHub stars within first week</w:t>
            </w:r>
          </w:p>
        </w:tc>
      </w:tr>
    </w:tbl>
    <w:p>
      <w:pPr>
        <w:spacing w:after="80" w:before="80"/>
      </w:pPr>
    </w:p>
    <w:p>
      <w:pPr>
        <w:pStyle w:val="Heading2"/>
        <w:spacing w:after="100" w:before="240"/>
      </w:pPr>
      <w:r>
        <w:rPr>
          <w:rFonts w:ascii="Arial" w:cs="Arial" w:eastAsia="Arial" w:hAnsi="Arial"/>
          <w:b/>
          <w:bCs/>
          <w:color w:val="2E75B6"/>
          <w:sz w:val="26"/>
          <w:szCs w:val="26"/>
        </w:rPr>
        <w:t xml:space="preserve">10.3  Definition of Done</w:t>
      </w:r>
    </w:p>
    <w:p>
      <w:pPr>
        <w:spacing w:after="60" w:before="60"/>
      </w:pPr>
      <w:r>
        <w:rPr>
          <w:rFonts w:ascii="Arial" w:cs="Arial" w:eastAsia="Arial" w:hAnsi="Arial"/>
          <w:i w:val="false"/>
          <w:iCs w:val="false"/>
          <w:color w:val="1A1A1A"/>
          <w:sz w:val="22"/>
          <w:szCs w:val="22"/>
        </w:rPr>
        <w:t xml:space="preserve">The project is done when all of the following are true simultaneously:</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GitHub repo is public, CI is green, and README produces a working eval run on a fresh clone</w:t>
      </w:r>
    </w:p>
    <w:p>
      <w:pPr>
        <w:pStyle w:val="ListParagraph"/>
        <w:numPr>
          <w:ilvl w:val="0"/>
          <w:numId w:val="2"/>
        </w:numPr>
        <w:spacing w:after="40" w:before="40"/>
      </w:pPr>
      <w:r>
        <w:rPr>
          <w:rFonts w:ascii="Arial" w:cs="Arial" w:eastAsia="Arial" w:hAnsi="Arial"/>
          <w:b w:val="false"/>
          <w:bCs w:val="false"/>
          <w:color w:val="1A1A1A"/>
          <w:sz w:val="22"/>
          <w:szCs w:val="22"/>
        </w:rPr>
        <w:t xml:space="preserve">All 6 failure categories have ≥20 labelled rollout examples</w:t>
      </w:r>
    </w:p>
    <w:p>
      <w:pPr>
        <w:pStyle w:val="ListParagraph"/>
        <w:numPr>
          <w:ilvl w:val="0"/>
          <w:numId w:val="2"/>
        </w:numPr>
        <w:spacing w:after="40" w:before="40"/>
      </w:pPr>
      <w:r>
        <w:rPr>
          <w:rFonts w:ascii="Arial" w:cs="Arial" w:eastAsia="Arial" w:hAnsi="Arial"/>
          <w:b w:val="false"/>
          <w:bCs w:val="false"/>
          <w:color w:val="1A1A1A"/>
          <w:sz w:val="22"/>
          <w:szCs w:val="22"/>
        </w:rPr>
        <w:t xml:space="preserve">Residual RL ablation table shows results for all 3 conditions with ≥3 seeds</w:t>
      </w:r>
    </w:p>
    <w:p>
      <w:pPr>
        <w:pStyle w:val="ListParagraph"/>
        <w:numPr>
          <w:ilvl w:val="0"/>
          <w:numId w:val="2"/>
        </w:numPr>
        <w:spacing w:after="40" w:before="40"/>
      </w:pPr>
      <w:r>
        <w:rPr>
          <w:rFonts w:ascii="Arial" w:cs="Arial" w:eastAsia="Arial" w:hAnsi="Arial"/>
          <w:b w:val="false"/>
          <w:bCs w:val="false"/>
          <w:color w:val="1A1A1A"/>
          <w:sz w:val="22"/>
          <w:szCs w:val="22"/>
        </w:rPr>
        <w:t xml:space="preserve">Dashboard is deployed and accessible via public URL</w:t>
      </w:r>
    </w:p>
    <w:p>
      <w:pPr>
        <w:pStyle w:val="ListParagraph"/>
        <w:numPr>
          <w:ilvl w:val="0"/>
          <w:numId w:val="2"/>
        </w:numPr>
        <w:spacing w:after="40" w:before="40"/>
      </w:pPr>
      <w:r>
        <w:rPr>
          <w:rFonts w:ascii="Arial" w:cs="Arial" w:eastAsia="Arial" w:hAnsi="Arial"/>
          <w:b w:val="false"/>
          <w:bCs w:val="false"/>
          <w:color w:val="1A1A1A"/>
          <w:sz w:val="22"/>
          <w:szCs w:val="22"/>
        </w:rPr>
        <w:t xml:space="preserve">Blog post is published (GitHub Pages, Medium, or personal site)</w:t>
      </w:r>
    </w:p>
    <w:p>
      <w:pPr>
        <w:pStyle w:val="ListParagraph"/>
        <w:numPr>
          <w:ilvl w:val="0"/>
          <w:numId w:val="2"/>
        </w:numPr>
        <w:spacing w:after="40" w:before="40"/>
      </w:pPr>
      <w:r>
        <w:rPr>
          <w:rFonts w:ascii="Arial" w:cs="Arial" w:eastAsia="Arial" w:hAnsi="Arial"/>
          <w:b w:val="false"/>
          <w:bCs w:val="false"/>
          <w:color w:val="1A1A1A"/>
          <w:sz w:val="22"/>
          <w:szCs w:val="22"/>
        </w:rPr>
        <w:t xml:space="preserve">Demo video is posted on YouTube or LinkedIn</w:t>
      </w:r>
    </w:p>
    <w:p>
      <w:pPr>
        <w:spacing w:after="80" w:before="120"/>
      </w:pPr>
    </w:p>
    <w:p>
      <w:pPr>
        <w:pStyle w:val="Heading1"/>
        <w:spacing w:after="120" w:before="320"/>
      </w:pPr>
      <w:r>
        <w:rPr>
          <w:rFonts w:ascii="Arial" w:cs="Arial" w:eastAsia="Arial" w:hAnsi="Arial"/>
          <w:b/>
          <w:bCs/>
          <w:color w:val="1F4E79"/>
          <w:sz w:val="32"/>
          <w:szCs w:val="32"/>
        </w:rPr>
        <w:t xml:space="preserve">11. Risks &amp; Mitigations</w:t>
      </w:r>
    </w:p>
    <w:p>
      <w:pPr>
        <w:pBdr>
          <w:bottom w:val="single" w:color="2E75B6"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200"/>
        <w:gridCol w:w="2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 RAM OOM during inference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Blocks eval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smaller ACT checkpoint; reduce batch size to 1; fallback to PyBullet env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LeRobot API breaking changes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 harness breaks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Pin dependency versions; use Docker for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Residual RL doesn't improve TSR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Weak project 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Reframe as negative result with analysis — still publishable; focus writeup on failure taxonomy instead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 is too slow on CPU</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Limits rollout 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Vectorize env with Gymnasium AsyncVectorEnv; parallelise across CPU 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scope creep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Misses 10-week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 MVP scope at end of Phase 2; additional features go to backlog</w:t>
            </w:r>
          </w:p>
        </w:tc>
      </w:tr>
    </w:tbl>
    <w:p>
      <w:pPr>
        <w:spacing w:after="80" w:before="120"/>
      </w:pPr>
    </w:p>
    <w:p>
      <w:pPr>
        <w:pStyle w:val="Heading1"/>
        <w:spacing w:after="120" w:before="320"/>
      </w:pPr>
      <w:r>
        <w:rPr>
          <w:rFonts w:ascii="Arial" w:cs="Arial" w:eastAsia="Arial" w:hAnsi="Arial"/>
          <w:b/>
          <w:bCs/>
          <w:color w:val="1F4E79"/>
          <w:sz w:val="32"/>
          <w:szCs w:val="32"/>
        </w:rPr>
        <w:t xml:space="preserve">12. Success Criteria</w:t>
      </w:r>
    </w:p>
    <w:p>
      <w:pPr>
        <w:pBdr>
          <w:bottom w:val="single" w:color="2E75B6" w:sz="6" w:space="1"/>
        </w:pBdr>
        <w:spacing w:after="80" w:before="80"/>
      </w:pPr>
    </w:p>
    <w:p>
      <w:pPr>
        <w:spacing w:after="80" w:before="80"/>
      </w:pPr>
    </w:p>
    <w:p>
      <w:pPr>
        <w:pStyle w:val="Heading2"/>
        <w:spacing w:after="100" w:before="240"/>
      </w:pPr>
      <w:r>
        <w:rPr>
          <w:rFonts w:ascii="Arial" w:cs="Arial" w:eastAsia="Arial" w:hAnsi="Arial"/>
          <w:b/>
          <w:bCs/>
          <w:color w:val="2E75B6"/>
          <w:sz w:val="26"/>
          <w:szCs w:val="26"/>
        </w:rPr>
        <w:t xml:space="preserve">12.1  Project Success (Technical)</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Evaluation harness runs 3 policies end-to-end without manual intervention</w:t>
      </w:r>
    </w:p>
    <w:p>
      <w:pPr>
        <w:pStyle w:val="ListParagraph"/>
        <w:numPr>
          <w:ilvl w:val="0"/>
          <w:numId w:val="2"/>
        </w:numPr>
        <w:spacing w:after="40" w:before="40"/>
      </w:pPr>
      <w:r>
        <w:rPr>
          <w:rFonts w:ascii="Arial" w:cs="Arial" w:eastAsia="Arial" w:hAnsi="Arial"/>
          <w:b w:val="false"/>
          <w:bCs w:val="false"/>
          <w:color w:val="1A1A1A"/>
          <w:sz w:val="22"/>
          <w:szCs w:val="22"/>
        </w:rPr>
        <w:t xml:space="preserve">At least 150 rollouts classified into failure taxonomy with &gt;85% inter-rater agreement</w:t>
      </w:r>
    </w:p>
    <w:p>
      <w:pPr>
        <w:pStyle w:val="ListParagraph"/>
        <w:numPr>
          <w:ilvl w:val="0"/>
          <w:numId w:val="2"/>
        </w:numPr>
        <w:spacing w:after="40" w:before="40"/>
      </w:pPr>
      <w:r>
        <w:rPr>
          <w:rFonts w:ascii="Arial" w:cs="Arial" w:eastAsia="Arial" w:hAnsi="Arial"/>
          <w:b w:val="false"/>
          <w:bCs w:val="false"/>
          <w:color w:val="1A1A1A"/>
          <w:sz w:val="22"/>
          <w:szCs w:val="22"/>
        </w:rPr>
        <w:t xml:space="preserve">Residual RL ablation complete with all 3 conditions and error bars</w:t>
      </w:r>
    </w:p>
    <w:p>
      <w:pPr>
        <w:pStyle w:val="ListParagraph"/>
        <w:numPr>
          <w:ilvl w:val="0"/>
          <w:numId w:val="2"/>
        </w:numPr>
        <w:spacing w:after="40" w:before="40"/>
      </w:pPr>
      <w:r>
        <w:rPr>
          <w:rFonts w:ascii="Arial" w:cs="Arial" w:eastAsia="Arial" w:hAnsi="Arial"/>
          <w:b w:val="false"/>
          <w:bCs w:val="false"/>
          <w:color w:val="1A1A1A"/>
          <w:sz w:val="22"/>
          <w:szCs w:val="22"/>
        </w:rPr>
        <w:t xml:space="preserve">All 7 deliverables shipped to public-facing channels</w:t>
      </w:r>
    </w:p>
    <w:p>
      <w:pPr>
        <w:spacing w:after="80" w:before="80"/>
      </w:pPr>
    </w:p>
    <w:p>
      <w:pPr>
        <w:pStyle w:val="Heading2"/>
        <w:spacing w:after="100" w:before="240"/>
      </w:pPr>
      <w:r>
        <w:rPr>
          <w:rFonts w:ascii="Arial" w:cs="Arial" w:eastAsia="Arial" w:hAnsi="Arial"/>
          <w:b/>
          <w:bCs/>
          <w:color w:val="2E75B6"/>
          <w:sz w:val="26"/>
          <w:szCs w:val="26"/>
        </w:rPr>
        <w:t xml:space="preserve">12.2  Career Success (Hiring Signal)</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GitHub repository receives ≥5 stars within 2 weeks of launch</w:t>
      </w:r>
    </w:p>
    <w:p>
      <w:pPr>
        <w:pStyle w:val="ListParagraph"/>
        <w:numPr>
          <w:ilvl w:val="0"/>
          <w:numId w:val="2"/>
        </w:numPr>
        <w:spacing w:after="40" w:before="40"/>
      </w:pPr>
      <w:r>
        <w:rPr>
          <w:rFonts w:ascii="Arial" w:cs="Arial" w:eastAsia="Arial" w:hAnsi="Arial"/>
          <w:b w:val="false"/>
          <w:bCs w:val="false"/>
          <w:color w:val="1A1A1A"/>
          <w:sz w:val="22"/>
          <w:szCs w:val="22"/>
        </w:rPr>
        <w:t xml:space="preserve">At least 1 cold outreach to a robot learning company receives a positive response citing the project</w:t>
      </w:r>
    </w:p>
    <w:p>
      <w:pPr>
        <w:pStyle w:val="ListParagraph"/>
        <w:numPr>
          <w:ilvl w:val="0"/>
          <w:numId w:val="2"/>
        </w:numPr>
        <w:spacing w:after="40" w:before="40"/>
      </w:pPr>
      <w:r>
        <w:rPr>
          <w:rFonts w:ascii="Arial" w:cs="Arial" w:eastAsia="Arial" w:hAnsi="Arial"/>
          <w:b w:val="false"/>
          <w:bCs w:val="false"/>
          <w:color w:val="1A1A1A"/>
          <w:sz w:val="22"/>
          <w:szCs w:val="22"/>
        </w:rPr>
        <w:t xml:space="preserve">Project is discussed substantively in at least 1 technical interview</w:t>
      </w:r>
    </w:p>
    <w:p>
      <w:pPr>
        <w:pStyle w:val="ListParagraph"/>
        <w:numPr>
          <w:ilvl w:val="0"/>
          <w:numId w:val="2"/>
        </w:numPr>
        <w:spacing w:after="40" w:before="40"/>
      </w:pPr>
      <w:r>
        <w:rPr>
          <w:rFonts w:ascii="Arial" w:cs="Arial" w:eastAsia="Arial" w:hAnsi="Arial"/>
          <w:b w:val="false"/>
          <w:bCs w:val="false"/>
          <w:color w:val="1A1A1A"/>
          <w:sz w:val="22"/>
          <w:szCs w:val="22"/>
        </w:rPr>
        <w:t xml:space="preserve">At least 1 hiring manager or researcher comments on or shares the writeup / dashboard</w:t>
      </w:r>
    </w:p>
    <w:p>
      <w:pPr>
        <w:spacing w:after="80" w:before="80"/>
      </w:pPr>
    </w:p>
    <w:p>
      <w:pPr>
        <w:pStyle w:val="Heading2"/>
        <w:spacing w:after="100" w:before="240"/>
      </w:pPr>
      <w:r>
        <w:rPr>
          <w:rFonts w:ascii="Arial" w:cs="Arial" w:eastAsia="Arial" w:hAnsi="Arial"/>
          <w:b/>
          <w:bCs/>
          <w:color w:val="2E75B6"/>
          <w:sz w:val="26"/>
          <w:szCs w:val="26"/>
        </w:rPr>
        <w:t xml:space="preserve">12.3  Personal Learning Success</w:t>
      </w:r>
    </w:p>
    <w:p>
      <w:pPr>
        <w:spacing w:after="80" w:before="40"/>
      </w:pPr>
    </w:p>
    <w:p>
      <w:pPr>
        <w:pStyle w:val="ListParagraph"/>
        <w:numPr>
          <w:ilvl w:val="0"/>
          <w:numId w:val="2"/>
        </w:numPr>
        <w:spacing w:after="40" w:before="40"/>
      </w:pPr>
      <w:r>
        <w:rPr>
          <w:rFonts w:ascii="Arial" w:cs="Arial" w:eastAsia="Arial" w:hAnsi="Arial"/>
          <w:b w:val="false"/>
          <w:bCs w:val="false"/>
          <w:color w:val="1A1A1A"/>
          <w:sz w:val="22"/>
          <w:szCs w:val="22"/>
        </w:rPr>
        <w:t xml:space="preserve">Able to explain reward design tradeoffs (sparse vs. shaped vs. learned) from first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Able to walk through a residual RL training loop in a whiteboard interview without notes</w:t>
      </w:r>
    </w:p>
    <w:p>
      <w:pPr>
        <w:pStyle w:val="ListParagraph"/>
        <w:numPr>
          <w:ilvl w:val="0"/>
          <w:numId w:val="2"/>
        </w:numPr>
        <w:spacing w:after="40" w:before="40"/>
      </w:pPr>
      <w:r>
        <w:rPr>
          <w:rFonts w:ascii="Arial" w:cs="Arial" w:eastAsia="Arial" w:hAnsi="Arial"/>
          <w:b w:val="false"/>
          <w:bCs w:val="false"/>
          <w:color w:val="1A1A1A"/>
          <w:sz w:val="22"/>
          <w:szCs w:val="22"/>
        </w:rPr>
        <w:t xml:space="preserve">Familiar with at least 3 papers per topic area covered in the writeup's related work section</w:t>
      </w:r>
    </w:p>
    <w:p>
      <w:pPr>
        <w:spacing w:after="80" w:before="120"/>
      </w:pPr>
    </w:p>
    <w:p>
      <w:pPr>
        <w:pStyle w:val="Heading1"/>
        <w:spacing w:after="120" w:before="320"/>
      </w:pPr>
      <w:r>
        <w:rPr>
          <w:rFonts w:ascii="Arial" w:cs="Arial" w:eastAsia="Arial" w:hAnsi="Arial"/>
          <w:b/>
          <w:bCs/>
          <w:color w:val="1F4E79"/>
          <w:sz w:val="32"/>
          <w:szCs w:val="32"/>
        </w:rPr>
        <w:t xml:space="preserve">13. Interview Question Alignment</w:t>
      </w:r>
    </w:p>
    <w:p>
      <w:pPr>
        <w:pBdr>
          <w:bottom w:val="single" w:color="2E75B6" w:sz="6" w:space="1"/>
        </w:pBdr>
        <w:spacing w:after="80" w:before="80"/>
      </w:pPr>
    </w:p>
    <w:p>
      <w:pPr>
        <w:spacing w:after="80" w:before="60"/>
      </w:pPr>
    </w:p>
    <w:p>
      <w:pPr>
        <w:spacing w:after="60" w:before="60"/>
      </w:pPr>
      <w:r>
        <w:rPr>
          <w:rFonts w:ascii="Arial" w:cs="Arial" w:eastAsia="Arial" w:hAnsi="Arial"/>
          <w:i w:val="false"/>
          <w:iCs w:val="false"/>
          <w:color w:val="1A1A1A"/>
          <w:sz w:val="22"/>
          <w:szCs w:val="22"/>
        </w:rPr>
        <w:t xml:space="preserve">This table maps the most common robot learning interview questions to specific project artifacts, so responses are grounded in real, demonstrated work rather than hypotheticals: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Common Interview Question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 Artifact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Answer Angle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 me through a time you evaluated a model rigorously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 harness + metrics 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 reproducible harness; ran 50 rollouts per config; reported mean ± std across 3 seeds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do you design a reward function?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Reward ablation in Phase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Compared sparse vs. dense vs. VLM-as-judge; showed tradeoffs in sample efficiency and reward hacking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does sim-to-real gap mean to you?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perturbation study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Systematically varied physics/visual params in sim; quantified TSR degradation curves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Have you worked with RL on real systems?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 experience + residual RL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Evaluated physical robot policies at PI; project extends that to RL fine-tuning in sim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Tell me about a failure and what you learned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taxonomy section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Classified 6 failure modes; recovery rate metric; residual RL targeted the highest-frequency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do you communicate technical findings?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 + blog post + video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Built interactive Plotly dashboard; wrote arXiv-style report; produced 90-second demo video</w:t>
            </w:r>
          </w:p>
        </w:tc>
      </w:tr>
    </w:tbl>
    <w:p>
      <w:pPr>
        <w:spacing w:after="80" w:before="120"/>
      </w:pPr>
    </w:p>
    <w:p>
      <w:pPr>
        <w:pStyle w:val="Heading1"/>
        <w:spacing w:after="120" w:before="320"/>
      </w:pPr>
      <w:r>
        <w:rPr>
          <w:rFonts w:ascii="Arial" w:cs="Arial" w:eastAsia="Arial" w:hAnsi="Arial"/>
          <w:b/>
          <w:bCs/>
          <w:color w:val="1F4E79"/>
          <w:sz w:val="32"/>
          <w:szCs w:val="32"/>
        </w:rPr>
        <w:t xml:space="preserve">14. Getting Started — Day 1 Checklist</w:t>
      </w:r>
    </w:p>
    <w:p>
      <w:pPr>
        <w:pBdr>
          <w:bottom w:val="single" w:color="2E75B6" w:sz="6" w:space="1"/>
        </w:pBdr>
        <w:spacing w:after="80" w:before="80"/>
      </w:pPr>
    </w:p>
    <w:p>
      <w:pPr>
        <w:spacing w:after="80" w:before="80"/>
      </w:pPr>
    </w:p>
    <w:p>
      <w:pPr>
        <w:spacing w:after="60" w:before="60"/>
      </w:pPr>
      <w:r>
        <w:rPr>
          <w:rFonts w:ascii="Arial" w:cs="Arial" w:eastAsia="Arial" w:hAnsi="Arial"/>
          <w:i w:val="false"/>
          <w:iCs w:val="false"/>
          <w:color w:val="1A1A1A"/>
          <w:sz w:val="22"/>
          <w:szCs w:val="22"/>
        </w:rPr>
        <w:t xml:space="preserve">Complete these steps before writing any project code:</w:t>
      </w:r>
    </w:p>
    <w:p>
      <w:pPr>
        <w:spacing w:after="80" w:before="40"/>
      </w:pPr>
    </w:p>
    <w:p>
      <w:pPr>
        <w:pStyle w:val="ListParagraph"/>
        <w:numPr>
          <w:ilvl w:val="0"/>
          <w:numId w:val="3"/>
        </w:numPr>
        <w:spacing w:after="40" w:before="40"/>
      </w:pPr>
      <w:r>
        <w:rPr>
          <w:rFonts w:ascii="Arial" w:cs="Arial" w:eastAsia="Arial" w:hAnsi="Arial"/>
          <w:b w:val="false"/>
          <w:bCs w:val="false"/>
          <w:color w:val="1A1A1A"/>
          <w:sz w:val="22"/>
          <w:szCs w:val="22"/>
        </w:rPr>
        <w:t xml:space="preserve">Create GitHub repository: roboeval — set to public, MIT license, Python .gitignore</w:t>
      </w:r>
    </w:p>
    <w:p>
      <w:pPr>
        <w:pStyle w:val="ListParagraph"/>
        <w:numPr>
          <w:ilvl w:val="0"/>
          <w:numId w:val="3"/>
        </w:numPr>
        <w:spacing w:after="40" w:before="40"/>
      </w:pPr>
      <w:r>
        <w:rPr>
          <w:rFonts w:ascii="Arial" w:cs="Arial" w:eastAsia="Arial" w:hAnsi="Arial"/>
          <w:b w:val="false"/>
          <w:bCs w:val="false"/>
          <w:color w:val="1A1A1A"/>
          <w:sz w:val="22"/>
          <w:szCs w:val="22"/>
        </w:rPr>
        <w:t xml:space="preserve">Install uv (fast Python package manager): curl -LsSf https://astral.sh/uv/install.sh | sh</w:t>
      </w:r>
    </w:p>
    <w:p>
      <w:pPr>
        <w:pStyle w:val="ListParagraph"/>
        <w:numPr>
          <w:ilvl w:val="0"/>
          <w:numId w:val="3"/>
        </w:numPr>
        <w:spacing w:after="40" w:before="40"/>
      </w:pPr>
      <w:r>
        <w:rPr>
          <w:rFonts w:ascii="Arial" w:cs="Arial" w:eastAsia="Arial" w:hAnsi="Arial"/>
          <w:b w:val="false"/>
          <w:bCs w:val="false"/>
          <w:color w:val="1A1A1A"/>
          <w:sz w:val="22"/>
          <w:szCs w:val="22"/>
        </w:rPr>
        <w:t xml:space="preserve">Create project environment: uv venv .venv &amp;&amp; source .venv/bin/activate</w:t>
      </w:r>
    </w:p>
    <w:p>
      <w:pPr>
        <w:pStyle w:val="ListParagraph"/>
        <w:numPr>
          <w:ilvl w:val="0"/>
          <w:numId w:val="3"/>
        </w:numPr>
        <w:spacing w:after="40" w:before="40"/>
      </w:pPr>
      <w:r>
        <w:rPr>
          <w:rFonts w:ascii="Arial" w:cs="Arial" w:eastAsia="Arial" w:hAnsi="Arial"/>
          <w:b w:val="false"/>
          <w:bCs w:val="false"/>
          <w:color w:val="1A1A1A"/>
          <w:sz w:val="22"/>
          <w:szCs w:val="22"/>
        </w:rPr>
        <w:t xml:space="preserve">Install core dependencies: uv add lerobot gymnasium mujoco stable-baselines3 hydra-core wandb plotly ruff mypy</w:t>
      </w:r>
    </w:p>
    <w:p>
      <w:pPr>
        <w:pStyle w:val="ListParagraph"/>
        <w:numPr>
          <w:ilvl w:val="0"/>
          <w:numId w:val="3"/>
        </w:numPr>
        <w:spacing w:after="40" w:before="40"/>
      </w:pPr>
      <w:r>
        <w:rPr>
          <w:rFonts w:ascii="Arial" w:cs="Arial" w:eastAsia="Arial" w:hAnsi="Arial"/>
          <w:b w:val="false"/>
          <w:bCs w:val="false"/>
          <w:color w:val="1A1A1A"/>
          <w:sz w:val="22"/>
          <w:szCs w:val="22"/>
        </w:rPr>
        <w:t xml:space="preserve">Verify M1 MPS availability: python -c "import torch; print(torch.backends.mps.is_available())" — should print True</w:t>
      </w:r>
    </w:p>
    <w:p>
      <w:pPr>
        <w:pStyle w:val="ListParagraph"/>
        <w:numPr>
          <w:ilvl w:val="0"/>
          <w:numId w:val="3"/>
        </w:numPr>
        <w:spacing w:after="40" w:before="40"/>
      </w:pPr>
      <w:r>
        <w:rPr>
          <w:rFonts w:ascii="Arial" w:cs="Arial" w:eastAsia="Arial" w:hAnsi="Arial"/>
          <w:b w:val="false"/>
          <w:bCs w:val="false"/>
          <w:color w:val="1A1A1A"/>
          <w:sz w:val="22"/>
          <w:szCs w:val="22"/>
        </w:rPr>
        <w:t xml:space="preserve">Run LeRobot smoke test: python -c "from lerobot.common.policies.act.modeling_act import ACTPolicy; print('ACT loaded')"</w:t>
      </w:r>
    </w:p>
    <w:p>
      <w:pPr>
        <w:pStyle w:val="ListParagraph"/>
        <w:numPr>
          <w:ilvl w:val="0"/>
          <w:numId w:val="3"/>
        </w:numPr>
        <w:spacing w:after="40" w:before="40"/>
      </w:pPr>
      <w:r>
        <w:rPr>
          <w:rFonts w:ascii="Arial" w:cs="Arial" w:eastAsia="Arial" w:hAnsi="Arial"/>
          <w:b w:val="false"/>
          <w:bCs w:val="false"/>
          <w:color w:val="1A1A1A"/>
          <w:sz w:val="22"/>
          <w:szCs w:val="22"/>
        </w:rPr>
        <w:t xml:space="preserve">Create first W&amp;B project at wandb.ai — free account, project name: roboeval</w:t>
      </w:r>
    </w:p>
    <w:p>
      <w:pPr>
        <w:pStyle w:val="ListParagraph"/>
        <w:numPr>
          <w:ilvl w:val="0"/>
          <w:numId w:val="3"/>
        </w:numPr>
        <w:spacing w:after="40" w:before="40"/>
      </w:pPr>
      <w:r>
        <w:rPr>
          <w:rFonts w:ascii="Arial" w:cs="Arial" w:eastAsia="Arial" w:hAnsi="Arial"/>
          <w:b w:val="false"/>
          <w:bCs w:val="false"/>
          <w:color w:val="1A1A1A"/>
          <w:sz w:val="22"/>
          <w:szCs w:val="22"/>
        </w:rPr>
        <w:t xml:space="preserve">Set up pre-commit hooks: uv add --dev pre-commit &amp;&amp; pre-commit install</w:t>
      </w:r>
    </w:p>
    <w:p>
      <w:pPr>
        <w:pStyle w:val="ListParagraph"/>
        <w:numPr>
          <w:ilvl w:val="0"/>
          <w:numId w:val="3"/>
        </w:numPr>
        <w:spacing w:after="40" w:before="40"/>
      </w:pPr>
      <w:r>
        <w:rPr>
          <w:rFonts w:ascii="Arial" w:cs="Arial" w:eastAsia="Arial" w:hAnsi="Arial"/>
          <w:b w:val="false"/>
          <w:bCs w:val="false"/>
          <w:color w:val="1A1A1A"/>
          <w:sz w:val="22"/>
          <w:szCs w:val="22"/>
        </w:rPr>
        <w:t xml:space="preserve">Read these 3 papers before writing any evaluation code: ACT (Zhao et al. 2023), Diffusion Policy (Chi et al. 2023), ResiP (residual RL for manipulation, 2022)</w:t>
      </w:r>
    </w:p>
    <w:p>
      <w:pPr>
        <w:pStyle w:val="ListParagraph"/>
        <w:numPr>
          <w:ilvl w:val="0"/>
          <w:numId w:val="3"/>
        </w:numPr>
        <w:spacing w:after="40" w:before="40"/>
      </w:pPr>
      <w:r>
        <w:rPr>
          <w:rFonts w:ascii="Arial" w:cs="Arial" w:eastAsia="Arial" w:hAnsi="Arial"/>
          <w:b w:val="false"/>
          <w:bCs w:val="false"/>
          <w:color w:val="1A1A1A"/>
          <w:sz w:val="22"/>
          <w:szCs w:val="22"/>
        </w:rPr>
        <w:t xml:space="preserve">Block calendar: 3-hour focused sessions on at least 5 days per week for 10 weeks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BDD7EE" w:val="clear"/>
            <w:tcMar>
              <w:top w:type="dxa" w:w="100"/>
              <w:left w:type="dxa" w:w="200"/>
              <w:bottom w:type="dxa" w:w="100"/>
              <w:right w:type="dxa" w:w="200"/>
            </w:tcMar>
          </w:tcPr>
          <w:p>
            <w:pPr>
              <w:spacing w:after="40" w:before="0"/>
            </w:pPr>
            <w:r>
              <w:rPr>
                <w:rFonts w:ascii="Arial" w:cs="Arial" w:eastAsia="Arial" w:hAnsi="Arial"/>
                <w:b/>
                <w:bCs/>
                <w:color w:val="1F4E79"/>
                <w:sz w:val="22"/>
                <w:szCs w:val="22"/>
              </w:rPr>
              <w:t xml:space="preserve">The Most Important Instruction in This Document</w:t>
            </w:r>
          </w:p>
          <w:p>
            <w:pPr>
              <w:spacing w:after="0" w:before="0"/>
            </w:pPr>
            <w:r>
              <w:rPr>
                <w:rFonts w:ascii="Arial" w:cs="Arial" w:eastAsia="Arial" w:hAnsi="Arial"/>
                <w:color w:val="1A1A1A"/>
                <w:sz w:val="21"/>
                <w:szCs w:val="21"/>
              </w:rPr>
              <w:t xml:space="preserve">The gap between a good project and a great one is the writeup. Code without communication is invisible. Every week, write one paragraph describing what you did, what surprised you, and what you plan next. The blog post writes itself from these notes. Do not leave writing until Week 8.</w:t>
            </w:r>
          </w:p>
        </w:tc>
      </w:tr>
    </w:tbl>
    <w:p>
      <w:pPr>
        <w:spacing w:after="80" w:before="120"/>
      </w:pPr>
    </w:p>
    <w:p>
      <w:pPr>
        <w:pStyle w:val="Heading1"/>
        <w:spacing w:after="120" w:before="320"/>
      </w:pPr>
      <w:r>
        <w:rPr>
          <w:rFonts w:ascii="Arial" w:cs="Arial" w:eastAsia="Arial" w:hAnsi="Arial"/>
          <w:b/>
          <w:bCs/>
          <w:color w:val="1F4E79"/>
          <w:sz w:val="32"/>
          <w:szCs w:val="32"/>
        </w:rPr>
        <w:t xml:space="preserve">Appendix: Reference Papers</w:t>
      </w:r>
    </w:p>
    <w:p>
      <w:pPr>
        <w:pBdr>
          <w:bottom w:val="single" w:color="2E75B6" w:sz="6" w:space="1"/>
        </w:pBdr>
        <w:spacing w:after="80" w:before="80"/>
      </w:pPr>
    </w:p>
    <w:p>
      <w:pPr>
        <w:spacing w:after="80" w:before="60"/>
      </w:pPr>
    </w:p>
    <w:p>
      <w:pPr>
        <w:spacing w:after="60" w:before="60"/>
      </w:pPr>
      <w:r>
        <w:rPr>
          <w:rFonts w:ascii="Arial" w:cs="Arial" w:eastAsia="Arial" w:hAnsi="Arial"/>
          <w:i w:val="false"/>
          <w:iCs w:val="false"/>
          <w:color w:val="1A1A1A"/>
          <w:sz w:val="22"/>
          <w:szCs w:val="22"/>
        </w:rPr>
        <w:t xml:space="preserve">These are the minimum reading list before and during the project. Reading these papers is what allows the writeup to situate itself credibly in the field:</w:t>
      </w:r>
    </w:p>
    <w:p>
      <w:pPr>
        <w:spacing w:after="80" w:before="60"/>
      </w:pPr>
    </w:p>
    <w:p>
      <w:pPr>
        <w:pStyle w:val="ListParagraph"/>
        <w:numPr>
          <w:ilvl w:val="0"/>
          <w:numId w:val="2"/>
        </w:numPr>
        <w:spacing w:after="40" w:before="40"/>
      </w:pPr>
      <w:r>
        <w:rPr>
          <w:rFonts w:ascii="Arial" w:cs="Arial" w:eastAsia="Arial" w:hAnsi="Arial"/>
          <w:b/>
          <w:bCs/>
          <w:color w:val="1A1A1A"/>
          <w:sz w:val="22"/>
          <w:szCs w:val="22"/>
        </w:rPr>
        <w:t xml:space="preserve">ACT — </w:t>
      </w:r>
      <w:r>
        <w:rPr>
          <w:rFonts w:ascii="Arial" w:cs="Arial" w:eastAsia="Arial" w:hAnsi="Arial"/>
          <w:color w:val="1A1A1A"/>
          <w:sz w:val="22"/>
          <w:szCs w:val="22"/>
        </w:rPr>
        <w:t xml:space="preserve">Zhao et al. (2023). Learning Fine-Grained Bimanual Manipulation with Low-Cost Hardware. RSS 2023.</w:t>
      </w:r>
    </w:p>
    <w:p>
      <w:pPr>
        <w:pStyle w:val="ListParagraph"/>
        <w:numPr>
          <w:ilvl w:val="0"/>
          <w:numId w:val="2"/>
        </w:numPr>
        <w:spacing w:after="40" w:before="40"/>
      </w:pPr>
      <w:r>
        <w:rPr>
          <w:rFonts w:ascii="Arial" w:cs="Arial" w:eastAsia="Arial" w:hAnsi="Arial"/>
          <w:b/>
          <w:bCs/>
          <w:color w:val="1A1A1A"/>
          <w:sz w:val="22"/>
          <w:szCs w:val="22"/>
        </w:rPr>
        <w:t xml:space="preserve">Diffusion Policy — </w:t>
      </w:r>
      <w:r>
        <w:rPr>
          <w:rFonts w:ascii="Arial" w:cs="Arial" w:eastAsia="Arial" w:hAnsi="Arial"/>
          <w:color w:val="1A1A1A"/>
          <w:sz w:val="22"/>
          <w:szCs w:val="22"/>
        </w:rPr>
        <w:t xml:space="preserve">Chi et al. (2023). Diffusion Policy: Visuomotor Policy Learning via Action Diffusion. RSS 2023.</w:t>
      </w:r>
    </w:p>
    <w:p>
      <w:pPr>
        <w:pStyle w:val="ListParagraph"/>
        <w:numPr>
          <w:ilvl w:val="0"/>
          <w:numId w:val="2"/>
        </w:numPr>
        <w:spacing w:after="40" w:before="40"/>
      </w:pPr>
      <w:r>
        <w:rPr>
          <w:rFonts w:ascii="Arial" w:cs="Arial" w:eastAsia="Arial" w:hAnsi="Arial"/>
          <w:b/>
          <w:bCs/>
          <w:color w:val="1A1A1A"/>
          <w:sz w:val="22"/>
          <w:szCs w:val="22"/>
        </w:rPr>
        <w:t xml:space="preserve">LeRobot — </w:t>
      </w:r>
      <w:r>
        <w:rPr>
          <w:rFonts w:ascii="Arial" w:cs="Arial" w:eastAsia="Arial" w:hAnsi="Arial"/>
          <w:color w:val="1A1A1A"/>
          <w:sz w:val="22"/>
          <w:szCs w:val="22"/>
        </w:rPr>
        <w:t xml:space="preserve">Cadene et al. (2024). LeRobot: State-of-the-art Machine Learning for Real-World Robotics. GitHub.</w:t>
      </w:r>
    </w:p>
    <w:p>
      <w:pPr>
        <w:pStyle w:val="ListParagraph"/>
        <w:numPr>
          <w:ilvl w:val="0"/>
          <w:numId w:val="2"/>
        </w:numPr>
        <w:spacing w:after="40" w:before="40"/>
      </w:pPr>
      <w:r>
        <w:rPr>
          <w:rFonts w:ascii="Arial" w:cs="Arial" w:eastAsia="Arial" w:hAnsi="Arial"/>
          <w:b/>
          <w:bCs/>
          <w:color w:val="1A1A1A"/>
          <w:sz w:val="22"/>
          <w:szCs w:val="22"/>
        </w:rPr>
        <w:t xml:space="preserve">Residual RL — </w:t>
      </w:r>
      <w:r>
        <w:rPr>
          <w:rFonts w:ascii="Arial" w:cs="Arial" w:eastAsia="Arial" w:hAnsi="Arial"/>
          <w:color w:val="1A1A1A"/>
          <w:sz w:val="22"/>
          <w:szCs w:val="22"/>
        </w:rPr>
        <w:t xml:space="preserve">Silver et al. (2019). Residual Policy Learning. arXiv:1812.06298.</w:t>
      </w:r>
    </w:p>
    <w:p>
      <w:pPr>
        <w:pStyle w:val="ListParagraph"/>
        <w:numPr>
          <w:ilvl w:val="0"/>
          <w:numId w:val="2"/>
        </w:numPr>
        <w:spacing w:after="40" w:before="40"/>
      </w:pPr>
      <w:r>
        <w:rPr>
          <w:rFonts w:ascii="Arial" w:cs="Arial" w:eastAsia="Arial" w:hAnsi="Arial"/>
          <w:b/>
          <w:bCs/>
          <w:color w:val="1A1A1A"/>
          <w:sz w:val="22"/>
          <w:szCs w:val="22"/>
        </w:rPr>
        <w:t xml:space="preserve">IWR / Interactive Learning — </w:t>
      </w:r>
      <w:r>
        <w:rPr>
          <w:rFonts w:ascii="Arial" w:cs="Arial" w:eastAsia="Arial" w:hAnsi="Arial"/>
          <w:color w:val="1A1A1A"/>
          <w:sz w:val="22"/>
          <w:szCs w:val="22"/>
        </w:rPr>
        <w:t xml:space="preserve">Mandlekar et al. (2020). IRIS: Implicit Reinforcement without Interaction. ICRA 2020.</w:t>
      </w:r>
    </w:p>
    <w:p>
      <w:pPr>
        <w:pStyle w:val="ListParagraph"/>
        <w:numPr>
          <w:ilvl w:val="0"/>
          <w:numId w:val="2"/>
        </w:numPr>
        <w:spacing w:after="40" w:before="40"/>
      </w:pPr>
      <w:r>
        <w:rPr>
          <w:rFonts w:ascii="Arial" w:cs="Arial" w:eastAsia="Arial" w:hAnsi="Arial"/>
          <w:b/>
          <w:bCs/>
          <w:color w:val="1A1A1A"/>
          <w:sz w:val="22"/>
          <w:szCs w:val="22"/>
        </w:rPr>
        <w:t xml:space="preserve">Robomimic — </w:t>
      </w:r>
      <w:r>
        <w:rPr>
          <w:rFonts w:ascii="Arial" w:cs="Arial" w:eastAsia="Arial" w:hAnsi="Arial"/>
          <w:color w:val="1A1A1A"/>
          <w:sz w:val="22"/>
          <w:szCs w:val="22"/>
        </w:rPr>
        <w:t xml:space="preserve">Mandlekar et al. (2021). What Matters in Learning from Offline Human Demonstrations for Robot Manipulation. CoRL 2021.</w:t>
      </w:r>
    </w:p>
    <w:p>
      <w:pPr>
        <w:pStyle w:val="ListParagraph"/>
        <w:numPr>
          <w:ilvl w:val="0"/>
          <w:numId w:val="2"/>
        </w:numPr>
        <w:spacing w:after="40" w:before="40"/>
      </w:pPr>
      <w:r>
        <w:rPr>
          <w:rFonts w:ascii="Arial" w:cs="Arial" w:eastAsia="Arial" w:hAnsi="Arial"/>
          <w:b/>
          <w:bCs/>
          <w:color w:val="1A1A1A"/>
          <w:sz w:val="22"/>
          <w:szCs w:val="22"/>
        </w:rPr>
        <w:t xml:space="preserve">VLA Survey — </w:t>
      </w:r>
      <w:r>
        <w:rPr>
          <w:rFonts w:ascii="Arial" w:cs="Arial" w:eastAsia="Arial" w:hAnsi="Arial"/>
          <w:color w:val="1A1A1A"/>
          <w:sz w:val="22"/>
          <w:szCs w:val="22"/>
        </w:rPr>
        <w:t xml:space="preserve">Firoozi et al. (2023). Foundation Models in Robotics: Applications, Challenges, and the Future. arXiv:2312.07843.</w:t>
      </w:r>
    </w:p>
    <w:p>
      <w:pPr>
        <w:spacing w:after="80" w:before="80"/>
      </w:pPr>
    </w:p>
    <w:p>
      <w:pPr>
        <w:pBdr>
          <w:bottom w:val="single" w:color="CCCCCC" w:sz="2" w:space="1"/>
        </w:pBdr>
        <w:spacing w:after="40" w:before="40"/>
      </w:pPr>
    </w:p>
    <w:p>
      <w:pPr>
        <w:spacing w:after="80" w:before="40"/>
      </w:pPr>
    </w:p>
    <w:p>
      <w:pPr>
        <w:spacing w:after="60" w:before="60"/>
        <w:jc w:val="center"/>
      </w:pPr>
      <w:r>
        <w:rPr>
          <w:rFonts w:ascii="Arial" w:cs="Arial" w:eastAsia="Arial" w:hAnsi="Arial"/>
          <w:b w:val="false"/>
          <w:bCs w:val="false"/>
          <w:i w:val="false"/>
          <w:iCs w:val="false"/>
          <w:color w:val="595959"/>
          <w:sz w:val="18"/>
          <w:szCs w:val="18"/>
        </w:rPr>
        <w:t xml:space="preserve">Document prepared by Rubeno Dechua — May 2026. </w:t>
      </w:r>
      <w:r>
        <w:rPr>
          <w:rFonts w:ascii="Arial" w:cs="Arial" w:eastAsia="Arial" w:hAnsi="Arial"/>
          <w:b w:val="false"/>
          <w:bCs w:val="false"/>
          <w:i w:val="false"/>
          <w:iCs w:val="false"/>
          <w:color w:val="595959"/>
          <w:sz w:val="18"/>
          <w:szCs w:val="18"/>
        </w:rPr>
        <w:t xml:space="preserve">RoboEval is an independent portfolio project. All tools referenced are open-source or free-tier.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595959"/>
        <w:sz w:val="18"/>
        <w:szCs w:val="18"/>
      </w:rPr>
      <w:t xml:space="preserve">Confidential — For Hiring Review Only</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95959"/>
        <w:sz w:val="18"/>
        <w:szCs w:val="18"/>
      </w:rPr>
      <w:t xml:space="preserve">RoboEval — Product Requirements Document</w:t>
    </w:r>
    <w:r>
      <w:rPr>
        <w:rFonts w:ascii="Arial" w:cs="Arial" w:eastAsia="Arial" w:hAnsi="Arial"/>
        <w:color w:val="595959"/>
        <w:sz w:val="18"/>
        <w:szCs w:val="18"/>
      </w:rPr>
      <w:t xml:space="preserve">     |     Rubeno Dechua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2026-05-10T21:00:12.188Z</dcterms:created>
  <dcterms:modified xsi:type="dcterms:W3CDTF">2026-05-10T21:00:12.188Z</dcterms:modified>
</cp:coreProperties>
</file>

<file path=docProps/custom.xml><?xml version="1.0" encoding="utf-8"?>
<Properties xmlns="http://schemas.openxmlformats.org/officeDocument/2006/custom-properties" xmlns:vt="http://schemas.openxmlformats.org/officeDocument/2006/docPropsVTypes"/>
</file>