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hd w:fill="FFFFFF" w:val="clear"/>
        </w:rPr>
        <w:t>Targeting the Ukrainian Electrical Grid</w:t>
      </w:r>
    </w:p>
    <w:p>
      <w:pPr>
        <w:pStyle w:val="Normal"/>
        <w:spacing w:lineRule="auto" w:line="480" w:before="0" w:after="0"/>
        <w:jc w:val="center"/>
        <w:rPr>
          <w:rStyle w:val="Fnt0"/>
          <w:rFonts w:ascii="Times New Roman" w:hAnsi="Times New Roman"/>
        </w:rPr>
      </w:pPr>
      <w:r>
        <w:rPr>
          <w:rStyle w:val="Fnt0"/>
          <w:rFonts w:ascii="Times New Roman" w:hAnsi="Times New Roman"/>
        </w:rPr>
        <w:t>Ryan Dozier, William Droge, Kyle Krause, Danniel Wayland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Threat Intelligence 100 </w:t>
      </w:r>
    </w:p>
    <w:p>
      <w:pPr>
        <w:pStyle w:val="Normal"/>
        <w:spacing w:lineRule="auto" w:line="480" w:before="0" w:after="0"/>
        <w:jc w:val="center"/>
        <w:rPr>
          <w:rStyle w:val="Fnt0"/>
          <w:rFonts w:ascii="Times New Roman" w:hAnsi="Times New Roman"/>
        </w:rPr>
      </w:pPr>
      <w:r>
        <w:rPr>
          <w:rStyle w:val="Fnt0"/>
          <w:rFonts w:ascii="Times New Roman" w:hAnsi="Times New Roman"/>
        </w:rPr>
        <w:t>Secure|Set Acedemy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>A. Dubey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Style w:val="Fnt0"/>
          <w:rFonts w:ascii="Times New Roman" w:hAnsi="Times New Roman"/>
        </w:rPr>
        <w:t>October 18, 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hd w:fill="FFFFFF" w:val="clear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(synopsis)</w:t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Identifing Russian Objectives (Droge)</w:t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Russian Targeting Development (Wayland)</w:t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Russian Targeting Plan (Wayland)</w:t>
      </w:r>
    </w:p>
    <w:p>
      <w:pPr>
        <w:pStyle w:val="Normal"/>
        <w:shd w:val="clear" w:color="auto" w:fill="FFFFFF"/>
        <w:spacing w:lineRule="atLeast" w:line="150"/>
        <w:ind w:left="72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Identify your targets by type (e.g. Deliberate / Dynamic, etc).</w:t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Key Cyber Terrain used by Russians (Droge)</w:t>
      </w:r>
    </w:p>
    <w:p>
      <w:pPr>
        <w:pStyle w:val="Normal"/>
        <w:shd w:val="clear" w:color="auto" w:fill="FFFFFF"/>
        <w:spacing w:lineRule="atLeast" w:line="150"/>
        <w:ind w:left="36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Reconnaissance/ Weaponization/ Delivery/ Exploitation/ Installation/ C2/ Action </w:t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/>
      </w:pPr>
      <w:bookmarkStart w:id="0" w:name="__DdeLink__73_3780386311"/>
      <w:r>
        <w:rPr>
          <w:rFonts w:cs="Times New Roman" w:ascii="Times New Roman" w:hAnsi="Times New Roman"/>
        </w:rPr>
        <w:t>Russian</w:t>
      </w:r>
      <w:bookmarkEnd w:id="0"/>
      <w:r>
        <w:rPr>
          <w:rFonts w:cs="Times New Roman" w:ascii="Times New Roman" w:hAnsi="Times New Roman"/>
        </w:rPr>
        <w:t xml:space="preserve"> information requirements (IR)s (Dozier)</w:t>
      </w:r>
    </w:p>
    <w:p>
      <w:pPr>
        <w:pStyle w:val="Normal"/>
        <w:rPr/>
      </w:pPr>
      <w:r>
        <w:rPr/>
        <w:t>1. Ukrainian electrical grid system overview.</w:t>
      </w:r>
    </w:p>
    <w:p>
      <w:pPr>
        <w:pStyle w:val="Normal"/>
        <w:rPr/>
      </w:pPr>
      <w:r>
        <w:rPr/>
        <w:t>2. Ukrainian Entry and Exit nodes to ISP for all electrical systems to be attacked.</w:t>
      </w:r>
    </w:p>
    <w:p>
      <w:pPr>
        <w:pStyle w:val="Normal"/>
        <w:rPr/>
      </w:pPr>
      <w:r>
        <w:rPr/>
        <w:t>3. Private internal routing systems, i.e. SCADA networks, fiber, microwave communication between sites.</w:t>
      </w:r>
    </w:p>
    <w:p>
      <w:pPr>
        <w:pStyle w:val="Normal"/>
        <w:rPr/>
      </w:pPr>
      <w:r>
        <w:rPr/>
        <w:t>4. Allow work from home access, VPN.</w:t>
      </w:r>
    </w:p>
    <w:p>
      <w:pPr>
        <w:pStyle w:val="Normal"/>
        <w:rPr/>
      </w:pPr>
      <w:r>
        <w:rPr/>
        <w:t>5. Vulnerability to a spear-phishing campaign to install malware to allow for persistent access and command and control.</w:t>
      </w:r>
    </w:p>
    <w:p>
      <w:pPr>
        <w:pStyle w:val="Normal"/>
        <w:rPr/>
      </w:pPr>
      <w:r>
        <w:rPr>
          <w:rFonts w:cs="Times New Roman" w:ascii="Times New Roman" w:hAnsi="Times New Roman"/>
        </w:rPr>
        <w:t>6.  Common operating systems, types of firmware to target and weaponize malware for most effective coverage of systems.</w:t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5847" w:leader="none"/>
        </w:tabs>
        <w:spacing w:lineRule="atLeast" w:line="150"/>
        <w:rPr/>
      </w:pPr>
      <w:r>
        <w:rPr>
          <w:rFonts w:cs="Times New Roman" w:ascii="Times New Roman" w:hAnsi="Times New Roman"/>
        </w:rPr>
        <w:t>Annex A : Russian CCIRs, PIR, FFIR, and EEFI (Dozier)</w:t>
      </w:r>
    </w:p>
    <w:p>
      <w:pPr>
        <w:pStyle w:val="Normal"/>
        <w:shd w:val="clear" w:color="auto" w:fill="FFFFFF"/>
        <w:tabs>
          <w:tab w:val="clear" w:pos="720"/>
          <w:tab w:val="left" w:pos="5847" w:leader="none"/>
        </w:tabs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5847" w:leader="none"/>
        </w:tabs>
        <w:spacing w:lineRule="atLeast" w:line="150"/>
        <w:rPr>
          <w:rFonts w:ascii="Times New Roman" w:hAnsi="Times New Roman" w:cs="Times New Roman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-706755</wp:posOffset>
                </wp:positionH>
                <wp:positionV relativeFrom="paragraph">
                  <wp:posOffset>127000</wp:posOffset>
                </wp:positionV>
                <wp:extent cx="7304405" cy="32613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3680" cy="3260880"/>
                        </a:xfrm>
                      </wpg:grpSpPr>
                      <wps:wsp>
                        <wps:cNvSpPr txBox="1"/>
                        <wps:spPr>
                          <a:xfrm>
                            <a:off x="49680" y="0"/>
                            <a:ext cx="2272680" cy="390600"/>
                          </a:xfrm>
                          <a:prstGeom prst="rect">
                            <a:avLst/>
                          </a:prstGeom>
                          <a:noFill/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/>
                                  <w:u w:val="single"/>
                                  <w:bCs/>
                                  <w:rFonts w:ascii="Liberation Sans" w:hAnsi="Liberation Sans" w:eastAsia="Microsoft YaHei" w:cs="Arial"/>
                                  <w:color w:val="auto"/>
                                </w:rPr>
                                <w:t>CCIR</w:t>
                              </w:r>
                            </w:p>
                          </w:txbxContent>
                        </wps:txbx>
                        <wps:bodyPr wrap="square" lIns="108720" rIns="108720" tIns="63360" bIns="6336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08920"/>
                            <a:ext cx="2272680" cy="1573560"/>
                          </a:xfrm>
                          <a:prstGeom prst="rect">
                            <a:avLst/>
                          </a:prstGeom>
                          <a:noFill/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/>
                                  <w:u w:val="single"/>
                                  <w:bCs/>
                                  <w:rFonts w:ascii="Liberation Sans" w:hAnsi="Liberation Sans" w:eastAsia="Microsoft YaHei" w:cs="Arial"/>
                                  <w:color w:val="auto"/>
                                </w:rPr>
                                <w:t>PIR</w:t>
                              </w:r>
                            </w:p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2"/>
                                </w:rPr>
                              </w:r>
                            </w:p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zh-CN" w:bidi="hi-IN"/>
                                </w:rPr>
                                <w:t>1. Intrusion Detection Systems/Firewalls</w:t>
                              </w:r>
                            </w:p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zh-CN" w:bidi="hi-IN"/>
                                </w:rPr>
                                <w:t>2. Mean time to detection</w:t>
                              </w:r>
                            </w:p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zh-CN" w:bidi="hi-IN"/>
                                </w:rPr>
                                <w:t>3. Actions on objective after reconnaissance</w:t>
                              </w:r>
                            </w:p>
                          </w:txbxContent>
                        </wps:txbx>
                        <wps:bodyPr wrap="square" lIns="108720" rIns="108720" tIns="63360" bIns="6336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531160" y="825480"/>
                            <a:ext cx="2272680" cy="2435400"/>
                          </a:xfrm>
                          <a:prstGeom prst="rect">
                            <a:avLst/>
                          </a:prstGeom>
                          <a:noFill/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/>
                                  <w:u w:val="single"/>
                                  <w:bCs/>
                                  <w:rFonts w:ascii="Liberation Sans" w:hAnsi="Liberation Sans" w:eastAsia="Microsoft YaHei" w:cs="Arial"/>
                                  <w:color w:val="auto"/>
                                </w:rPr>
                                <w:t>FFIR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zh-CN" w:bidi="hi-IN"/>
                                </w:rPr>
                                <w:t>1. Ability to maintain access without detection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zh-CN" w:bidi="hi-IN"/>
                                </w:rPr>
                                <w:t>2. Ability to deploy wide accessing  malware that can control multiple operating systems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zh-CN" w:bidi="hi-IN"/>
                                </w:rPr>
                                <w:t>3. Types of communication internal to the Ukrainian network</w:t>
                              </w:r>
                            </w:p>
                          </w:txbxContent>
                        </wps:txbx>
                        <wps:bodyPr wrap="square" lIns="108720" rIns="108720" tIns="63360" bIns="6336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031000" y="823680"/>
                            <a:ext cx="2272680" cy="1488960"/>
                          </a:xfrm>
                          <a:prstGeom prst="rect">
                            <a:avLst/>
                          </a:prstGeom>
                          <a:noFill/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/>
                                  <w:u w:val="single"/>
                                  <w:bCs/>
                                  <w:rFonts w:ascii="Liberation Sans" w:hAnsi="Liberation Sans" w:eastAsia="Microsoft YaHei" w:cs="Arial"/>
                                  <w:color w:val="auto"/>
                                </w:rPr>
                                <w:t>EEFI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0"/>
                                  <w:szCs w:val="30"/>
                                  <w:rFonts w:ascii="Liberation Sans" w:hAnsi="Liberation Sans" w:eastAsia="Microsoft YaHei" w:cs="Arial"/>
                                  <w:color w:val="auto"/>
                                </w:rPr>
                                <w:t>1. Who is targeting the electrical grid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0"/>
                                  <w:szCs w:val="30"/>
                                  <w:rFonts w:ascii="Liberation Sans" w:hAnsi="Liberation Sans" w:eastAsia="Microsoft YaHei" w:cs="Arial"/>
                                  <w:color w:val="auto"/>
                                </w:rPr>
                                <w:t>2. Non-attribution of malware signature</w:t>
                              </w:r>
                            </w:p>
                          </w:txbxContent>
                        </wps:txbx>
                        <wps:bodyPr wrap="square" lIns="108720" rIns="108720" tIns="63360" bIns="6336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26880" y="270000"/>
                            <a:ext cx="0" cy="53928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72680" y="1106280"/>
                            <a:ext cx="2757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3120" y="954360"/>
                            <a:ext cx="22860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55.65pt;margin-top:10pt;width:575.1pt;height:256.75pt" coordorigin="-1113,200" coordsize="11502,5135"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t" style="position:absolute;left:-1035;top:200;width:3578;height:614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/>
                            <w:u w:val="single"/>
                            <w:bCs/>
                            <w:rFonts w:ascii="Liberation Sans" w:hAnsi="Liberation Sans" w:eastAsia="Microsoft YaHei" w:cs="Arial"/>
                            <w:color w:val="auto"/>
                          </w:rPr>
                          <w:t>CCIR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36720" joinstyle="round" endcap="flat"/>
                </v:shape>
                <v:shape id="shape_0" stroked="t" style="position:absolute;left:-1113;top:1474;width:3578;height:247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/>
                            <w:u w:val="single"/>
                            <w:bCs/>
                            <w:rFonts w:ascii="Liberation Sans" w:hAnsi="Liberation Sans" w:eastAsia="Microsoft YaHei" w:cs="Arial"/>
                            <w:color w:val="auto"/>
                          </w:rPr>
                          <w:t>PIR</w:t>
                        </w:r>
                      </w:p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2"/>
                          </w:rPr>
                        </w:r>
                      </w:p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zh-CN" w:bidi="hi-IN"/>
                          </w:rPr>
                          <w:t>1. Intrusion Detection Systems/Firewalls</w:t>
                        </w:r>
                      </w:p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zh-CN" w:bidi="hi-IN"/>
                          </w:rPr>
                          <w:t>2. Mean time to detection</w:t>
                        </w:r>
                      </w:p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zh-CN" w:bidi="hi-IN"/>
                          </w:rPr>
                          <w:t>3. Actions on objective after reconnaissance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36720" joinstyle="round" endcap="flat"/>
                </v:shape>
                <v:shape id="shape_0" stroked="t" style="position:absolute;left:2873;top:1500;width:3578;height:3834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/>
                            <w:u w:val="single"/>
                            <w:bCs/>
                            <w:rFonts w:ascii="Liberation Sans" w:hAnsi="Liberation Sans" w:eastAsia="Microsoft YaHei" w:cs="Arial"/>
                            <w:color w:val="auto"/>
                          </w:rPr>
                          <w:t>FFIR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zh-CN" w:bidi="hi-IN"/>
                          </w:rPr>
                          <w:t>1. Ability to maintain access without detection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zh-CN" w:bidi="hi-IN"/>
                          </w:rPr>
                          <w:t>2. Ability to deploy wide accessing  malware that can control multiple operating systems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zh-CN" w:bidi="hi-IN"/>
                          </w:rPr>
                          <w:t>3. Types of communication internal to the Ukrainian network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36720" joinstyle="round" endcap="flat"/>
                </v:shape>
                <v:shape id="shape_0" stroked="t" style="position:absolute;left:6810;top:1497;width:3578;height:2344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/>
                            <w:u w:val="single"/>
                            <w:bCs/>
                            <w:rFonts w:ascii="Liberation Sans" w:hAnsi="Liberation Sans" w:eastAsia="Microsoft YaHei" w:cs="Arial"/>
                            <w:color w:val="auto"/>
                          </w:rPr>
                          <w:t>EEFI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0"/>
                            <w:szCs w:val="30"/>
                            <w:rFonts w:ascii="Liberation Sans" w:hAnsi="Liberation Sans" w:eastAsia="Microsoft YaHei" w:cs="Arial"/>
                            <w:color w:val="auto"/>
                          </w:rPr>
                          <w:t>1. Who is targeting the electrical grid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0"/>
                            <w:szCs w:val="30"/>
                            <w:rFonts w:ascii="Liberation Sans" w:hAnsi="Liberation Sans" w:eastAsia="Microsoft YaHei" w:cs="Arial"/>
                            <w:color w:val="auto"/>
                          </w:rPr>
                          <w:t>2. Non-attribution of malware signature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36720" joinstyle="round" endcap="flat"/>
                </v:shape>
                <v:line id="shape_0" from="819,625" to="819,1473" stroked="t" style="position:absolute">
                  <v:stroke color="black" weight="18360" endarrow="block" endarrowwidth="medium" endarrowlength="medium" joinstyle="round" endcap="flat"/>
                  <v:fill o:detectmouseclick="t" on="false"/>
                </v:line>
                <v:line id="shape_0" from="2466,1942" to="2899,1942" stroked="t" style="position:absolute">
                  <v:stroke color="black" weight="18360" endarrow="block" endarrowwidth="medium" endarrowlength="medium" joinstyle="round" endcap="flat"/>
                  <v:fill o:detectmouseclick="t" on="false"/>
                </v:line>
                <v:line id="shape_0" from="6451,1703" to="6810,1703" stroked="t" style="position:absolute">
                  <v:stroke color="black" weight="18360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hd w:val="clear" w:color="auto" w:fill="FFFFFF"/>
        <w:tabs>
          <w:tab w:val="clear" w:pos="720"/>
          <w:tab w:val="left" w:pos="5847" w:leader="none"/>
        </w:tabs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5847" w:leader="none"/>
        </w:tabs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5847" w:leader="none"/>
        </w:tabs>
        <w:spacing w:lineRule="atLeast" w:line="150"/>
        <w:rPr>
          <w:rFonts w:ascii="Times New Roman" w:hAnsi="Times New Roman" w:cs="Times New Roman"/>
        </w:rPr>
      </w:pPr>
      <w:r>
        <w:rPr/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rPr/>
      </w:pPr>
      <w:r>
        <w:rPr>
          <w:rFonts w:cs="Times New Roman" w:ascii="Times New Roman" w:hAnsi="Times New Roman"/>
        </w:rPr>
        <w:t>Annex B: Russian Collection Synchronization Plan (Krause)</w:t>
      </w:r>
    </w:p>
    <w:p>
      <w:pPr>
        <w:pStyle w:val="Normal"/>
        <w:shd w:val="clear" w:color="auto" w:fill="FFFFFF"/>
        <w:spacing w:lineRule="atLeast" w:line="15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Use the example in the slide deck as the baseline. Use the references provided in the reading for further explanation. This will be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spacing w:lineRule="atLeast" w:line="150" w:before="0" w:after="200"/>
        <w:jc w:val="center"/>
        <w:rPr/>
      </w:pPr>
      <w:r>
        <w:rPr>
          <w:rFonts w:cs="Times New Roman" w:ascii="Times New Roman" w:hAnsi="Times New Roman"/>
        </w:rPr>
        <w:t>References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640"/>
        <w:tab w:val="center" w:pos="4320" w:leader="none"/>
        <w:tab w:val="right" w:pos="8100" w:leader="none"/>
      </w:tabs>
      <w:ind w:right="-1800" w:hanging="171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20489212"/>
    </w:sdtPr>
    <w:sdtContent>
      <w:p>
        <w:pPr>
          <w:pStyle w:val="Header"/>
          <w:tabs>
            <w:tab w:val="clear" w:pos="8640"/>
            <w:tab w:val="center" w:pos="4320" w:leader="none"/>
            <w:tab w:val="right" w:pos="9360" w:leader="none"/>
          </w:tabs>
          <w:rPr/>
        </w:pPr>
        <w:r>
          <w:rPr/>
          <w:t xml:space="preserve"> </w:t>
        </w:r>
        <w:r>
          <w:rPr/>
          <w:tab/>
        </w:r>
      </w:p>
    </w:sdtContent>
  </w:sdt>
  <w:p>
    <w:pPr>
      <w:pStyle w:val="Header"/>
      <w:spacing w:before="24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Times New Roman" w:hAnsi="Times New Roman"/>
      </w:rPr>
      <w:t xml:space="preserve">Running header: TARGETING THE UKRAINIAN ELECTRICAL GRID                                  1                                                           </w:t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40"/>
  <w:defaultTabStop w:val="1134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41de"/>
    <w:pPr>
      <w:widowControl/>
      <w:bidi w:val="0"/>
      <w:spacing w:lineRule="auto" w:line="240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f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6dd9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41de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541de"/>
    <w:rPr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41d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bc6dd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6dd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c6dd9"/>
    <w:rPr>
      <w:b/>
      <w:bCs/>
    </w:rPr>
  </w:style>
  <w:style w:type="character" w:styleId="Entryauthor" w:customStyle="1">
    <w:name w:val="entry-author"/>
    <w:basedOn w:val="DefaultParagraphFont"/>
    <w:qFormat/>
    <w:rsid w:val="00954af7"/>
    <w:rPr/>
  </w:style>
  <w:style w:type="character" w:styleId="Entryauthorname" w:customStyle="1">
    <w:name w:val="entry-author-name"/>
    <w:basedOn w:val="DefaultParagraphFont"/>
    <w:qFormat/>
    <w:rsid w:val="00954af7"/>
    <w:rPr/>
  </w:style>
  <w:style w:type="character" w:styleId="Fnt0" w:customStyle="1">
    <w:name w:val="fnt0"/>
    <w:basedOn w:val="DefaultParagraphFont"/>
    <w:uiPriority w:val="99"/>
    <w:qFormat/>
    <w:rsid w:val="00bf57d8"/>
    <w:rPr>
      <w:rFonts w:cs="Times New Roman"/>
      <w:color w:val="000000"/>
      <w:shd w:fill="FFFFFF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a2f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41de"/>
    <w:pPr>
      <w:tabs>
        <w:tab w:val="clear" w:pos="720"/>
        <w:tab w:val="center" w:pos="4320" w:leader="none"/>
        <w:tab w:val="right" w:pos="864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41de"/>
    <w:pPr>
      <w:tabs>
        <w:tab w:val="clear" w:pos="720"/>
        <w:tab w:val="center" w:pos="4320" w:leader="none"/>
        <w:tab w:val="right" w:pos="8640" w:leader="none"/>
      </w:tabs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41de"/>
    <w:pPr>
      <w:spacing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c6dd9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72397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LibreOffice/6.3.1.2$Windows_X86_64 LibreOffice_project/b79626edf0065ac373bd1df5c28bd630b4424273</Application>
  <Pages>6</Pages>
  <Words>191</Words>
  <Characters>1156</Characters>
  <CharactersWithSpaces>1421</CharactersWithSpaces>
  <Paragraphs>26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2019-10-16T22:53:00Z</dcterms:created>
  <dc:creator>Hal</dc:creator>
  <dc:description/>
  <dc:language>en-US</dc:language>
  <cp:lastModifiedBy/>
  <dcterms:modified xsi:type="dcterms:W3CDTF">2019-10-16T19:49:08Z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