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AI installation and operating guide</w:t>
      </w:r>
    </w:p>
    <w:p>
      <w:pPr>
        <w:pStyle w:val="Subtitle"/>
      </w:pPr>
      <w:r>
        <w:t>Candidate25  |  October 2026</w:t>
      </w:r>
    </w:p>
    <w:p>
      <w:r>
        <w:t>Nexus AI provides local chat through its independent Nexus.cpp engine and browser WebGPU engine, with model and hardware controls, optional explicit memory recall, and voice features. This guide explains how to install the Python-based distribution, understand its dependencies, operate the new reliability controls and qualify the exact models you intend to use.</w:t>
      </w:r>
    </w:p>
    <w:p>
      <w:r>
        <w:t>Candidate25 is a hardening candidate for a single-user desktop. It is not an approved enterprise release. Windows 11, physical Radeon execution and full Mistral 7B or Ministral 14B performance still require target-machine validation. A successful CPU fixture test cannot establish those results.</w:t>
      </w:r>
    </w:p>
    <w:p>
      <w:pPr>
        <w:pStyle w:val="Heading2"/>
      </w:pPr>
      <w:r>
        <w:t>What changed</w:t>
      </w:r>
    </w:p>
    <w:p>
      <w:pPr>
        <w:pStyle w:val="ListBullet"/>
      </w:pPr>
      <w:r>
        <w:t>Native conversation caching reuses matching prompt tokens within the same explicit session. A different session cannot inherit that cache. New Chat clears active context while retaining the loaded weights.</w:t>
      </w:r>
    </w:p>
    <w:p>
      <w:pPr>
        <w:pStyle w:val="ListBullet"/>
      </w:pPr>
      <w:r>
        <w:t>Cooperative Stop interrupts prompt processing and generation in the updated native worker. An unresponsive or older worker can still be terminated and require a reload.</w:t>
      </w:r>
    </w:p>
    <w:p>
      <w:pPr>
        <w:pStyle w:val="ListBullet"/>
      </w:pPr>
      <w:r>
        <w:t>Native min-p and repetition controls now reach the sampler. Controls for unsupported native features are disabled and the interface displays actual worker capabilities.</w:t>
      </w:r>
    </w:p>
    <w:p>
      <w:pPr>
        <w:pStyle w:val="ListBullet"/>
      </w:pPr>
      <w:r>
        <w:t>Continuing server logs, a downloadable diagnostic report, bounded operational metrics and durable registry recovery improve troubleshooting and resilience.</w:t>
      </w:r>
    </w:p>
    <w:p>
      <w:pPr>
        <w:pStyle w:val="ListBullet"/>
      </w:pPr>
      <w:r>
        <w:t>The installer recognizes the new conversation runtime and reports when an older binary needs rebuilding. Release checks and a real-model qualification tool are included.</w:t>
      </w:r>
    </w:p>
    <w:p>
      <w:pPr>
        <w:pStyle w:val="Heading2"/>
      </w:pPr>
      <w:r>
        <w:t>Package contents</w:t>
      </w:r>
    </w:p>
    <w:p>
      <w:r>
        <w:t>Extract the ZIP completely. Keep Install_Nexus_AI.py, the GUI and dependency helper, Nexus_AI_Manifest.json, all Nexus_AI_Data_###.nxd parts and installer artwork together. The manifest verifies payload files and data-part hashes. Each data part is at most 10 MB and every distributed component is below 20 MB. Model weights and development runtimes are not bundled.</w:t>
      </w:r>
    </w:p>
    <w:p>
      <w:r>
        <w:t>The existing license remains in force. This technical update does not grant commercial or organizational use. Read LICENSE and NEXUS_LICENSE_SCOPE.md and obtain the rights holder’s written permission where required.</w:t>
      </w:r>
    </w:p>
    <w:p>
      <w:r>
        <w:br w:type="page"/>
      </w:r>
    </w:p>
    <w:p>
      <w:pPr>
        <w:pStyle w:val="Heading1"/>
      </w:pPr>
      <w:r>
        <w:t>Install and choose your workspace</w:t>
      </w:r>
    </w:p>
    <w:p>
      <w:r>
        <w:t>Use an existing Python installation and launch Install_Nexus_AI.py. The graphical installer uses Python tkinter; the console alternative is shown below. The installer previews its actions before applying them.</w:t>
      </w:r>
    </w:p>
    <w:p>
      <w:pPr>
        <w:spacing w:line="240" w:lineRule="auto" w:after="160"/>
      </w:pPr>
      <w:r>
        <w:rPr>
          <w:rFonts w:ascii="Liberation Mono" w:hAnsi="Liberation Mono"/>
          <w:sz w:val="19"/>
        </w:rPr>
        <w:t>python Install_Nexus_AI.py --cli</w:t>
      </w:r>
    </w:p>
    <w:p>
      <w:pPr>
        <w:pStyle w:val="Heading2"/>
      </w:pPr>
      <w:r>
        <w:t>Fresh install or update</w:t>
      </w:r>
    </w:p>
    <w:p>
      <w:r>
        <w:t>Choose Fresh install for zero active saved data: no prior chats, memories, documents, adapters, settings, model registrations or default startup model. Nexus creates a new isolated browser workspace. An older installation may remain in the reported backup, but is not loaded or imported.</w:t>
      </w:r>
    </w:p>
    <w:p>
      <w:r>
        <w:t>Choose Update to preserve the current workspace and app-local runtime. Close Nexus before replacement. The installer reports its backup location. To undo an update, close Nexus, retain the failed installation for diagnosis and restore the backup folder to the original installation path. Browser-mode storage is separate from managed desktop storage and is not automatically migrated.</w:t>
      </w:r>
    </w:p>
    <w:p>
      <w:pPr>
        <w:pStyle w:val="Heading2"/>
      </w:pPr>
      <w:r>
        <w:t>Dependencies</w:t>
      </w:r>
    </w:p>
    <w:tbl>
      <w:tblPr>
        <w:tblW w:type="auto" w:w="0"/>
        <w:jc w:val="center"/>
        <w:tblLayout w:type="fixed"/>
        <w:tblLook w:firstColumn="1" w:firstRow="1" w:lastColumn="0" w:lastRow="0" w:noHBand="0" w:noVBand="1" w:val="04A0"/>
      </w:tblPr>
      <w:tblGrid>
        <w:gridCol w:w="2088"/>
        <w:gridCol w:w="7848"/>
      </w:tblGrid>
      <w:tr>
        <w:trPr>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AF3"/>
          </w:tcPr>
          <w:p>
            <w:pPr>
              <w:spacing w:after="40" w:line="247" w:lineRule="auto"/>
            </w:pPr>
            <w:r>
              <w:rPr>
                <w:b/>
                <w:sz w:val="20"/>
              </w:rPr>
              <w:t>Component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AF3"/>
          </w:tcPr>
          <w:p>
            <w:pPr>
              <w:spacing w:after="40" w:line="247" w:lineRule="auto"/>
            </w:pPr>
            <w:r>
              <w:rPr>
                <w:b/>
                <w:sz w:val="20"/>
              </w:rPr>
              <w:t>Purpose and requirement</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Python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3.10 or later for the installer; development checks used Python 3.12. Include tkinter for the graphical installer.</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pywebview</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Version 5 or 6 for managed desktop mode, with its Windows Python/.NET dependencies and an existing working WebView2 runtime.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Jinja2</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Version 3.1.6 or later below 4 for bounded chat-template rendering.</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regex</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Required tokenizer Unicode patterns; installer range starts at 2024.11.6.</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Native HIP toolchain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An existing compatible compiler and gfx1100 target are needed to build the Radeon native engine. No compiler or driver is bundled.</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Model GGUF</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An exact supported architecture, tokenizer, quantization and chat-template combination. Loaded weights alone do not prove chat readiness.</w:t>
            </w:r>
          </w:p>
        </w:tc>
      </w:tr>
    </w:tbl>
    <w:p/>
    <w:p>
      <w:r>
        <w:t>The installer reuses verified compatible dependencies or prepares an app-local runtime under its displayed plan. It does not replace global packages, drivers, PATH, registry or shared runtimes. See installer/dependencies.py for authoritative dependency ranges and the source-package handling needed by pywebview dependencies.</w:t>
      </w:r>
    </w:p>
    <w:p>
      <w:r>
        <w:t>A Python-only update cannot add features to an existing native executable. Candidate25 native features require a rebuild reporting runtime_revision nexus-conversation-v1. If a suitable compiler is absent, the installer preserves the old binary and reports the missing features.</w:t>
      </w:r>
    </w:p>
    <w:p>
      <w:r>
        <w:br w:type="page"/>
      </w:r>
    </w:p>
    <w:p>
      <w:pPr>
        <w:pStyle w:val="Heading1"/>
      </w:pPr>
      <w:r>
        <w:t>Conversation speed and diagnostics</w:t>
      </w:r>
    </w:p>
    <w:p>
      <w:pPr>
        <w:pStyle w:val="Heading2"/>
      </w:pPr>
      <w:r>
        <w:t>Use the actual backend settings</w:t>
      </w:r>
    </w:p>
    <w:tbl>
      <w:tblPr>
        <w:tblW w:type="auto" w:w="0"/>
        <w:jc w:val="center"/>
        <w:tblLayout w:type="fixed"/>
        <w:tblLook w:firstColumn="1" w:firstRow="1" w:lastColumn="0" w:lastRow="0" w:noHBand="0" w:noVBand="1" w:val="04A0"/>
      </w:tblPr>
      <w:tblGrid>
        <w:gridCol w:w="2088"/>
        <w:gridCol w:w="7848"/>
      </w:tblGrid>
      <w:tr>
        <w:trPr>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AF3"/>
          </w:tcPr>
          <w:p>
            <w:pPr>
              <w:spacing w:after="40" w:line="247" w:lineRule="auto"/>
            </w:pPr>
            <w:r>
              <w:rPr>
                <w:b/>
                <w:sz w:val="20"/>
              </w:rPr>
              <w:t>Setting</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DEAF3"/>
          </w:tcPr>
          <w:p>
            <w:pPr>
              <w:spacing w:after="40" w:line="247" w:lineRule="auto"/>
            </w:pPr>
            <w:r>
              <w:rPr>
                <w:b/>
                <w:sz w:val="20"/>
              </w:rPr>
              <w:t>Native Nexus.cpp in this candidate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Prompt evaluation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One token per step. A 512-token physical batch is not implemented natively.</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Flash Attention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Unavailable natively. Eligible browser Mistral graphs have a separate fused-attention path.</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KV storage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F32 natively. Browser graph storage and options are independent.</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Session reuse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Exact matching prefix within the same explicit session on supported dense engines. Recurrent Qwen35 uses a fresh state.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Sampling</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47" w:lineRule="auto"/>
            </w:pPr>
            <w:r>
              <w:rPr>
                <w:b w:val="0"/>
                <w:sz w:val="20"/>
              </w:rPr>
              <w:t>Temperature, top-k, top-p, min-p, repetition penalty, repetition window and seed. Native DRY is unavailable.</w:t>
            </w:r>
          </w:p>
        </w:tc>
      </w:tr>
      <w:t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Stop</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6F8FA"/>
          </w:tcPr>
          <w:p>
            <w:pPr>
              <w:spacing w:after="40" w:line="247" w:lineRule="auto"/>
            </w:pPr>
            <w:r>
              <w:rPr>
                <w:b w:val="0"/>
                <w:sz w:val="20"/>
              </w:rPr>
              <w:t>Retains model weights after cooperative acknowledgement. A five-second acknowledgement timeout allows termination.</w:t>
            </w:r>
          </w:p>
        </w:tc>
      </w:tr>
    </w:tbl>
    <w:p/>
    <w:p>
      <w:r>
        <w:t>Prefix reuse reduces repeated prompt work on subsequent turns. It does not remove cold loading or the first prompt’s computation. Measure prompt processing, decoding and time to first token separately. The physical GPU and model quantization determine practical results; this release does not promise immediate 14B responses or a particular tokens-per-second figure.</w:t>
      </w:r>
    </w:p>
    <w:p>
      <w:pPr>
        <w:pStyle w:val="Heading2"/>
      </w:pPr>
      <w:r>
        <w:t>Start a clean conversation</w:t>
      </w:r>
    </w:p>
    <w:p>
      <w:r>
        <w:t>New Chat rotates the native session identifier and clears active native and browser context. If a response is stopping, it waits briefly for the reset to finish. Past saved conversations are not supplied unless explicitly requested. Model weights stay resident when the updated worker acknowledges cancellation normally.</w:t>
      </w:r>
    </w:p>
    <w:p>
      <w:pPr>
        <w:pStyle w:val="Heading2"/>
      </w:pPr>
      <w:r>
        <w:t>Where to look when something fails</w:t>
      </w:r>
    </w:p>
    <w:p>
      <w:r>
        <w:t>Use Download diagnostics beside the backend selector for an allowlisted report of actual settings and numerical native-chat metrics. The report excludes chat text, model paths and credentials. Counters reset when the local server restarts.</w:t>
      </w:r>
    </w:p>
    <w:p>
      <w:pPr>
        <w:spacing w:line="240" w:lineRule="auto" w:after="160"/>
      </w:pPr>
      <w:r>
        <w:rPr>
          <w:rFonts w:ascii="Liberation Mono" w:hAnsi="Liberation Mono"/>
          <w:sz w:val="19"/>
        </w:rPr>
        <w:t>state/NexusAI.log</w:t>
        <w:br/>
        <w:t>state/NexusAI.server.jsonl</w:t>
        <w:br/>
        <w:t>state/NexusAI.server.jsonl.1 through .3</w:t>
      </w:r>
    </w:p>
    <w:p>
      <w:r>
        <w:t>The first file includes launcher activity. The dedicated JSONL file continues server logging and rotates at 8 MiB, retaining three backups. Raw error logs may contain paths or diagnostic details; review them before sharing. The /metrics endpoint requires the local request token and a trusted origin.</w:t>
      </w:r>
    </w:p>
    <w:p>
      <w:r>
        <w:t>Registry writes keep one validated prior generation. Recovery is logged and preserves the damaged file. If both generations are invalid, startup stops without silently wiping saved data. Restore a known workspace backup. Fresh install remains the deliberate way to begin with no active saved data.</w:t>
      </w:r>
    </w:p>
    <w:p>
      <w:r>
        <w:br w:type="page"/>
      </w:r>
    </w:p>
    <w:p>
      <w:pPr>
        <w:pStyle w:val="Heading1"/>
      </w:pPr>
      <w:r>
        <w:t>Validate before deployment</w:t>
      </w:r>
    </w:p>
    <w:p>
      <w:r>
        <w:t>The included regression suites cover CPU numerical references, tokenization, native control flow, HTTP behavior, installer logic and browser behavior in a DOM test environment. Current receipts are identified in RELEASE_VALIDATION.json. Older qualification folders describe historical sources and environments.</w:t>
      </w:r>
    </w:p>
    <w:p>
      <w:pPr>
        <w:pStyle w:val="Heading2"/>
      </w:pPr>
      <w:r>
        <w:t>Run the local release checks</w:t>
      </w:r>
    </w:p>
    <w:p>
      <w:r>
        <w:t>Use an isolated development environment with NumPy, Jinja2, regex, Node and an existing C++17 compiler. Browser DOM tests require jsdom 30 and fake-indexeddb 6. Build the CPU executable and C ABI shared library first; full commands and environment variables are in docs/RELEASE_REPRODUCTION.md. These test dependencies are not app-runtime requirements.</w:t>
      </w:r>
    </w:p>
    <w:p>
      <w:pPr>
        <w:spacing w:line="240" w:lineRule="auto" w:after="160"/>
      </w:pPr>
      <w:r>
        <w:rPr>
          <w:rFonts w:ascii="Liberation Mono" w:hAnsi="Liberation Mono"/>
          <w:sz w:val="19"/>
        </w:rPr>
        <w:t>python tools/release_check.py --output local-checks</w:t>
      </w:r>
    </w:p>
    <w:p>
      <w:r>
        <w:t>The output directory must be new. The runner checks packaged hashes and executes the local suites without installing software. Review skip reasons as well as exit codes. Source hashes detect changes relative to the package; they are not a publisher signature.</w:t>
      </w:r>
    </w:p>
    <w:p>
      <w:pPr>
        <w:pStyle w:val="Heading2"/>
      </w:pPr>
      <w:r>
        <w:t>Qualify your Windows Radeon models</w:t>
      </w:r>
    </w:p>
    <w:p>
      <w:r>
        <w:t>Build the updated native executable using your existing HIP toolchain, then run the command below from the installed app directory with its selected Python. Replace the GGUF path and use a new receipt filename for each exact model and configuration.</w:t>
      </w:r>
    </w:p>
    <w:p>
      <w:pPr>
        <w:spacing w:line="240" w:lineRule="auto" w:after="160"/>
      </w:pPr>
      <w:r>
        <w:rPr>
          <w:rFonts w:ascii="Liberation Mono" w:hAnsi="Liberation Mono"/>
          <w:sz w:val="19"/>
        </w:rPr>
        <w:t>python tools/qualify_model.py --model "D:\Models\model.gguf"</w:t>
        <w:br/>
        <w:t xml:space="preserve">  --backend hip --context 4096 --prompt-tokens 512</w:t>
        <w:br/>
        <w:t xml:space="preserve">  --decode-tokens 128 --output qualification-model.json</w:t>
      </w:r>
    </w:p>
    <w:p>
      <w:r>
        <w:t>Enter the command as one line. This explicit qualification run records model and binary hashes, load time, first-token latency, prompt/decode timings, cache parity, session isolation, fresh-chat reset and resident Stop. Hashing occurs for this diagnostic receipt; it is not an added normal-chat loading step.</w:t>
      </w:r>
    </w:p>
    <w:p>
      <w:pPr>
        <w:pStyle w:val="Heading2"/>
      </w:pPr>
      <w:r>
        <w:t>Outstanding enterprise gates</w:t>
      </w:r>
    </w:p>
    <w:p>
      <w:pPr>
        <w:pStyle w:val="ListBullet"/>
      </w:pPr>
      <w:r>
        <w:t>Compile and execute the current HIP source on Windows 11 and physical RX7900XT/XTX hardware. Test fresh installation, update, rollback, redirected Desktop and WebView2 failure handling.</w:t>
      </w:r>
    </w:p>
    <w:p>
      <w:pPr>
        <w:pStyle w:val="ListBullet"/>
      </w:pPr>
      <w:r>
        <w:t>Qualify exact Mistral 7B and Ministral 14B GGUF files. Review answer accuracy, long context and a requested 1000-word essay; set latency and throughput acceptance targets.</w:t>
      </w:r>
    </w:p>
    <w:p>
      <w:pPr>
        <w:pStyle w:val="ListBullet"/>
      </w:pPr>
      <w:r>
        <w:t>Run extended memory/VRAM, cancellation, crash and disk-pressure checks. Establish deployment ownership, incident handling, update policy and dependency governance.</w:t>
      </w:r>
    </w:p>
    <w:p>
      <w:pPr>
        <w:pStyle w:val="ListBullet"/>
      </w:pPr>
      <w:r>
        <w:t>Shared enterprise serving needs identity/authorization, per-user data isolation, secure remote transport, signing and organizational controls beyond this loopback desktop design.</w:t>
      </w:r>
    </w:p>
    <w:p>
      <w:r>
        <w:t>Native matrix-batch prefill, Flash Attention, reduced-precision KV, Vulkan, partial offload, GPU sampling and continuous batching remain development work. The continuation priorities are recorded in docs/RELEASE_REPRODUCTION.md. Qualification receipts never automatically mark an enterprise deployment approved.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AI installation and operating guide</dc:title>
  <dc:subject>Candidate25 hardening release</dc:subject>
  <dc:creator>Nexus AI</dc:creator>
  <cp:keywords>Nexus AI, installation, dependencies, operations, qualification</cp:keywords>
  <dc:description>generated by python-docx</dc:description>
  <cp:lastModifiedBy/>
  <cp:revision>1</cp:revision>
  <dcterms:created xsi:type="dcterms:W3CDTF">2013-12-23T23:15:00Z</dcterms:created>
  <dcterms:modified xsi:type="dcterms:W3CDTF">2013-12-23T23:15:00Z</dcterms:modified>
  <cp:category/>
</cp:coreProperties>
</file>