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Nexus Office implementation guide</w:t>
      </w:r>
    </w:p>
    <w:p>
      <w:pPr>
        <w:pageBreakBefore w:val="0"/>
      </w:pPr>
      <w:r>
        <w:t>Nexus Office 6.45.20 revision 3 | Handoff for Astra Dot | 24 October 2026</w:t>
      </w:r>
    </w:p>
    <w:p>
      <w:pPr>
        <w:pageBreakBefore w:val="0"/>
      </w:pPr>
      <w:r>
        <w:t>This revision modernizes the Home workspace and startup screen, and restores the aviation risk heat map as an editable chart. It retains the generated comparison photography and larger Paint layouts from revision 2. Supplied reference photographs remain excluded from the distributed application and asset packages.</w:t>
      </w:r>
    </w:p>
    <w:p>
      <w:pPr>
        <w:pStyle w:val="Heading1"/>
        <w:pageBreakBefore w:val="0"/>
      </w:pPr>
      <w:r>
        <w:t>Open the revised application</w:t>
      </w:r>
    </w:p>
    <w:p>
      <w:pPr>
        <w:pageBreakBefore w:val="0"/>
      </w:pPr>
      <w:r>
        <w:t>Extract the complete browser ZIP. Keep comparison_assets beside Nexus_Office_v6_45_20_Browser.html, then open the HTML in a current desktop Chromium browser. The complete source package also includes the isolated Python installer. It installs into its own version and checksum folder. Existing saved work is not automatically migrated between downloaded app files.</w:t>
      </w:r>
    </w:p>
    <w:p>
      <w:pPr>
        <w:pStyle w:val="Heading1"/>
        <w:pageBreakBefore w:val="0"/>
      </w:pPr>
      <w:r>
        <w:t>Edit the aviation example</w:t>
      </w:r>
    </w:p>
    <w:p>
      <w:pPr>
        <w:pageBreakBefore w:val="0"/>
      </w:pPr>
      <w:r>
        <w:t>Open Dashboard Studio and select Aviation example in its white toolbar. The template dialog preselects General Aviation. Select Use template. Replacing an existing dashboard asks you to save a copy first; cancelling preserves the current project.</w:t>
      </w:r>
    </w:p>
    <w:p>
      <w:pPr>
        <w:pageBreakBefore w:val="0"/>
      </w:pPr>
      <w:r>
        <w:t>The example retains all 14 source tables and 101 fictional records across six pages. It now has 23 visuals, including live risk heat maps on Fleet overview and Safety and risks, plus an editable risk-register table. One visual slot remains under the current limit of 24.</w:t>
      </w:r>
    </w:p>
    <w:p>
      <w:pPr>
        <w:pageBreakBefore w:val="0"/>
      </w:pPr>
      <w:r>
        <w:t>Choose a source table in the left pane or Workbook to edit cells. The heat map reads Impact (1-5), Likelihood (1-5) and Risk ID directly from the Aviation Risk Register. Select a cell to filter the page; use Undo or remove its filter chips to restore the view. Chart Edit controls expose titles, widths, source tables and field mappings.</w:t>
      </w:r>
    </w:p>
    <w:p>
      <w:pPr>
        <w:pageBreakBefore w:val="0"/>
      </w:pPr>
      <w:r>
        <w:t>Save HTML creates a portable editable authoring copy. Save the complete Office workspace to retain the dashboard with other Office content. The separate NEXUS_General_Aviation_Dashboard.html can also be opened through Office dashboard options and Open dashboard.</w:t>
      </w:r>
    </w:p>
    <w:p>
      <w:pPr>
        <w:pStyle w:val="Heading1"/>
        <w:pageBreakBefore w:val="0"/>
      </w:pPr>
      <w:r>
        <w:t>Customize larger photo posts</w:t>
      </w:r>
    </w:p>
    <w:p>
      <w:pPr>
        <w:pageBreakBefore w:val="0"/>
      </w:pPr>
      <w:r>
        <w:t>Open Paint, Design Studio, Photos, then Before &amp; after collections. Both 100 AI mockup pairs and 100 alternate layouts use generated photography. Select a card and Use this template. The photos occupy approximately 74 percent of the canvas, with compact headings and editable captions.</w:t>
      </w:r>
    </w:p>
    <w:p>
      <w:pPr>
        <w:pageBreakBefore w:val="0"/>
      </w:pPr>
      <w:r>
        <w:t>Before and after photos remain independent layers. Text, captions, branding and frames remain editable. Resize, rotate, recolour, change opacity, reorder layers, or add a custom watermark through the existing controls. Save a Paint project for later editing; exported JPEG and PNG pictures are flattened.</w:t>
      </w:r>
    </w:p>
    <w:p>
      <w:pPr>
        <w:pStyle w:val="Heading1"/>
        <w:pageBreakBefore/>
      </w:pPr>
      <w:r>
        <w:t>Aviation implementation</w:t>
      </w:r>
    </w:p>
    <w:p>
      <w:pPr>
        <w:pageBreakBefore w:val="0"/>
      </w:pPr>
      <w:r>
        <w:t>build_aviation_example.cjs preserves the original 14 tables and constructs six pages, 15 measures and 23 native visuals. The two risk matrices count register rows in all 25 likelihood-and-impact positions. Each cell shows risk IDs, a count and a score band. The score is calculated from its coordinates, independently of the stored Risk Score column.</w:t>
      </w:r>
    </w:p>
    <w:p>
      <w:pPr>
        <w:pageBreakBefore w:val="0"/>
      </w:pPr>
      <w:r>
        <w:t>apply_home_risk.py extends the native heatmap type with a risk mode in both the Office host validator and embedded Dashboard Studio. aviation-risk.js aggregates filtered source rows and renders accessible cell buttons. Original thresholds are Low 1-7, Medium 8-14, High 15-19 and Extreme 20-25. Invalid or blank coordinates are excluded with a visible warning. Empty results retain the labelled 5 by 5 grid.</w:t>
      </w:r>
    </w:p>
    <w:p>
      <w:pPr>
        <w:pageBreakBefore w:val="0"/>
      </w:pPr>
      <w:r>
        <w:t>The existing chart editor can switch between ordinary sum heat maps and risk matrices. Selection uses page filters; source editing, Undo, permissions and authoring exports use the existing engine. Home reuses all six original launch controls, with larger vector previews, clearer spacing and responsive styling. The white startup screen uses real loading stages, retains error and Retry handling, and matches Home.</w:t>
      </w:r>
    </w:p>
    <w:p>
      <w:pPr>
        <w:pStyle w:val="Heading1"/>
        <w:pageBreakBefore w:val="0"/>
      </w:pPr>
      <w:r>
        <w:t>Comparison implementation</w:t>
      </w:r>
    </w:p>
    <w:p>
      <w:pPr>
        <w:pageBreakBefore w:val="0"/>
      </w:pPr>
      <w:r>
        <w:t>comparison-catalog.js provides 200 layouts from 100 generated pairs. Each pair has a primary and an alternate composition. The old supplied-photo template identifiers now resolve to generated layouts so gallery references remain recognizable. The collection contains no original-photo entries.</w:t>
      </w:r>
    </w:p>
    <w:p>
      <w:pPr>
        <w:pageBreakBefore w:val="0"/>
      </w:pPr>
      <w:r>
        <w:t>Photos fill their frames with proportional cover cropping rather than shrinking inside a large empty area. The native canvas crop and SVG gallery preview use the same centre alignment. A tall post uses a stacked arrangement and a very wide post uses a side-by-side arrangement. On square and ordinary portrait posts, the selected template arrangement is retained.</w:t>
      </w:r>
    </w:p>
    <w:p>
      <w:pPr>
        <w:pageBreakBefore w:val="0"/>
      </w:pPr>
      <w:r>
        <w:t>comparison-library.js loads the ten offline companion scripts or imported .nxcomparisons packs. It prepares independent PNG image layers for the existing Paint validator. Decoded pairs and crop results have bounded caches. If companion files are missing, the UI offers photo import. Imported packs persist in IndexedDB when browser storage is available.</w:t>
      </w:r>
    </w:p>
    <w:p>
      <w:pPr>
        <w:pageBreakBefore w:val="0"/>
      </w:pPr>
      <w:r>
        <w:t>pro-templates.js applies the same large-photo geometry to the 21 earlier comparison designs. The earlier brow stock entries and reusable mockup pack now contain generated photography. The two main collections supply 200 layouts, and the complete application still contains 629 templates, 2720 elements and 19 embedded font families.</w:t>
      </w:r>
    </w:p>
    <w:p>
      <w:pPr>
        <w:pStyle w:val="Heading1"/>
        <w:pageBreakBefore w:val="0"/>
      </w:pPr>
      <w:r>
        <w:t>Assets and rebuild</w:t>
      </w:r>
    </w:p>
    <w:p>
      <w:pPr>
        <w:pageBreakBefore w:val="0"/>
      </w:pPr>
      <w:r>
        <w:t>The release excludes supplied screenshots, reference photo packs and supplied-photo exports. It includes generated runtime packs, 200 flattened post layouts, the reusable generated mockup pack, generation prompts and an inventory. Untouched generated PNG masters are in the separate picture archive under Generated_PNG_Masters.</w:t>
      </w:r>
    </w:p>
    <w:p>
      <w:pPr>
        <w:pageBreakBefore w:val="0"/>
      </w:pPr>
      <w:r>
        <w:t>The packaged final source rebuilds offline with build.py, followed by browser_tools/build_trial.py for the single-file browser app. The latter requires boot.html and loader.js in the same tools folder. apply_home_risk.py applies this revision to a clean revision 2 source tree. To regenerate the unchanged photo packs, copy PNG masters into design_studio_tools/assets/comparisons/generated and use prepare_comparison_assets.cjs.</w:t>
      </w:r>
    </w:p>
    <w:p>
      <w:pPr>
        <w:pStyle w:val="Heading1"/>
        <w:pageBreakBefore/>
      </w:pPr>
      <w:r>
        <w:t>Validation and release boundaries</w:t>
      </w:r>
    </w:p>
    <w:p>
      <w:pPr>
        <w:pageBreakBefore w:val="0"/>
      </w:pPr>
      <w:r>
        <w:t>Automated checks run in isolated Chromium sessions on Linux. They exercise the actual application and exported files. RELEASE_VALIDATION.json records the included test receipts. Windows and Radeon hardware performance are outside this validation scope.</w:t>
      </w:r>
    </w:p>
    <w:p>
      <w:pPr>
        <w:pStyle w:val="ListBullet"/>
        <w:pageBreakBefore w:val="0"/>
      </w:pPr>
      <w:r>
        <w:t>Home checks cover all six launch controls, keyboard access, Open, Compatibility, Settings and responsive layouts from 320 pixels through 3840 by 2160.</w:t>
      </w:r>
    </w:p>
    <w:p>
      <w:pPr>
        <w:pStyle w:val="ListBullet"/>
        <w:pageBreakBefore w:val="0"/>
      </w:pPr>
      <w:r>
        <w:t>Heat-map checks cover all 25 cells, original colour thresholds, repeated coordinates, source edits, Undo and Redo, keyboard filtering, chart editing, empty results and invalid data.</w:t>
      </w:r>
    </w:p>
    <w:p>
      <w:pPr>
        <w:pStyle w:val="ListBullet"/>
        <w:pageBreakBefore w:val="0"/>
      </w:pPr>
      <w:r>
        <w:t>The aviation example retains 14 tables and 101 records across six pages. Ordinary sum heat maps, cancelled replacement, Office navigation, snapshots and independent editable HTML remain functional.</w:t>
      </w:r>
    </w:p>
    <w:p>
      <w:pPr>
        <w:pStyle w:val="ListBullet"/>
        <w:pageBreakBefore w:val="0"/>
      </w:pPr>
      <w:r>
        <w:t>The comparison audit covers 200 layouts across nine sizes, with two separate photos, native text and at least 73 percent image coverage.</w:t>
      </w:r>
    </w:p>
    <w:p>
      <w:pPr>
        <w:pStyle w:val="ListBullet"/>
        <w:pageBreakBefore w:val="0"/>
      </w:pPr>
      <w:r>
        <w:t>Paint workflow checks cover partial text editing, independent photo transforms, Undo, Save and Open, raster export, portable photo import and reload persistence.</w:t>
      </w:r>
    </w:p>
    <w:p>
      <w:pPr>
        <w:pStyle w:val="ListBullet"/>
        <w:pageBreakBefore w:val="0"/>
      </w:pPr>
      <w:r>
        <w:t>Professional template checks cover retained designs, embedded fonts, vector elements, watermarks, reusable objects and asset import.</w:t>
      </w:r>
    </w:p>
    <w:p>
      <w:pPr>
        <w:pStyle w:val="ListBullet"/>
        <w:pageBreakBefore w:val="0"/>
      </w:pPr>
      <w:r>
        <w:t>Native source checks, browser loader verification and a fresh package extraction validate the distributed build.</w:t>
      </w:r>
    </w:p>
    <w:p>
      <w:pPr>
        <w:pStyle w:val="Heading1"/>
        <w:pageBreakBefore w:val="0"/>
      </w:pPr>
      <w:r>
        <w:t>Important editing details</w:t>
      </w:r>
    </w:p>
    <w:p>
      <w:pPr>
        <w:pageBreakBefore w:val="0"/>
      </w:pPr>
      <w:r>
        <w:t>Cover cropping makes the photographs larger without stretching their proportions. Some outer image detail is cropped to fit each post size. The full generated pairs remain in the photo packs and picture archive. The source pairs are 1536 by 1024 pixels; a 4K canvas does not add new photographic detail.</w:t>
      </w:r>
    </w:p>
    <w:p>
      <w:pPr>
        <w:pageBreakBefore w:val="0"/>
      </w:pPr>
      <w:r>
        <w:t>Before and after imagery remains labelled as an illustrative AI mockup. Aviation data and dates are fictional sample values. Stored risk scores remain editable source values; heat-map colour bands recalculate directly from impact and likelihood. The matrix is a 5 by 5 example using the original thresholds.</w:t>
      </w:r>
    </w:p>
    <w:p>
      <w:pPr>
        <w:pageBreakBefore w:val="0"/>
      </w:pPr>
      <w:r>
        <w:t>Save projects from older app copies before changing releases. Previously saved Paint projects embed their own photos and are not rewritten by installing this update. Personal imported assets remain under the user’s control. The replacement template collection and newly exported posts use generated images only.</w:t>
      </w:r>
    </w:p>
    <w:p>
      <w:pPr>
        <w:pStyle w:val="Heading1"/>
        <w:pageBreakBefore w:val="0"/>
      </w:pPr>
      <w:r>
        <w:t>Files to distribute together</w:t>
      </w:r>
    </w:p>
    <w:p>
      <w:pPr>
        <w:pStyle w:val="ListBullet"/>
        <w:pageBreakBefore w:val="0"/>
      </w:pPr>
      <w:r>
        <w:t>Complete browser ZIP: Office HTML, comparison_assets, editable aviation example, guide and existing licensing notices.</w:t>
      </w:r>
    </w:p>
    <w:p>
      <w:pPr>
        <w:pStyle w:val="ListBullet"/>
        <w:pageBreakBefore w:val="0"/>
      </w:pPr>
      <w:r>
        <w:t>Full source ZIP: the same browser application plus checksummed installer parts, final expanded source, build tools, examples and validation receipts.</w:t>
      </w:r>
    </w:p>
    <w:p>
      <w:pPr>
        <w:pStyle w:val="ListBullet"/>
        <w:pageBreakBefore w:val="0"/>
      </w:pPr>
      <w:r>
        <w:t>Picture ZIP: 200 updated post exports, 100 generated comparison JPEGs, generated PNG masters, prompts and inventory.</w:t>
      </w:r>
    </w:p>
    <w:p>
      <w:pPr>
        <w:pStyle w:val="ListBullet"/>
        <w:pageBreakBefore w:val="0"/>
      </w:pPr>
      <w:r>
        <w:t>Generated asset ZIP: reusable before and after image layers and comparison packs, with original reference material excluded.</w:t>
      </w:r>
    </w:p>
    <w:p>
      <w:pPr>
        <w:pageBreakBefore w:val="0"/>
      </w:pPr>
      <w:r>
        <w:t>Keep every numbered installer part with installer.py and package_manifest.json. Every distributed component remains below 20000000 bytes; the combined archives and expanded source are larger. Existing licences and evaluation permissions remain in force.</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Office implementation guide</dc:title>
  <dc:subject>Nexus Office 6.45.20 revision 2</dc:subject>
  <dc:creator>Nexus Emerging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