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Random Initialization Foundry Setup Guide</w:t>
      </w:r>
    </w:p>
    <w:p>
      <w:r>
        <w:t>Install the prerequisites below, extract the complete package, then run Start_Nexus.py. This guide covers Windows 11 graphics preferences, the recorded Edge settings, tray behavior and repeatable benchmark checks.</w:t>
      </w:r>
    </w:p>
    <w:p>
      <w:r>
        <w:t>Set Target training tokens this session directly below Model size in Guided setup. Foundry defaults to streaming preparation: it prepares the first batches from a bounded sample, then tokenizes more data as training needs it. A complete disk token cache is not required before starting. See Streaming training for setup, validation and checkpoint details.</w:t>
      </w:r>
    </w:p>
    <w:p>
      <w:pPr>
        <w:pStyle w:val="Heading1"/>
      </w:pPr>
      <w:r>
        <w:t>Downloads to install yourself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vAlign w:val="center"/>
            <w:shd w:fill="DCE8F0"/>
            <w:tcMar>
              <w:top w:w="95" w:type="dxa"/>
              <w:left w:w="95" w:type="dxa"/>
              <w:bottom w:w="95" w:type="dxa"/>
              <w:right w:w="95" w:type="dxa"/>
            </w:tcMar>
          </w:tcPr>
          <w:p>
            <w:pPr>
              <w:spacing w:after="40" w:before="40"/>
            </w:pPr>
            <w:r>
              <w:rPr>
                <w:b/>
                <w:sz w:val="20"/>
              </w:rPr>
              <w:t>Requirement and download</w:t>
            </w:r>
          </w:p>
        </w:tc>
        <w:tc>
          <w:tcPr>
            <w:tcW w:type="dxa" w:w="7848"/>
            <w:vAlign w:val="center"/>
            <w:shd w:fill="DCE8F0"/>
            <w:tcMar>
              <w:top w:w="95" w:type="dxa"/>
              <w:left w:w="95" w:type="dxa"/>
              <w:bottom w:w="95" w:type="dxa"/>
              <w:right w:w="95" w:type="dxa"/>
            </w:tcMar>
          </w:tcPr>
          <w:p>
            <w:pPr>
              <w:spacing w:after="40" w:before="40"/>
            </w:pPr>
            <w:r>
              <w:rPr>
                <w:b/>
                <w:sz w:val="20"/>
              </w:rPr>
              <w:t>When it is needed</w:t>
            </w:r>
          </w:p>
        </w:tc>
      </w:tr>
      <w:tr>
        <w:tc>
          <w:tcPr>
            <w:tcW w:type="dxa" w:w="2376"/>
            <w:vAlign w:val="center"/>
            <w:shd w:fill="FFFFFF"/>
            <w:tcMar>
              <w:top w:w="95" w:type="dxa"/>
              <w:left w:w="95" w:type="dxa"/>
              <w:bottom w:w="95" w:type="dxa"/>
              <w:right w:w="95" w:type="dxa"/>
            </w:tcMar>
          </w:tcPr>
          <w:p>
            <w:r/>
            <w:hyperlink r:id="rId11">
              <w:r>
                <w:rPr>
                  <w:color w:val="145DA0"/>
                  <w:u w:val="single"/>
                </w:rPr>
                <w:t>Python x64</w:t>
              </w:r>
            </w:hyperlink>
          </w:p>
        </w:tc>
        <w:tc>
          <w:tcPr>
            <w:tcW w:type="dxa" w:w="7848"/>
            <w:vAlign w:val="center"/>
            <w:shd w:fill="FFFFFF"/>
            <w:tcMar>
              <w:top w:w="95" w:type="dxa"/>
              <w:left w:w="95" w:type="dxa"/>
              <w:bottom w:w="95" w:type="dxa"/>
              <w:right w:w="95" w:type="dxa"/>
            </w:tcMar>
          </w:tcPr>
          <w:p>
            <w:pPr>
              <w:spacing w:after="40" w:before="40"/>
            </w:pPr>
            <w:r>
              <w:rPr>
                <w:b w:val="0"/>
                <w:sz w:val="20"/>
              </w:rPr>
              <w:t>Standard CPython 3.11–3.14; 3.12 is the launcher recommendation. Include pip and the Python launcher. Python 3.15 and free threaded builds are rejected.</w:t>
            </w:r>
          </w:p>
        </w:tc>
      </w:tr>
      <w:tr>
        <w:tc>
          <w:tcPr>
            <w:tcW w:type="dxa" w:w="2376"/>
            <w:vAlign w:val="center"/>
            <w:shd w:fill="F4F7FA"/>
            <w:tcMar>
              <w:top w:w="95" w:type="dxa"/>
              <w:left w:w="95" w:type="dxa"/>
              <w:bottom w:w="95" w:type="dxa"/>
              <w:right w:w="95" w:type="dxa"/>
            </w:tcMar>
          </w:tcPr>
          <w:p>
            <w:r/>
            <w:hyperlink r:id="rId12">
              <w:r>
                <w:rPr>
                  <w:color w:val="145DA0"/>
                  <w:u w:val="single"/>
                </w:rPr>
                <w:t>Microsoft Edge</w:t>
              </w:r>
            </w:hyperlink>
          </w:p>
        </w:tc>
        <w:tc>
          <w:tcPr>
            <w:tcW w:type="dxa" w:w="7848"/>
            <w:vAlign w:val="center"/>
            <w:shd w:fill="F4F7FA"/>
            <w:tcMar>
              <w:top w:w="95" w:type="dxa"/>
              <w:left w:w="95" w:type="dxa"/>
              <w:bottom w:w="95" w:type="dxa"/>
              <w:right w:w="95" w:type="dxa"/>
            </w:tcMar>
          </w:tcPr>
          <w:p>
            <w:pPr>
              <w:spacing w:after="40" w:before="40"/>
            </w:pPr>
            <w:r>
              <w:rPr>
                <w:b w:val="0"/>
                <w:sz w:val="20"/>
              </w:rPr>
              <w:t>For standalone browser use and edge://flags. The owned desktop window uses the separate WebView2 Runtime.</w:t>
            </w:r>
          </w:p>
        </w:tc>
      </w:tr>
      <w:tr>
        <w:tc>
          <w:tcPr>
            <w:tcW w:type="dxa" w:w="2376"/>
            <w:vAlign w:val="center"/>
            <w:shd w:fill="FFFFFF"/>
            <w:tcMar>
              <w:top w:w="95" w:type="dxa"/>
              <w:left w:w="95" w:type="dxa"/>
              <w:bottom w:w="95" w:type="dxa"/>
              <w:right w:w="95" w:type="dxa"/>
            </w:tcMar>
          </w:tcPr>
          <w:p>
            <w:r/>
            <w:hyperlink r:id="rId13">
              <w:r>
                <w:rPr>
                  <w:color w:val="145DA0"/>
                  <w:u w:val="single"/>
                </w:rPr>
                <w:t>WebView2 Runtime</w:t>
              </w:r>
            </w:hyperlink>
          </w:p>
        </w:tc>
        <w:tc>
          <w:tcPr>
            <w:tcW w:type="dxa" w:w="7848"/>
            <w:vAlign w:val="center"/>
            <w:shd w:fill="FFFFFF"/>
            <w:tcMar>
              <w:top w:w="95" w:type="dxa"/>
              <w:left w:w="95" w:type="dxa"/>
              <w:bottom w:w="95" w:type="dxa"/>
              <w:right w:w="95" w:type="dxa"/>
            </w:tcMar>
          </w:tcPr>
          <w:p>
            <w:pPr>
              <w:spacing w:after="40" w:before="40"/>
            </w:pPr>
            <w:r>
              <w:rPr>
                <w:b w:val="0"/>
                <w:sz w:val="20"/>
              </w:rPr>
              <w:t>Choose Evergreen Standalone Installer, x64. Required for the Windows desktop program and server status windows.</w:t>
            </w:r>
          </w:p>
        </w:tc>
      </w:tr>
      <w:tr>
        <w:tc>
          <w:tcPr>
            <w:tcW w:type="dxa" w:w="2376"/>
            <w:vAlign w:val="center"/>
            <w:shd w:fill="F4F7FA"/>
            <w:tcMar>
              <w:top w:w="95" w:type="dxa"/>
              <w:left w:w="95" w:type="dxa"/>
              <w:bottom w:w="95" w:type="dxa"/>
              <w:right w:w="95" w:type="dxa"/>
            </w:tcMar>
          </w:tcPr>
          <w:p>
            <w:r/>
            <w:hyperlink r:id="rId14">
              <w:r>
                <w:rPr>
                  <w:color w:val="145DA0"/>
                  <w:u w:val="single"/>
                </w:rPr>
                <w:t>AMD ROCm driver</w:t>
              </w:r>
            </w:hyperlink>
          </w:p>
        </w:tc>
        <w:tc>
          <w:tcPr>
            <w:tcW w:type="dxa" w:w="7848"/>
            <w:vAlign w:val="center"/>
            <w:shd w:fill="F4F7FA"/>
            <w:tcMar>
              <w:top w:w="95" w:type="dxa"/>
              <w:left w:w="95" w:type="dxa"/>
              <w:bottom w:w="95" w:type="dxa"/>
              <w:right w:w="95" w:type="dxa"/>
            </w:tcMar>
          </w:tcPr>
          <w:p>
            <w:pPr>
              <w:spacing w:after="40" w:before="40"/>
            </w:pPr>
            <w:r>
              <w:rPr>
                <w:b w:val="0"/>
                <w:sz w:val="20"/>
              </w:rPr>
              <w:t>For the pinned native stack: Adrenalin 26.10.41.05, driver store 32.0.31041.5005. Restart Windows after installation.</w:t>
            </w:r>
          </w:p>
        </w:tc>
      </w:tr>
      <w:tr>
        <w:tc>
          <w:tcPr>
            <w:tcW w:type="dxa" w:w="2376"/>
            <w:vAlign w:val="center"/>
            <w:shd w:fill="FFFFFF"/>
            <w:tcMar>
              <w:top w:w="95" w:type="dxa"/>
              <w:left w:w="95" w:type="dxa"/>
              <w:bottom w:w="95" w:type="dxa"/>
              <w:right w:w="95" w:type="dxa"/>
            </w:tcMar>
          </w:tcPr>
          <w:p>
            <w:r/>
            <w:hyperlink r:id="rId15">
              <w:r>
                <w:rPr>
                  <w:color w:val="145DA0"/>
                  <w:u w:val="single"/>
                </w:rPr>
                <w:t>Visual C++ Runtime</w:t>
              </w:r>
            </w:hyperlink>
          </w:p>
        </w:tc>
        <w:tc>
          <w:tcPr>
            <w:tcW w:type="dxa" w:w="7848"/>
            <w:vAlign w:val="center"/>
            <w:shd w:fill="FFFFFF"/>
            <w:tcMar>
              <w:top w:w="95" w:type="dxa"/>
              <w:left w:w="95" w:type="dxa"/>
              <w:bottom w:w="95" w:type="dxa"/>
              <w:right w:w="95" w:type="dxa"/>
            </w:tcMar>
          </w:tcPr>
          <w:p>
            <w:pPr>
              <w:spacing w:after="40" w:before="40"/>
            </w:pPr>
            <w:r>
              <w:rPr>
                <w:b w:val="0"/>
                <w:sz w:val="20"/>
              </w:rPr>
              <w:t>Install the x64 v14 redistributable if missing or if native DLL loading fails. This link downloads Microsoft’s installer.</w:t>
            </w:r>
          </w:p>
        </w:tc>
      </w:tr>
      <w:tr>
        <w:tc>
          <w:tcPr>
            <w:tcW w:type="dxa" w:w="2376"/>
            <w:vAlign w:val="center"/>
            <w:shd w:fill="F4F7FA"/>
            <w:tcMar>
              <w:top w:w="95" w:type="dxa"/>
              <w:left w:w="95" w:type="dxa"/>
              <w:bottom w:w="95" w:type="dxa"/>
              <w:right w:w="95" w:type="dxa"/>
            </w:tcMar>
          </w:tcPr>
          <w:p>
            <w:r/>
            <w:hyperlink r:id="rId16">
              <w:r>
                <w:rPr>
                  <w:color w:val="145DA0"/>
                  <w:u w:val="single"/>
                </w:rPr>
                <w:t>NET Framework</w:t>
              </w:r>
            </w:hyperlink>
          </w:p>
        </w:tc>
        <w:tc>
          <w:tcPr>
            <w:tcW w:type="dxa" w:w="7848"/>
            <w:vAlign w:val="center"/>
            <w:shd w:fill="F4F7FA"/>
            <w:tcMar>
              <w:top w:w="95" w:type="dxa"/>
              <w:left w:w="95" w:type="dxa"/>
              <w:bottom w:w="95" w:type="dxa"/>
              <w:right w:w="95" w:type="dxa"/>
            </w:tcMar>
          </w:tcPr>
          <w:p>
            <w:pPr>
              <w:spacing w:after="40" w:before="40"/>
            </w:pPr>
            <w:r>
              <w:rPr>
                <w:b w:val="0"/>
                <w:sz w:val="20"/>
              </w:rPr>
              <w:t>Windows 11 normally includes the required Framework. Use the Microsoft page only if the desktop host reports missing CLR or Framework components.</w:t>
            </w:r>
          </w:p>
        </w:tc>
      </w:tr>
      <w:tr>
        <w:tc>
          <w:tcPr>
            <w:tcW w:type="dxa" w:w="2376"/>
            <w:vAlign w:val="center"/>
            <w:shd w:fill="FFFFFF"/>
            <w:tcMar>
              <w:top w:w="95" w:type="dxa"/>
              <w:left w:w="95" w:type="dxa"/>
              <w:bottom w:w="95" w:type="dxa"/>
              <w:right w:w="95" w:type="dxa"/>
            </w:tcMar>
          </w:tcPr>
          <w:p>
            <w:r/>
            <w:hyperlink r:id="rId17">
              <w:r>
                <w:rPr>
                  <w:color w:val="145DA0"/>
                  <w:u w:val="single"/>
                </w:rPr>
                <w:t>C++ Build Tools</w:t>
              </w:r>
            </w:hyperlink>
          </w:p>
        </w:tc>
        <w:tc>
          <w:tcPr>
            <w:tcW w:type="dxa" w:w="7848"/>
            <w:vAlign w:val="center"/>
            <w:shd w:fill="FFFFFF"/>
            <w:tcMar>
              <w:top w:w="95" w:type="dxa"/>
              <w:left w:w="95" w:type="dxa"/>
              <w:bottom w:w="95" w:type="dxa"/>
              <w:right w:w="95" w:type="dxa"/>
            </w:tcMar>
          </w:tcPr>
          <w:p>
            <w:pPr>
              <w:spacing w:after="40" w:before="40"/>
            </w:pPr>
            <w:r>
              <w:rPr>
                <w:b w:val="0"/>
                <w:sz w:val="20"/>
              </w:rPr>
              <w:t>Optional, only if torch.compile reports missing C++ tools. In Visual Studio downloads, select Build Tools and the C++ desktop workload with Windows SDK. Eager mode does not need this.</w:t>
            </w:r>
          </w:p>
        </w:tc>
      </w:tr>
    </w:tbl>
    <w:p>
      <w:pPr>
        <w:spacing w:before="140"/>
      </w:pPr>
      <w:r>
        <w:t>The launcher installs managed Python packages, including PyTorch, ROCm packages, server dependencies and pywebview. It does not install Python, Edge, WebView2, GPU drivers or Windows components. The pinned AMD installer requires Windows 11 25H2; run winver to check. A previously installed runtime is reused only after its GPU probe passes.</w:t>
      </w:r>
    </w:p>
    <w:p>
      <w:r>
        <w:t xml:space="preserve">Compatibility reference: </w:t>
      </w:r>
      <w:hyperlink r:id="rId18">
        <w:r>
          <w:rPr>
            <w:color w:val="145DA0"/>
            <w:u w:val="single"/>
          </w:rPr>
          <w:t>AMD ROCm 10.1 compatibility matrix</w:t>
        </w:r>
      </w:hyperlink>
    </w:p>
    <w:p>
      <w:r>
        <w:br w:type="page"/>
      </w:r>
    </w:p>
    <w:p>
      <w:pPr>
        <w:pStyle w:val="Heading1"/>
      </w:pPr>
      <w:r>
        <w:t>Match the recorded Edge settings</w:t>
      </w:r>
    </w:p>
    <w:p>
      <w:r>
        <w:t>These values were recorded on 18 October 2026; they are not a fresh inspection of your PC. If an Edge update removes a flag, record it as unavailable instead of substituting another flag.</w:t>
      </w:r>
    </w:p>
    <w:p>
      <w:r>
        <w:t>1. Open Microsoft Edge and enter edge://flags. Search for each flag below, or copy its full internal address from Word into Edge.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944"/>
      </w:tblGrid>
      <w:tr>
        <w:trPr>
          <w:tblHeader/>
        </w:trPr>
        <w:tc>
          <w:tcPr>
            <w:tcW w:type="dxa" w:w="8280"/>
            <w:vAlign w:val="center"/>
            <w:shd w:fill="DCE8F0"/>
            <w:tcMar>
              <w:top w:w="95" w:type="dxa"/>
              <w:left w:w="95" w:type="dxa"/>
              <w:bottom w:w="95" w:type="dxa"/>
              <w:right w:w="95" w:type="dxa"/>
            </w:tcMar>
          </w:tcPr>
          <w:p>
            <w:pPr>
              <w:spacing w:after="40" w:before="40"/>
            </w:pPr>
            <w:r>
              <w:rPr>
                <w:b/>
                <w:sz w:val="20"/>
              </w:rPr>
              <w:t>Flag and internal address</w:t>
            </w:r>
          </w:p>
        </w:tc>
        <w:tc>
          <w:tcPr>
            <w:tcW w:type="dxa" w:w="1944"/>
            <w:vAlign w:val="center"/>
            <w:shd w:fill="DCE8F0"/>
            <w:tcMar>
              <w:top w:w="95" w:type="dxa"/>
              <w:left w:w="95" w:type="dxa"/>
              <w:bottom w:w="95" w:type="dxa"/>
              <w:right w:w="95" w:type="dxa"/>
            </w:tcMar>
          </w:tcPr>
          <w:p>
            <w:pPr>
              <w:spacing w:after="40" w:before="40"/>
            </w:pPr>
            <w:r>
              <w:rPr>
                <w:b/>
                <w:sz w:val="20"/>
              </w:rPr>
              <w:t>Value</w:t>
            </w:r>
          </w:p>
        </w:tc>
      </w:tr>
      <w:tr>
        <w:tc>
          <w:tcPr>
            <w:tcW w:type="dxa" w:w="8280"/>
            <w:vAlign w:val="center"/>
            <w:shd w:fill="FFFFFF"/>
            <w:tcMar>
              <w:top w:w="95" w:type="dxa"/>
              <w:left w:w="95" w:type="dxa"/>
              <w:bottom w:w="95" w:type="dxa"/>
              <w:right w:w="95" w:type="dxa"/>
            </w:tcMar>
          </w:tcPr>
          <w:p>
            <w:r>
              <w:t>Override software rendering list</w:t>
            </w:r>
          </w:p>
          <w:p>
            <w:pPr>
              <w:spacing w:after="0" w:before="0"/>
            </w:pPr>
            <w:hyperlink r:id="rId19">
              <w:r>
                <w:rPr>
                  <w:color w:val="145DA0"/>
                  <w:u w:val="single"/>
                </w:rPr>
                <w:t>edge://flags/#ignore-gpu-blocklist</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Experimental JavaScript</w:t>
            </w:r>
          </w:p>
          <w:p>
            <w:pPr>
              <w:spacing w:after="0" w:before="0"/>
            </w:pPr>
            <w:hyperlink r:id="rId20">
              <w:r>
                <w:rPr>
                  <w:color w:val="145DA0"/>
                  <w:u w:val="single"/>
                </w:rPr>
                <w:t>edge://flags/#enable-javascript-harmony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Experimental Web Platform features</w:t>
            </w:r>
          </w:p>
          <w:p>
            <w:pPr>
              <w:spacing w:after="0" w:before="0"/>
            </w:pPr>
            <w:hyperlink r:id="rId21">
              <w:r>
                <w:rPr>
                  <w:color w:val="145DA0"/>
                  <w:u w:val="single"/>
                </w:rPr>
                <w:t>edge://flags/#enable-experimental-web-platform-features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Zero copy rasterizer</w:t>
            </w:r>
          </w:p>
          <w:p>
            <w:pPr>
              <w:spacing w:after="0" w:before="0"/>
            </w:pPr>
            <w:hyperlink r:id="rId22">
              <w:r>
                <w:rPr>
                  <w:color w:val="145DA0"/>
                  <w:u w:val="single"/>
                </w:rPr>
                <w:t>edge://flags/#enable-zero-copy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Accelerated 2D canvas</w:t>
            </w:r>
          </w:p>
          <w:p>
            <w:pPr>
              <w:spacing w:after="0" w:before="0"/>
            </w:pPr>
            <w:hyperlink r:id="rId23">
              <w:r>
                <w:rPr>
                  <w:color w:val="145DA0"/>
                  <w:u w:val="single"/>
                </w:rPr>
                <w:t>edge://flags/#disable-accelerated-2d-canvas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Isolated Web Apps</w:t>
            </w:r>
          </w:p>
          <w:p>
            <w:pPr>
              <w:spacing w:after="0" w:before="0"/>
            </w:pPr>
            <w:hyperlink r:id="rId24">
              <w:r>
                <w:rPr>
                  <w:color w:val="145DA0"/>
                  <w:u w:val="single"/>
                </w:rPr>
                <w:t>edge://flags/#enable-isolated-web-apps</w:t>
              </w:r>
            </w:hyperlink>
          </w:p>
        </w:tc>
        <w:tc>
          <w:tcPr>
            <w:tcW w:type="dxa" w:w="1944"/>
            <w:vAlign w:val="center"/>
            <w:shd w:fill="F4F7FA"/>
            <w:tcMar>
              <w:top w:w="95" w:type="dxa"/>
              <w:left w:w="95" w:type="dxa"/>
              <w:bottom w:w="95" w:type="dxa"/>
              <w:right w:w="95" w:type="dxa"/>
            </w:tcMar>
          </w:tcPr>
          <w:p>
            <w:pPr>
              <w:spacing w:after="40" w:before="40"/>
            </w:pPr>
            <w:r>
              <w:rPr>
                <w:b w:val="0"/>
                <w:sz w:val="20"/>
              </w:rPr>
              <w:t>Default</w:t>
            </w:r>
          </w:p>
        </w:tc>
      </w:tr>
      <w:tr>
        <w:tc>
          <w:tcPr>
            <w:tcW w:type="dxa" w:w="8280"/>
            <w:vAlign w:val="center"/>
            <w:shd w:fill="FFFFFF"/>
            <w:tcMar>
              <w:top w:w="95" w:type="dxa"/>
              <w:left w:w="95" w:type="dxa"/>
              <w:bottom w:w="95" w:type="dxa"/>
              <w:right w:w="95" w:type="dxa"/>
            </w:tcMar>
          </w:tcPr>
          <w:p>
            <w:r>
              <w:t>Unsafe WebGPU</w:t>
            </w:r>
          </w:p>
          <w:p>
            <w:pPr>
              <w:spacing w:after="0" w:before="0"/>
            </w:pPr>
            <w:hyperlink r:id="rId25">
              <w:r>
                <w:rPr>
                  <w:color w:val="145DA0"/>
                  <w:u w:val="single"/>
                </w:rPr>
                <w:t>edge://flags/#enable-unsafe-webgpu</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bl>
    <w:p>
      <w:pPr>
        <w:spacing w:before="140"/>
      </w:pPr>
      <w:r>
        <w:t>2. Select each value, then Restart or Relaunch. Accelerated 2D canvas is recorded as Enabled despite the disable prefix in its identifier.</w:t>
      </w:r>
    </w:p>
    <w:p>
      <w:r>
        <w:t>3. Open edge://settings/system and turn on Use graphics acceleration when available. Relaunch Edge. Open edge://gpu and check the WebGPU adapter and reported feature status; the flag settings alone do not verify GPU execution.</w:t>
      </w:r>
    </w:p>
    <w:p>
      <w:pPr>
        <w:pStyle w:val="Heading1"/>
      </w:pPr>
      <w:r>
        <w:t>Desktop windows use WebView2</w:t>
      </w:r>
    </w:p>
    <w:p>
      <w:r>
        <w:t>Edge flags apply to the Edge profile you edited. The desktop apps have a separate WebView2 profile and supply their own background execution arguments; they do not copy these experimental flags. Verify the adapter inside NEXUS. Native PyTorch selects its GPU separately. Flags alone do not establish a speed gain.</w:t>
      </w:r>
    </w:p>
    <w:p>
      <w:r>
        <w:t xml:space="preserve">Reference: </w:t>
      </w:r>
      <w:hyperlink r:id="rId26">
        <w:r>
          <w:rPr>
            <w:color w:val="145DA0"/>
            <w:u w:val="single"/>
          </w:rPr>
          <w:t>Microsoft WebView2 browser flags</w:t>
        </w:r>
      </w:hyperlink>
    </w:p>
    <w:p>
      <w:r>
        <w:br w:type="page"/>
      </w:r>
    </w:p>
    <w:p>
      <w:pPr>
        <w:pStyle w:val="Heading1"/>
      </w:pPr>
      <w:r>
        <w:t>Set Edge to high performance in Windows 11</w:t>
      </w:r>
    </w:p>
    <w:p>
      <w:r>
        <w:t>1. In Edge, open edge://version and copy Executable path. This locates the exact msedge.exe in use. Common locations are C:\Program Files (x86)\Microsoft\Edge\Application\msedge.exe and C:\Program Files\Microsoft\Edge\Application\msedge.exe.</w:t>
      </w:r>
    </w:p>
    <w:p>
      <w:r>
        <w:t>2. Open Start → Settings → System → Display → Graphics. Under Custom options for apps, choose Desktop app and Browse, or Add desktop app on newer Windows builds. Browse to that msedge.exe and select Add.</w:t>
      </w:r>
    </w:p>
    <w:p>
      <w:r>
        <w:t>3. Select Microsoft Edge in the list and open Options or GPU preference. Choose High performance and confirm that AMD Radeon RX 7900 XT is named. Select Save. If another GPU is named, choose the specific high performance GPU where that control is offered and check your driver installation.</w:t>
      </w:r>
    </w:p>
    <w:p>
      <w:r>
        <w:t>4. Set Optimizations for windowed games to On to match your supplied Windows screenshot. Microsoft describes this as a DirectX 10/11 presentation option; it is not a demonstrated WebGPU training speed improvement. Close and restart Edge after saving.</w:t>
      </w:r>
    </w:p>
    <w:p>
      <w:r>
        <w:t xml:space="preserve">Reference: </w:t>
      </w:r>
      <w:hyperlink r:id="rId27">
        <w:r>
          <w:rPr>
            <w:color w:val="145DA0"/>
            <w:u w:val="single"/>
          </w:rPr>
          <w:t>Microsoft Windows 11 graphics instructions</w:t>
        </w:r>
      </w:hyperlink>
    </w:p>
    <w:p>
      <w:r>
        <w:t>For the desktop apps, Edge’s preference alone is not proof that WebView2 uses that GPU. While an app is open, use Task Manager → Details → Open file location to locate its actual msedgewebview2.exe. Add that executable through the same Graphics screen, then use Stop server and exit and relaunch the app. Recheck after a WebView2 runtime update because its executable path can change. Confirm the adapter inside NEXUS.</w:t>
      </w:r>
    </w:p>
    <w:p>
      <w:pPr>
        <w:pStyle w:val="Heading1"/>
      </w:pPr>
      <w:r>
        <w:t>Install and open this program</w:t>
      </w:r>
    </w:p>
    <w:p>
      <w:r>
        <w:t>1. Right click the ZIP → Extract All. Keep README.docx, Start_Nexus.py and every Nexus_payload.###.nxd together. Each packaged file is below 20,000,000 bytes. The runtime and downloaded dependencies can be larger after installation.</w:t>
      </w:r>
    </w:p>
    <w:p>
      <w:r>
        <w:t>2. Run Start_Nexus.py and select a dedicated installation folder. The RIF desktop shortcut is recreated on every install and launch. If double click opens an editor, open a terminal in the extracted folder and run py -3.12 Start_Nexus.py, using an installed supported Python version.</w:t>
      </w:r>
    </w:p>
    <w:p>
      <w:r>
        <w:t>3. Wait for the server to report ready. Closing or minimizing the program hides that program; closing or minimizing Server status hides only the status window. Both keep their live state. Use Restore server status for that screen, or the tray Restore action for hidden windows. Minimize program and server to tray is the explicit action for both. Stop server and exit ends the processes.</w:t>
      </w:r>
    </w:p>
    <w:p>
      <w:r>
        <w:t>For updates, save your native checkpoint and use Stop server and exit first. If an older build is stuck, pause and save before ending only its NEXUS processes in Task Manager. Then launch this version. A shortcut opened while the old instance runs restores that instance. Tray state does not survive a crash, restart or explicit exit. NEXUS windows and private Program, Server and Launcher processes use the product icons. Microsoft WebView2 helper processes retain Microsoft’s icon.</w:t>
      </w:r>
    </w:p>
    <w:p>
      <w:r>
        <w:br w:type="page"/>
      </w:r>
    </w:p>
    <w:p>
      <w:pPr>
        <w:pStyle w:val="Heading1"/>
      </w:pPr>
      <w:r>
        <w:t>Use the program and verify performance</w:t>
      </w:r>
    </w:p>
    <w:p>
      <w:r>
        <w:t>In Guided setup, select your corpus, output folder and model settings. Set Target training tokens this session below Model size. Leave During training selected and press Prepare streaming training, then Start training. Resume retains the saved session budget. Complete-cache optimization is available by selecting Before training — tokenize the entire corpus first in a fresh page. Browser and native Foundry training remain separate model states.</w:t>
      </w:r>
    </w:p>
    <w:p>
      <w:pPr>
        <w:pStyle w:val="Heading1"/>
      </w:pPr>
      <w:r>
        <w:t>Release verification results</w:t>
      </w:r>
    </w:p>
    <w:p>
      <w:r>
        <w:t>Benchmark checks used real PyTorch CPU updates and WGSL execution in Chromium with SwiftShader software WebGPU. Release 2.3 checks completed current throughput, matched perplexity without optimizer changes, checkpoint restoration and shortcut refresh. It retains exact native target limits and five-span continuation. The benchmark and Studio state comparisons passed for nine execution profiles. Native checks and the independent tray regression checks passed. No physical Windows 11, WebView2 or RX 7900 XT performance run was available in this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2448"/>
        <w:gridCol w:w="2160"/>
      </w:tblGrid>
      <w:tr>
        <w:trPr>
          <w:tblHeader/>
        </w:trPr>
        <w:tc>
          <w:tcPr>
            <w:tcW w:type="dxa" w:w="3168"/>
            <w:vAlign w:val="center"/>
            <w:shd w:fill="DCE8F0"/>
            <w:tcMar>
              <w:top w:w="95" w:type="dxa"/>
              <w:left w:w="95" w:type="dxa"/>
              <w:bottom w:w="95" w:type="dxa"/>
              <w:right w:w="95" w:type="dxa"/>
            </w:tcMar>
          </w:tcPr>
          <w:p>
            <w:pPr>
              <w:spacing w:after="40" w:before="40"/>
            </w:pPr>
            <w:r>
              <w:rPr>
                <w:b/>
                <w:sz w:val="20"/>
              </w:rPr>
              <w:t>Small fixture</w:t>
            </w:r>
          </w:p>
        </w:tc>
        <w:tc>
          <w:tcPr>
            <w:tcW w:type="dxa" w:w="2448"/>
            <w:vAlign w:val="center"/>
            <w:shd w:fill="DCE8F0"/>
            <w:tcMar>
              <w:top w:w="95" w:type="dxa"/>
              <w:left w:w="95" w:type="dxa"/>
              <w:bottom w:w="95" w:type="dxa"/>
              <w:right w:w="95" w:type="dxa"/>
            </w:tcMar>
          </w:tcPr>
          <w:p>
            <w:pPr>
              <w:spacing w:after="40" w:before="40"/>
            </w:pPr>
            <w:r>
              <w:rPr>
                <w:b/>
                <w:sz w:val="20"/>
              </w:rPr>
              <w:t>Baseline tokens/s</w:t>
            </w:r>
          </w:p>
        </w:tc>
        <w:tc>
          <w:tcPr>
            <w:tcW w:type="dxa" w:w="2448"/>
            <w:vAlign w:val="center"/>
            <w:shd w:fill="DCE8F0"/>
            <w:tcMar>
              <w:top w:w="95" w:type="dxa"/>
              <w:left w:w="95" w:type="dxa"/>
              <w:bottom w:w="95" w:type="dxa"/>
              <w:right w:w="95" w:type="dxa"/>
            </w:tcMar>
          </w:tcPr>
          <w:p>
            <w:pPr>
              <w:spacing w:after="40" w:before="40"/>
            </w:pPr>
            <w:r>
              <w:rPr>
                <w:b/>
                <w:sz w:val="20"/>
              </w:rPr>
              <w:t>Best tokens/s</w:t>
            </w:r>
          </w:p>
        </w:tc>
        <w:tc>
          <w:tcPr>
            <w:tcW w:type="dxa" w:w="2160"/>
            <w:vAlign w:val="center"/>
            <w:shd w:fill="DCE8F0"/>
            <w:tcMar>
              <w:top w:w="95" w:type="dxa"/>
              <w:left w:w="95" w:type="dxa"/>
              <w:bottom w:w="95" w:type="dxa"/>
              <w:right w:w="95" w:type="dxa"/>
            </w:tcMar>
          </w:tcPr>
          <w:p>
            <w:pPr>
              <w:spacing w:after="40" w:before="40"/>
            </w:pPr>
            <w:r>
              <w:rPr>
                <w:b/>
                <w:sz w:val="20"/>
              </w:rPr>
              <w:t>Change</w:t>
            </w:r>
          </w:p>
        </w:tc>
      </w:tr>
      <w:tr>
        <w:tc>
          <w:tcPr>
            <w:tcW w:type="dxa" w:w="3168"/>
            <w:vAlign w:val="center"/>
            <w:shd w:fill="FFFFFF"/>
            <w:tcMar>
              <w:top w:w="95" w:type="dxa"/>
              <w:left w:w="95" w:type="dxa"/>
              <w:bottom w:w="95" w:type="dxa"/>
              <w:right w:w="95" w:type="dxa"/>
            </w:tcMar>
          </w:tcPr>
          <w:p>
            <w:pPr>
              <w:spacing w:after="40" w:before="40"/>
            </w:pPr>
            <w:r>
              <w:rPr>
                <w:b w:val="0"/>
                <w:sz w:val="20"/>
              </w:rPr>
              <w:t>Foundry</w:t>
            </w:r>
          </w:p>
        </w:tc>
        <w:tc>
          <w:tcPr>
            <w:tcW w:type="dxa" w:w="2448"/>
            <w:vAlign w:val="center"/>
            <w:shd w:fill="FFFFFF"/>
            <w:tcMar>
              <w:top w:w="95" w:type="dxa"/>
              <w:left w:w="95" w:type="dxa"/>
              <w:bottom w:w="95" w:type="dxa"/>
              <w:right w:w="95" w:type="dxa"/>
            </w:tcMar>
          </w:tcPr>
          <w:p>
            <w:pPr>
              <w:spacing w:after="40" w:before="40"/>
            </w:pPr>
            <w:r>
              <w:rPr>
                <w:b w:val="0"/>
                <w:sz w:val="20"/>
              </w:rPr>
              <w:t>832.8</w:t>
            </w:r>
          </w:p>
        </w:tc>
        <w:tc>
          <w:tcPr>
            <w:tcW w:type="dxa" w:w="2448"/>
            <w:vAlign w:val="center"/>
            <w:shd w:fill="FFFFFF"/>
            <w:tcMar>
              <w:top w:w="95" w:type="dxa"/>
              <w:left w:w="95" w:type="dxa"/>
              <w:bottom w:w="95" w:type="dxa"/>
              <w:right w:w="95" w:type="dxa"/>
            </w:tcMar>
          </w:tcPr>
          <w:p>
            <w:pPr>
              <w:spacing w:after="40" w:before="40"/>
            </w:pPr>
            <w:r>
              <w:rPr>
                <w:b w:val="0"/>
                <w:sz w:val="20"/>
              </w:rPr>
              <w:t>1062.9</w:t>
            </w:r>
          </w:p>
        </w:tc>
        <w:tc>
          <w:tcPr>
            <w:tcW w:type="dxa" w:w="2160"/>
            <w:vAlign w:val="center"/>
            <w:shd w:fill="FFFFFF"/>
            <w:tcMar>
              <w:top w:w="95" w:type="dxa"/>
              <w:left w:w="95" w:type="dxa"/>
              <w:bottom w:w="95" w:type="dxa"/>
              <w:right w:w="95" w:type="dxa"/>
            </w:tcMar>
          </w:tcPr>
          <w:p>
            <w:pPr>
              <w:spacing w:after="40" w:before="40"/>
            </w:pPr>
            <w:r>
              <w:rPr>
                <w:b w:val="0"/>
                <w:sz w:val="20"/>
              </w:rPr>
              <w:t>+27.6%</w:t>
            </w:r>
          </w:p>
        </w:tc>
      </w:tr>
      <w:tr>
        <w:tc>
          <w:tcPr>
            <w:tcW w:type="dxa" w:w="3168"/>
            <w:vAlign w:val="center"/>
            <w:shd w:fill="F4F7FA"/>
            <w:tcMar>
              <w:top w:w="95" w:type="dxa"/>
              <w:left w:w="95" w:type="dxa"/>
              <w:bottom w:w="95" w:type="dxa"/>
              <w:right w:w="95" w:type="dxa"/>
            </w:tcMar>
          </w:tcPr>
          <w:p>
            <w:pPr>
              <w:spacing w:after="40" w:before="40"/>
            </w:pPr>
            <w:r>
              <w:rPr>
                <w:b w:val="0"/>
                <w:sz w:val="20"/>
              </w:rPr>
              <w:t>Recovery</w:t>
            </w:r>
          </w:p>
        </w:tc>
        <w:tc>
          <w:tcPr>
            <w:tcW w:type="dxa" w:w="2448"/>
            <w:vAlign w:val="center"/>
            <w:shd w:fill="F4F7FA"/>
            <w:tcMar>
              <w:top w:w="95" w:type="dxa"/>
              <w:left w:w="95" w:type="dxa"/>
              <w:bottom w:w="95" w:type="dxa"/>
              <w:right w:w="95" w:type="dxa"/>
            </w:tcMar>
          </w:tcPr>
          <w:p>
            <w:pPr>
              <w:spacing w:after="40" w:before="40"/>
            </w:pPr>
            <w:r>
              <w:rPr>
                <w:b w:val="0"/>
                <w:sz w:val="20"/>
              </w:rPr>
              <w:t>119.3</w:t>
            </w:r>
          </w:p>
        </w:tc>
        <w:tc>
          <w:tcPr>
            <w:tcW w:type="dxa" w:w="2448"/>
            <w:vAlign w:val="center"/>
            <w:shd w:fill="F4F7FA"/>
            <w:tcMar>
              <w:top w:w="95" w:type="dxa"/>
              <w:left w:w="95" w:type="dxa"/>
              <w:bottom w:w="95" w:type="dxa"/>
              <w:right w:w="95" w:type="dxa"/>
            </w:tcMar>
          </w:tcPr>
          <w:p>
            <w:pPr>
              <w:spacing w:after="40" w:before="40"/>
            </w:pPr>
            <w:r>
              <w:rPr>
                <w:b w:val="0"/>
                <w:sz w:val="20"/>
              </w:rPr>
              <w:t>129.2</w:t>
            </w:r>
          </w:p>
        </w:tc>
        <w:tc>
          <w:tcPr>
            <w:tcW w:type="dxa" w:w="2160"/>
            <w:vAlign w:val="center"/>
            <w:shd w:fill="F4F7FA"/>
            <w:tcMar>
              <w:top w:w="95" w:type="dxa"/>
              <w:left w:w="95" w:type="dxa"/>
              <w:bottom w:w="95" w:type="dxa"/>
              <w:right w:w="95" w:type="dxa"/>
            </w:tcMar>
          </w:tcPr>
          <w:p>
            <w:pPr>
              <w:spacing w:after="40" w:before="40"/>
            </w:pPr>
            <w:r>
              <w:rPr>
                <w:b w:val="0"/>
                <w:sz w:val="20"/>
              </w:rPr>
              <w:t>+8.4%</w:t>
            </w:r>
          </w:p>
        </w:tc>
      </w:tr>
      <w:tr>
        <w:tc>
          <w:tcPr>
            <w:tcW w:type="dxa" w:w="3168"/>
            <w:vAlign w:val="center"/>
            <w:shd w:fill="FFFFFF"/>
            <w:tcMar>
              <w:top w:w="95" w:type="dxa"/>
              <w:left w:w="95" w:type="dxa"/>
              <w:bottom w:w="95" w:type="dxa"/>
              <w:right w:w="95" w:type="dxa"/>
            </w:tcMar>
          </w:tcPr>
          <w:p>
            <w:pPr>
              <w:spacing w:after="40" w:before="40"/>
            </w:pPr>
            <w:r>
              <w:rPr>
                <w:b w:val="0"/>
                <w:sz w:val="20"/>
              </w:rPr>
              <w:t>Adapter</w:t>
            </w:r>
          </w:p>
        </w:tc>
        <w:tc>
          <w:tcPr>
            <w:tcW w:type="dxa" w:w="2448"/>
            <w:vAlign w:val="center"/>
            <w:shd w:fill="FFFFFF"/>
            <w:tcMar>
              <w:top w:w="95" w:type="dxa"/>
              <w:left w:w="95" w:type="dxa"/>
              <w:bottom w:w="95" w:type="dxa"/>
              <w:right w:w="95" w:type="dxa"/>
            </w:tcMar>
          </w:tcPr>
          <w:p>
            <w:pPr>
              <w:spacing w:after="40" w:before="40"/>
            </w:pPr>
            <w:r>
              <w:rPr>
                <w:b w:val="0"/>
                <w:sz w:val="20"/>
              </w:rPr>
              <w:t>462.2</w:t>
            </w:r>
          </w:p>
        </w:tc>
        <w:tc>
          <w:tcPr>
            <w:tcW w:type="dxa" w:w="2448"/>
            <w:vAlign w:val="center"/>
            <w:shd w:fill="FFFFFF"/>
            <w:tcMar>
              <w:top w:w="95" w:type="dxa"/>
              <w:left w:w="95" w:type="dxa"/>
              <w:bottom w:w="95" w:type="dxa"/>
              <w:right w:w="95" w:type="dxa"/>
            </w:tcMar>
          </w:tcPr>
          <w:p>
            <w:pPr>
              <w:spacing w:after="40" w:before="40"/>
            </w:pPr>
            <w:r>
              <w:rPr>
                <w:b w:val="0"/>
                <w:sz w:val="20"/>
              </w:rPr>
              <w:t>478.2</w:t>
            </w:r>
          </w:p>
        </w:tc>
        <w:tc>
          <w:tcPr>
            <w:tcW w:type="dxa" w:w="2160"/>
            <w:vAlign w:val="center"/>
            <w:shd w:fill="FFFFFF"/>
            <w:tcMar>
              <w:top w:w="95" w:type="dxa"/>
              <w:left w:w="95" w:type="dxa"/>
              <w:bottom w:w="95" w:type="dxa"/>
              <w:right w:w="95" w:type="dxa"/>
            </w:tcMar>
          </w:tcPr>
          <w:p>
            <w:pPr>
              <w:spacing w:after="40" w:before="40"/>
            </w:pPr>
            <w:r>
              <w:rPr>
                <w:b w:val="0"/>
                <w:sz w:val="20"/>
              </w:rPr>
              <w:t>+3.4%</w:t>
            </w:r>
          </w:p>
        </w:tc>
      </w:tr>
    </w:tbl>
    <w:p>
      <w:pPr>
        <w:spacing w:before="140"/>
      </w:pPr>
      <w:r>
        <w:t>The retained Release 2.1 benchmark ran each mode twice with three GPU completed windows of at least three seconds after warmup at a fixed recipe. Adapter gains were not consistent across repeats. These small software WebGPU results do not predict Radeon or 120M model throughput. The runtime qualification folder contains per-mode timings and parity checks.</w:t>
      </w:r>
    </w:p>
    <w:p>
      <w:pPr>
        <w:pStyle w:val="Heading1"/>
      </w:pPr>
      <w:r>
        <w:t>Measure your actual improvement</w:t>
      </w:r>
    </w:p>
    <w:p>
      <w:r>
        <w:t>1. Save a checkpoint. Record engine, GPU, model, corpus, precision, sequence, batch, accumulation and animation state. Keep the same recipe for baseline and candidate. Pause other GPU work and keep the benchmark visible.</w:t>
      </w:r>
    </w:p>
    <w:p>
      <w:r>
        <w:t>2. Run the baseline and candidate for at least three completed windows of three seconds or more after warmup. Repeat the comparison, reversing order. Count valid training targets divided by GPU completed wall time, including the optimizer; do not compare unsynchronized submission timings.</w:t>
      </w:r>
    </w:p>
    <w:p>
      <w:r>
        <w:t>3. Accept a candidate only if numerical checks pass and repeated runs improve tokens per second on your workload. A slower or overlapping result is not an improvement. Treat precision and larger batch changes as separate quality experiments, and retain baseline settings if there is no qualified winner.</w:t>
      </w:r>
    </w:p>
    <w:p>
      <w:pPr>
        <w:pStyle w:val="Heading1"/>
      </w:pPr>
      <w:r>
        <w:t>If a run fails</w:t>
      </w:r>
    </w:p>
    <w:p>
      <w:r>
        <w:t>Invalid model ff: use this rebuilt version and reload the model; it derives and validates feed forward width from the loaded tensors. A remaining error should include the full model shape and server log. Missing GPU metrics stay unavailable rather than being guessed. A failed compile candidate can be skipped while eager execution remains available. Missing or corrupt payload parts require extracting the complete ZIP again.</w:t>
      </w:r>
    </w:p>
    <w:p>
      <w:r>
        <w:br w:type="page"/>
      </w:r>
    </w:p>
    <w:p>
      <w:pPr>
        <w:pStyle w:val="Heading1"/>
      </w:pPr>
      <w:r>
        <w:t>Train with the measured Foundry backend</w:t>
      </w:r>
    </w:p>
    <w:p>
      <w:r>
        <w:t>Release 2.5 includes the coalesced FP32 WebGPU execution used by the fastest sustained Foundry result. Open RIF and expand Train with the measured Foundry backend. The supplied winner is built in; another cross-engine HTML or JSON report can be imported as data.</w:t>
      </w:r>
    </w:p>
    <w:p>
      <w:r>
        <w:t>1. For a fresh model, choose Use full benchmark recipe · new model before loading a model or tokenizer. This selects the dense 120M architecture, batch 4, sequence 256 and accumulation 1. The optimizer uses constant LR 0.0006, AdamW beta1 0.9, beta2 0.95, epsilon 1e-8, weight decay 0.01 and clip 1. Warmup is zero and minimum LR multiplier is 1.</w:t>
      </w:r>
    </w:p>
    <w:p>
      <w:r>
        <w:t>2. Choose your training files, then Prepare streaming training. The selected architecture and optimizer stay fixed. A custom 8192-token vocabulary is built from the bounded source sample; insufficient variety may prevent that exact vocabulary. After the first batches are ready, press Start training. Choose Before training — tokenize the entire corpus first before binding a tokenizer if you want the complete-corpus optimization workflow.</w:t>
      </w:r>
    </w:p>
    <w:p>
      <w:r>
        <w:t>3. Streaming uses the selected execution settings and does not claim a new benchmark winner. In complete-cache mode, review the actual-corpus benchmark, apply the qualified result, then Start training. Export execution status shows the actual settings and whether they still match the imported recipe.</w:t>
      </w:r>
    </w:p>
    <w:p>
      <w:r>
        <w:t>4. For an existing paused dense model, choose Apply backend · keep recipe. It preserves the saved batch, sequence, schedule, weights, Adam and cursor. A changed backend creates verified full checkpoints before and after the switch; choose an output folder first. A loaded checkpoint cannot receive a different full recipe in place.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744"/>
      </w:tblGrid>
      <w:tr>
        <w:trPr>
          <w:tblHeader/>
        </w:trPr>
        <w:tc>
          <w:tcPr>
            <w:tcW w:type="dxa" w:w="6480"/>
            <w:vAlign w:val="center"/>
            <w:shd w:fill="DCE8F0"/>
            <w:tcMar>
              <w:top w:w="95" w:type="dxa"/>
              <w:left w:w="95" w:type="dxa"/>
              <w:bottom w:w="95" w:type="dxa"/>
              <w:right w:w="95" w:type="dxa"/>
            </w:tcMar>
          </w:tcPr>
          <w:p>
            <w:pPr>
              <w:spacing w:after="40" w:before="40"/>
            </w:pPr>
            <w:r>
              <w:rPr>
                <w:b/>
                <w:sz w:val="20"/>
              </w:rPr>
              <w:t>Supplied 120M workload</w:t>
            </w:r>
          </w:p>
        </w:tc>
        <w:tc>
          <w:tcPr>
            <w:tcW w:type="dxa" w:w="3744"/>
            <w:vAlign w:val="center"/>
            <w:shd w:fill="DCE8F0"/>
            <w:tcMar>
              <w:top w:w="95" w:type="dxa"/>
              <w:left w:w="95" w:type="dxa"/>
              <w:bottom w:w="95" w:type="dxa"/>
              <w:right w:w="95" w:type="dxa"/>
            </w:tcMar>
          </w:tcPr>
          <w:p>
            <w:pPr>
              <w:spacing w:after="40" w:before="40"/>
            </w:pPr>
            <w:r>
              <w:rPr>
                <w:b/>
                <w:sz w:val="20"/>
              </w:rPr>
              <w:t>Aggregate targets per second</w:t>
            </w:r>
          </w:p>
        </w:tc>
      </w:tr>
      <w:tr>
        <w:tc>
          <w:tcPr>
            <w:tcW w:type="dxa" w:w="6480"/>
            <w:vAlign w:val="center"/>
            <w:shd w:fill="FFFFFF"/>
            <w:tcMar>
              <w:top w:w="95" w:type="dxa"/>
              <w:left w:w="95" w:type="dxa"/>
              <w:bottom w:w="95" w:type="dxa"/>
              <w:right w:w="95" w:type="dxa"/>
            </w:tcMar>
          </w:tcPr>
          <w:p>
            <w:pPr>
              <w:spacing w:after="40" w:before="40"/>
            </w:pPr>
            <w:r>
              <w:rPr>
                <w:b w:val="0"/>
                <w:sz w:val="20"/>
              </w:rPr>
              <w:t>Coalesced FP32, batch 4 × 256</w:t>
            </w:r>
          </w:p>
        </w:tc>
        <w:tc>
          <w:tcPr>
            <w:tcW w:type="dxa" w:w="3744"/>
            <w:vAlign w:val="center"/>
            <w:shd w:fill="FFFFFF"/>
            <w:tcMar>
              <w:top w:w="95" w:type="dxa"/>
              <w:left w:w="95" w:type="dxa"/>
              <w:bottom w:w="95" w:type="dxa"/>
              <w:right w:w="95" w:type="dxa"/>
            </w:tcMar>
          </w:tcPr>
          <w:p>
            <w:pPr>
              <w:spacing w:after="40" w:before="40"/>
            </w:pPr>
            <w:r>
              <w:rPr>
                <w:b w:val="0"/>
                <w:sz w:val="20"/>
              </w:rPr>
              <w:t>3617.7</w:t>
            </w:r>
          </w:p>
        </w:tc>
      </w:tr>
      <w:tr>
        <w:tc>
          <w:tcPr>
            <w:tcW w:type="dxa" w:w="6480"/>
            <w:vAlign w:val="center"/>
            <w:shd w:fill="F4F7FA"/>
            <w:tcMar>
              <w:top w:w="95" w:type="dxa"/>
              <w:left w:w="95" w:type="dxa"/>
              <w:bottom w:w="95" w:type="dxa"/>
              <w:right w:w="95" w:type="dxa"/>
            </w:tcMar>
          </w:tcPr>
          <w:p>
            <w:pPr>
              <w:spacing w:after="40" w:before="40"/>
            </w:pPr>
            <w:r>
              <w:rPr>
                <w:b w:val="0"/>
                <w:sz w:val="20"/>
              </w:rPr>
              <w:t>Baseline FP32, batch 4 × 256</w:t>
            </w:r>
          </w:p>
        </w:tc>
        <w:tc>
          <w:tcPr>
            <w:tcW w:type="dxa" w:w="3744"/>
            <w:vAlign w:val="center"/>
            <w:shd w:fill="F4F7FA"/>
            <w:tcMar>
              <w:top w:w="95" w:type="dxa"/>
              <w:left w:w="95" w:type="dxa"/>
              <w:bottom w:w="95" w:type="dxa"/>
              <w:right w:w="95" w:type="dxa"/>
            </w:tcMar>
          </w:tcPr>
          <w:p>
            <w:pPr>
              <w:spacing w:after="40" w:before="40"/>
            </w:pPr>
            <w:r>
              <w:rPr>
                <w:b w:val="0"/>
                <w:sz w:val="20"/>
              </w:rPr>
              <w:t>3586.7</w:t>
            </w:r>
          </w:p>
        </w:tc>
      </w:tr>
      <w:tr>
        <w:tc>
          <w:tcPr>
            <w:tcW w:type="dxa" w:w="6480"/>
            <w:vAlign w:val="center"/>
            <w:shd w:fill="FFFFFF"/>
            <w:tcMar>
              <w:top w:w="95" w:type="dxa"/>
              <w:left w:w="95" w:type="dxa"/>
              <w:bottom w:w="95" w:type="dxa"/>
              <w:right w:w="95" w:type="dxa"/>
            </w:tcMar>
          </w:tcPr>
          <w:p>
            <w:pPr>
              <w:spacing w:after="40" w:before="40"/>
            </w:pPr>
            <w:r>
              <w:rPr>
                <w:b w:val="0"/>
                <w:sz w:val="20"/>
              </w:rPr>
              <w:t>Packed unified, batch 4 × 256</w:t>
            </w:r>
          </w:p>
        </w:tc>
        <w:tc>
          <w:tcPr>
            <w:tcW w:type="dxa" w:w="3744"/>
            <w:vAlign w:val="center"/>
            <w:shd w:fill="FFFFFF"/>
            <w:tcMar>
              <w:top w:w="95" w:type="dxa"/>
              <w:left w:w="95" w:type="dxa"/>
              <w:bottom w:w="95" w:type="dxa"/>
              <w:right w:w="95" w:type="dxa"/>
            </w:tcMar>
          </w:tcPr>
          <w:p>
            <w:pPr>
              <w:spacing w:after="40" w:before="40"/>
            </w:pPr>
            <w:r>
              <w:rPr>
                <w:b w:val="0"/>
                <w:sz w:val="20"/>
              </w:rPr>
              <w:t>3104.8</w:t>
            </w:r>
          </w:p>
        </w:tc>
      </w:tr>
      <w:tr>
        <w:tc>
          <w:tcPr>
            <w:tcW w:type="dxa" w:w="6480"/>
            <w:vAlign w:val="center"/>
            <w:shd w:fill="F4F7FA"/>
            <w:tcMar>
              <w:top w:w="95" w:type="dxa"/>
              <w:left w:w="95" w:type="dxa"/>
              <w:bottom w:w="95" w:type="dxa"/>
              <w:right w:w="95" w:type="dxa"/>
            </w:tcMar>
          </w:tcPr>
          <w:p>
            <w:pPr>
              <w:spacing w:after="40" w:before="40"/>
            </w:pPr>
            <w:r>
              <w:rPr>
                <w:b w:val="0"/>
                <w:sz w:val="20"/>
              </w:rPr>
              <w:t>Fused vec4, batch 4 × 256</w:t>
            </w:r>
          </w:p>
        </w:tc>
        <w:tc>
          <w:tcPr>
            <w:tcW w:type="dxa" w:w="3744"/>
            <w:vAlign w:val="center"/>
            <w:shd w:fill="F4F7FA"/>
            <w:tcMar>
              <w:top w:w="95" w:type="dxa"/>
              <w:left w:w="95" w:type="dxa"/>
              <w:bottom w:w="95" w:type="dxa"/>
              <w:right w:w="95" w:type="dxa"/>
            </w:tcMar>
          </w:tcPr>
          <w:p>
            <w:pPr>
              <w:spacing w:after="40" w:before="40"/>
            </w:pPr>
            <w:r>
              <w:rPr>
                <w:b w:val="0"/>
                <w:sz w:val="20"/>
              </w:rPr>
              <w:t>1260.5</w:t>
            </w:r>
          </w:p>
        </w:tc>
      </w:tr>
    </w:tbl>
    <w:p>
      <w:pPr>
        <w:spacing w:before="140"/>
      </w:pPr>
      <w:r>
        <w:t>The winning windows measured 3627.5, 3627.3 and 3598.4 targets/s. Its 0.86 percent lead over the same-geometry baseline is small and needs repetition on the real corpus. The separate PyTorch result of 3910.5 targets/s used only 25,824 parameters and very short smoke windows; it does not establish native 120M throughput. The winning backend here is WebGPU, even when the local server hosts the program.</w:t>
      </w:r>
    </w:p>
    <w:p>
      <w:r>
        <w:t>Validation executes real software WebGPU shaders and compares benchmark training with the production loop, complete weights and Adam moments, target accounting, backend switches and checkpoint replay. These checks establish implementation consistency; they do not remeasure the Radeon. The source report checks sampled state for its 120M model. Browser GPU mapping and physical memory residency remain unverified.</w:t>
      </w:r>
    </w:p>
    <w:p>
      <w:r>
        <w:br w:type="page"/>
      </w:r>
    </w:p>
    <w:p>
      <w:pPr>
        <w:pStyle w:val="Heading1"/>
      </w:pPr>
      <w:r>
        <w:t>Batch memory and tokenization experiments</w:t>
      </w:r>
    </w:p>
    <w:p>
      <w:r>
        <w:t>Foundry 2.8.2 places batch, sequence, cache and allocation controls in Guided setup. The Radeon RX 7900 XT starting recipe requests batch 8, sequence 1024, a 512 MiB reusable GPU buffer cache and a 19000 MiB total allocation ceiling. 19000 MiB is about 18.55 GiB. These are starting settings, not a measured fastest recipe.</w:t>
      </w:r>
    </w:p>
    <w:p>
      <w:r>
        <w:t>Apply settings and check batch uses a conservative estimate and device buffer limits. With Reduce batch enabled, Foundry reduces the requested batch until it fits. The 1024 sequence needs more attention memory than 256, so a large model may need a smaller batch even on a 20 GiB GPU. Existing sessions retain their saved recipe. Changes to batch can change training quality as well as speed.</w:t>
      </w:r>
    </w:p>
    <w:p>
      <w:pPr>
        <w:pStyle w:val="Heading1"/>
      </w:pPr>
      <w:r>
        <w:t>Choose when tokenization happens</w:t>
      </w:r>
    </w:p>
    <w:p>
      <w:r>
        <w:t>1. Find When should Foundry tokenize your corpus in Guided setup. During training is the default for RIF: first batches become ready before all training records are tokenized. Before training creates the entire token cache first and enables the complete-corpus optimization workflow.</w:t>
      </w:r>
    </w:p>
    <w:p>
      <w:r>
        <w:t>2. In Benchmark Studio, open Foundry Benchmark and use Tiny synthetic corpus experiment. Download test corpus saves the JSONL file; either Try button selects it in Foundry with a tiny model and a 16384-target budget. The same options appear in Foundry itself. Choose an output folder, then Prepare. Training starts only when you press Start training.</w:t>
      </w:r>
    </w:p>
    <w:p>
      <w:r>
        <w:t>3. Repeat in a fresh page for the other mode. Keep the source, tokenizer, model, random seed, sequence, batch and target budget identical. Compare preparation time, time to first update and total elapsed time separately from training targets per second. Complete-cache optimization can select a different recipe; check the final settings before comparing.</w:t>
      </w:r>
    </w:p>
    <w:p>
      <w:r>
        <w:t>The generated corpus has 128 training documents and 16 separate development documents. It tests the workflow and can be downloaded from either app. It is deliberately artificial and cannot measure language quality or sustained large-model GPU performance. The tokenizer vocabulary stays fixed in both modes; streaming changes when text becomes token IDs, not how the weights are initialized.</w:t>
      </w:r>
    </w:p>
    <w:p>
      <w:pPr>
        <w:pStyle w:val="Heading1"/>
      </w:pPr>
      <w:r>
        <w:t>Server settings and limits</w:t>
      </w:r>
    </w:p>
    <w:p>
      <w:r>
        <w:t>The desktop server records the selected Foundry recipe and displays it in its runtime status. Browser training still uses WebGPU. The optional separate PyTorch trainer can import Export native training settings with --runtime-settings Foundry_training_settings.json, or use Apply Guided setup batch and memory to native trainer after connecting. Apply is allowed only before that native session has trained. Browser weights and corpus are not transferred by this action.</w:t>
      </w:r>
    </w:p>
    <w:p>
      <w:r>
        <w:t>On CUDA or ROCm, the native trainer applies a PyTorch allocator ceiling and trims unused allocator cache between updates when it exceeds 512 MiB. Active tensors and driver allocations are separate. Neither browser nor native ceilings reserve VRAM or prove physical OS residency. The native service still requires its pretokenized training corpus; the two new tokenization choices are for the browser Foundry workflow.</w:t>
      </w:r>
    </w:p>
    <w:p>
      <w:r>
        <w:br w:type="page"/>
      </w:r>
    </w:p>
    <w:p>
      <w:pPr>
        <w:pStyle w:val="Heading1"/>
      </w:pPr>
      <w:r>
        <w:t>Streaming training</w:t>
      </w:r>
    </w:p>
    <w:p>
      <w:r>
        <w:t>Release 2.8 uses the same on-demand approach as an iterable dataset: training can begin before the whole source has been tokenized. This implementation runs in the existing WebGPU Foundry; it does not install Hugging Face Datasets or change the separate native service.</w:t>
      </w:r>
    </w:p>
    <w:p>
      <w:r>
        <w:t>1. In Guided setup, select your files and set Target training tokens this session below Model size (1000000 means one million). Under When should Foundry tokenize your corpus, leave During training selected. Choose your recipe and an output folder. Resume keeps the saved session target.</w:t>
      </w:r>
    </w:p>
    <w:p>
      <w:r>
        <w:t>2. Press Prepare streaming training. A new tokenizer is learned once from a bounded sample and remains fixed. The startup sample reads at most 8192 records or roughly 4 MiB of text and retains at most 256 train and 256 dev documents. If it cannot find dev data, supply a separate dev file rather than waiting for a full scan.</w:t>
      </w:r>
    </w:p>
    <w:p>
      <w:r>
        <w:t>3. When the first batches are ready, press Start training. The reader prepares more records on demand with a small lookahead. It retains an 8 MiB token-row cache in RAM and writes previously read training rows to temporary browser storage for reuse. The GPU training recipe and source order are preserved; streaming does not introduce a shuffle.</w:t>
      </w:r>
    </w:p>
    <w:p>
      <w:pPr>
        <w:pStyle w:val="Heading1"/>
      </w:pPr>
      <w:r>
        <w:t>What the progress screen means</w:t>
      </w:r>
    </w:p>
    <w:p>
      <w:r>
        <w:t>Targets per second and committed training targets retain their existing measurements. The source counter reports only the prefix read so far. Full-pass length is unknown until EOF, so the one-pass button stays disabled until then. Set an explicit target budget for a quick functionality test. The full corpus is checked as it is read; a late malformed record or split conflict stops the reader and training.</w:t>
      </w:r>
    </w:p>
    <w:p>
      <w:r>
        <w:t>Held-out evaluation uses the same fixed startup dev sample before and after training. It is not an evaluation of every dev record in a large source. Full-source validation remains pending until EOF. Streaming uses the selected settings without running complete-corpus placement tuning; choose complete-cache mode for that workflow.</w:t>
      </w:r>
    </w:p>
    <w:p>
      <w:pPr>
        <w:pStyle w:val="Heading1"/>
      </w:pPr>
      <w:r>
        <w:t>Pause and checkpoint resume</w:t>
      </w:r>
    </w:p>
    <w:p>
      <w:r>
        <w:t>Pause retains the live reader, model and optimizer. Save a checkpoint before stopping the server. After restoring that checkpoint, select the same source files and use Reconnect streaming checkpoint. Foundry rebuilds and verifies the saved consumed prefix, then restores the exact token cursor. It does not need to tokenize the unused remainder first. Replaying a long consumed prefix can still take time; a checkpoint made after EOF verifies the complete source. Unvisited bytes cannot be verified in advance.</w:t>
      </w:r>
    </w:p>
    <w:p>
      <w:pPr>
        <w:pStyle w:val="Heading1"/>
      </w:pPr>
      <w:r>
        <w:t>Checks in this release</w:t>
      </w:r>
    </w:p>
    <w:p>
      <w:r>
        <w:t>A generated 12000-record integration test became ready after tokenizing 8 training documents and completed real software-WebGPU updates. Pause, resume and checkpoint replay reproduced identical weights and Adam state. Separate tests verify tokenizer parity, bounded caches, EOF, cancellation and source errors. These checks do not predict startup time or throughput on a Radeon.</w:t>
      </w:r>
    </w:p>
    <w:p>
      <w:r>
        <w:t xml:space="preserve">Approach reference: </w:t>
      </w:r>
      <w:hyperlink r:id="rId28">
        <w:r>
          <w:rPr>
            <w:color w:val="145DA0"/>
            <w:u w:val="single"/>
          </w:rPr>
          <w:t>Hugging Face iterable dataset streaming and batch tokenization</w:t>
        </w:r>
      </w:hyperlink>
    </w:p>
    <w:p>
      <w:r>
        <w:br w:type="page"/>
      </w:r>
    </w:p>
    <w:p>
      <w:pPr>
        <w:pStyle w:val="Heading1"/>
      </w:pPr>
      <w:r>
        <w:t>Skip the separate dataset validation pass</w:t>
      </w:r>
    </w:p>
    <w:p>
      <w:r>
        <w:t>This option applies to Before training — tokenize the entire corpus first. Choose that mode in a fresh page, then optionally check Skip separate validation pass — data already validated beneath the source controls. The checkbox is off by default. Streaming already uses a bounded startup sample and hides this complete-cache option.</w:t>
      </w:r>
    </w:p>
    <w:p>
      <w:r>
        <w:t>1. Select your training files and held-out evaluation files as usual. Choose an output folder for the disk token cache, then check the option before Optimize and prepare. If preparation is already running, cancel it first.</w:t>
      </w:r>
    </w:p>
    <w:p>
      <w:r>
        <w:t>2. Foundry reads a bounded sample for the tokenizer instead of scanning the entire source first. The progress screen says Reading bounded tokenizer sample; separate validation skipped. The complete dataset is then read once to build the token cache.</w:t>
      </w:r>
    </w:p>
    <w:p>
      <w:r>
        <w:t>3. Keep the page open until tokenization finishes. File parsing, token bounds, train and development split checks, duplicate checks and final source hashes are still completed during that pass. Invalid data stops preparation before the corpus becomes ready for training.</w:t>
      </w:r>
    </w:p>
    <w:p>
      <w:pPr>
        <w:pStyle w:val="Heading1"/>
      </w:pPr>
      <w:r>
        <w:t>What this option changes</w:t>
      </w:r>
    </w:p>
    <w:p>
      <w:r>
        <w:t>This option removes the separate full source scan. It does not skip tokenization or held-out evaluation of model quality. It does not change the optimizer, architecture, learning rate or training recipe. Choose it again for each fresh page; it is locked while work is active and after a tokenizer or model has been created.</w:t>
      </w:r>
    </w:p>
    <w:p>
      <w:r>
        <w:t>The tokenizer sample uses at most 8192 source records or roughly 4 MiB of document text, whichever is reached first, with whole-document and parser buffers bounded separately. It retains at most 256 training and 256 development documents. A bounded sample is labelled incomplete until the full token-writing pass succeeds. If the sample lacks usable training or development data, leave the checkbox off and prepare normally, or provide separate training and evaluation files.</w:t>
      </w:r>
    </w:p>
    <w:p>
      <w:pPr>
        <w:pStyle w:val="Heading1"/>
      </w:pPr>
      <w:r>
        <w:t>Reuse an existing token cache</w:t>
      </w:r>
    </w:p>
    <w:p>
      <w:r>
        <w:t>If this dataset was already tokenized by Foundry with the same tokenizer, use Reuse verified prepared cache instead. Select the original source files and the previously prepared foundry-corpus folder. This existing workflow checks the stored cache and source identity before reuse; the new checkbox is for avoiding a separate scan when creating a new token cache.</w:t>
      </w:r>
    </w:p>
    <w:p>
      <w:pPr>
        <w:pStyle w:val="Heading1"/>
      </w:pPr>
      <w:r>
        <w:t>Release checks</w:t>
      </w:r>
    </w:p>
    <w:p>
      <w:r>
        <w:t>Browser tests compare normal and skipped preparation on the same source and confirm identical token counts, source hashes and corpus hashes. Portable BPE now also caches repeated word pieces and uses an exact ASCII splitter; Unicode retains its original path. A three-run generated English fixture was about 1.9 times faster for complete preparation, with identical output hashes. This is not a forecast for your corpus or Radeon.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Release 2.8.2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RIF  |  Windows setup and operation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windows/" TargetMode="External"/><Relationship Id="rId12" Type="http://schemas.openxmlformats.org/officeDocument/2006/relationships/hyperlink" Target="https://www.microsoft.com/en-us/edge/download" TargetMode="External"/><Relationship Id="rId13" Type="http://schemas.openxmlformats.org/officeDocument/2006/relationships/hyperlink" Target="https://developer.microsoft.com/en-us/microsoft-edge/webview2/" TargetMode="External"/><Relationship Id="rId14" Type="http://schemas.openxmlformats.org/officeDocument/2006/relationships/hyperlink" Target="https://www.amd.com/en/resources/support-articles/release-notes/RN-RAD-ROCM-10-01.html" TargetMode="External"/><Relationship Id="rId15" Type="http://schemas.openxmlformats.org/officeDocument/2006/relationships/hyperlink" Target="https://aka.ms/vc14/vc_redist.x64.exe" TargetMode="External"/><Relationship Id="rId16" Type="http://schemas.openxmlformats.org/officeDocument/2006/relationships/hyperlink" Target="https://dotnet.microsoft.com/en-us/download/dotnet-framework/net481" TargetMode="External"/><Relationship Id="rId17" Type="http://schemas.openxmlformats.org/officeDocument/2006/relationships/hyperlink" Target="https://visualstudio.microsoft.com/downloads/" TargetMode="External"/><Relationship Id="rId18" Type="http://schemas.openxmlformats.org/officeDocument/2006/relationships/hyperlink" Target="https://rocm.docs.amd.com/en/latest/compatibility/compatibility-matrix.html" TargetMode="External"/><Relationship Id="rId19" Type="http://schemas.openxmlformats.org/officeDocument/2006/relationships/hyperlink" Target="edge://flags/#ignore-gpu-blocklist" TargetMode="External"/><Relationship Id="rId20" Type="http://schemas.openxmlformats.org/officeDocument/2006/relationships/hyperlink" Target="edge://flags/#enable-javascript-harmony" TargetMode="External"/><Relationship Id="rId21" Type="http://schemas.openxmlformats.org/officeDocument/2006/relationships/hyperlink" Target="edge://flags/#enable-experimental-web-platform-features" TargetMode="External"/><Relationship Id="rId22" Type="http://schemas.openxmlformats.org/officeDocument/2006/relationships/hyperlink" Target="edge://flags/#enable-zero-copy" TargetMode="External"/><Relationship Id="rId23" Type="http://schemas.openxmlformats.org/officeDocument/2006/relationships/hyperlink" Target="edge://flags/#disable-accelerated-2d-canvas" TargetMode="External"/><Relationship Id="rId24" Type="http://schemas.openxmlformats.org/officeDocument/2006/relationships/hyperlink" Target="edge://flags/#enable-isolated-web-apps" TargetMode="External"/><Relationship Id="rId25" Type="http://schemas.openxmlformats.org/officeDocument/2006/relationships/hyperlink" Target="edge://flags/#enable-unsafe-webgpu" TargetMode="External"/><Relationship Id="rId26" Type="http://schemas.openxmlformats.org/officeDocument/2006/relationships/hyperlink" Target="https://learn.microsoft.com/en-us/microsoft-edge/webview2/concepts/webview-features-flags" TargetMode="External"/><Relationship Id="rId27" Type="http://schemas.openxmlformats.org/officeDocument/2006/relationships/hyperlink" Target="https://support.microsoft.com/en-us/windows/hardware/display-graphics/optimizations-for-windowed-games-in-windows-11" TargetMode="External"/><Relationship Id="rId28" Type="http://schemas.openxmlformats.org/officeDocument/2006/relationships/hyperlink" Target="https://huggingface.co/docs/datasets/en/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 Initialization Foundry Setup Guide</dc:title>
  <dc:subject>NEXUS Windows setup and verified benchmark workflow</dc:subject>
  <dc:creator>NEXUS</dc:creator>
  <cp:keywords/>
  <dc:description>generated by python-docx</dc:description>
  <cp:lastModifiedBy/>
  <cp:revision>1</cp:revision>
  <dcterms:created xsi:type="dcterms:W3CDTF">2013-12-23T23:15:00Z</dcterms:created>
  <dcterms:modified xsi:type="dcterms:W3CDTF">2013-12-23T23:15:00Z</dcterms:modified>
  <cp:category/>
</cp:coreProperties>
</file>