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720C" w14:textId="406CD478" w:rsidR="005A7745" w:rsidRPr="00F67691" w:rsidRDefault="005A7745" w:rsidP="008D43AE">
      <w:pPr>
        <w:pStyle w:val="Heading2"/>
        <w:rPr>
          <w:rFonts w:asciiTheme="minorHAnsi" w:hAnsiTheme="minorHAnsi" w:cstheme="minorHAnsi"/>
        </w:rPr>
      </w:pPr>
      <w:r w:rsidRPr="00F67691">
        <w:rPr>
          <w:rFonts w:asciiTheme="minorHAnsi" w:hAnsiTheme="minorHAnsi" w:cstheme="minorHAnsi"/>
        </w:rPr>
        <w:t>CARI Meth</w:t>
      </w:r>
      <w:r w:rsidR="00B32A11" w:rsidRPr="00F67691">
        <w:rPr>
          <w:rFonts w:asciiTheme="minorHAnsi" w:hAnsiTheme="minorHAnsi" w:cstheme="minorHAnsi"/>
        </w:rPr>
        <w:t>odology</w:t>
      </w:r>
    </w:p>
    <w:p w14:paraId="4D4CA530" w14:textId="726EF263" w:rsidR="00513376" w:rsidRPr="00F67691" w:rsidRDefault="003347D7" w:rsidP="003347D7">
      <w:pPr>
        <w:jc w:val="both"/>
        <w:rPr>
          <w:rFonts w:cstheme="minorHAnsi"/>
        </w:rPr>
      </w:pPr>
      <w:r w:rsidRPr="00F67691">
        <w:rPr>
          <w:rFonts w:cstheme="minorHAnsi"/>
        </w:rPr>
        <w:t>The CARI is a multi-dimensional composite indicator that incorporates four sub-indicators: the Food Consumption Score (FCS), Reduced Coping Strategy Index (</w:t>
      </w:r>
      <w:proofErr w:type="spellStart"/>
      <w:r w:rsidRPr="00F67691">
        <w:rPr>
          <w:rFonts w:cstheme="minorHAnsi"/>
        </w:rPr>
        <w:t>rCSI</w:t>
      </w:r>
      <w:proofErr w:type="spellEnd"/>
      <w:r w:rsidRPr="00F67691">
        <w:rPr>
          <w:rFonts w:cstheme="minorHAnsi"/>
        </w:rPr>
        <w:t>), Economic Capacity to Meet Essential Needs (ECMEN), and Livelihoods Coping Strategy Index (LCS)</w:t>
      </w:r>
      <w:r w:rsidR="00163670" w:rsidRPr="00F67691">
        <w:rPr>
          <w:rFonts w:cstheme="minorHAnsi"/>
        </w:rPr>
        <w:t xml:space="preserve">. The </w:t>
      </w:r>
      <w:hyperlink r:id="rId11" w:history="1">
        <w:r w:rsidR="00163670" w:rsidRPr="00F67691">
          <w:rPr>
            <w:rStyle w:val="Hyperlink"/>
            <w:rFonts w:cstheme="minorHAnsi"/>
          </w:rPr>
          <w:t xml:space="preserve">TECHNICAL GUIDANCE FOR WFP </w:t>
        </w:r>
        <w:r w:rsidR="0079333C" w:rsidRPr="00F67691">
          <w:rPr>
            <w:rStyle w:val="Hyperlink"/>
            <w:rFonts w:cstheme="minorHAnsi"/>
          </w:rPr>
          <w:t>C</w:t>
        </w:r>
        <w:r w:rsidR="00163670" w:rsidRPr="00F67691">
          <w:rPr>
            <w:rStyle w:val="Hyperlink"/>
            <w:rFonts w:cstheme="minorHAnsi"/>
          </w:rPr>
          <w:t>ARI</w:t>
        </w:r>
        <w:r w:rsidR="00863D52" w:rsidRPr="00F67691">
          <w:rPr>
            <w:rStyle w:val="Hyperlink"/>
            <w:rFonts w:cstheme="minorHAnsi"/>
          </w:rPr>
          <w:t>, 3</w:t>
        </w:r>
        <w:r w:rsidR="00863D52" w:rsidRPr="00F67691">
          <w:rPr>
            <w:rStyle w:val="Hyperlink"/>
            <w:rFonts w:cstheme="minorHAnsi"/>
            <w:vertAlign w:val="superscript"/>
          </w:rPr>
          <w:t>rd</w:t>
        </w:r>
        <w:r w:rsidR="00863D52" w:rsidRPr="00F67691">
          <w:rPr>
            <w:rStyle w:val="Hyperlink"/>
            <w:rFonts w:cstheme="minorHAnsi"/>
          </w:rPr>
          <w:t xml:space="preserve"> edition</w:t>
        </w:r>
      </w:hyperlink>
      <w:r w:rsidR="00863D52" w:rsidRPr="00F67691">
        <w:rPr>
          <w:rFonts w:cstheme="minorHAnsi"/>
        </w:rPr>
        <w:t xml:space="preserve"> was followed in </w:t>
      </w:r>
      <w:r w:rsidR="00703D47" w:rsidRPr="00F67691">
        <w:rPr>
          <w:rFonts w:cstheme="minorHAnsi"/>
        </w:rPr>
        <w:t>constructing the</w:t>
      </w:r>
      <w:r w:rsidR="00863D52" w:rsidRPr="00F67691">
        <w:rPr>
          <w:rFonts w:cstheme="minorHAnsi"/>
        </w:rPr>
        <w:t xml:space="preserve"> CARI, with minor adjustments. </w:t>
      </w:r>
    </w:p>
    <w:p w14:paraId="3FA4182D" w14:textId="154052AA" w:rsidR="00124E85" w:rsidRPr="00F67691" w:rsidRDefault="00124E85" w:rsidP="00124E85">
      <w:pPr>
        <w:pStyle w:val="Heading3"/>
        <w:rPr>
          <w:rFonts w:asciiTheme="minorHAnsi" w:hAnsiTheme="minorHAnsi" w:cstheme="minorHAnsi"/>
        </w:rPr>
      </w:pPr>
      <w:r w:rsidRPr="00F67691">
        <w:rPr>
          <w:rFonts w:asciiTheme="minorHAnsi" w:hAnsiTheme="minorHAnsi" w:cstheme="minorHAnsi"/>
        </w:rPr>
        <w:t>Food Consumption Score (FCS)</w:t>
      </w:r>
    </w:p>
    <w:p w14:paraId="39AEE94D" w14:textId="45FEBE79" w:rsidR="00513376" w:rsidRPr="00513376" w:rsidRDefault="00513376" w:rsidP="00513376">
      <w:pPr>
        <w:jc w:val="both"/>
        <w:rPr>
          <w:rFonts w:cstheme="minorHAnsi"/>
        </w:rPr>
      </w:pPr>
      <w:r w:rsidRPr="00513376">
        <w:rPr>
          <w:rFonts w:cstheme="minorHAnsi"/>
        </w:rPr>
        <w:t>The Food Consumption Score (FCS) is a proxy measure of a household’s access to food and is a key indicator used by the WFP to classify households based on the adequacy of food consumed in the week prior to the survey. In the 2024 MSNA data,</w:t>
      </w:r>
      <w:r w:rsidR="006C7D3A" w:rsidRPr="00F67691">
        <w:rPr>
          <w:rFonts w:cstheme="minorHAnsi"/>
        </w:rPr>
        <w:t xml:space="preserve"> the </w:t>
      </w:r>
      <w:hyperlink r:id="rId12" w:history="1">
        <w:r w:rsidR="006C7D3A" w:rsidRPr="00F67691">
          <w:rPr>
            <w:rStyle w:val="Hyperlink"/>
            <w:rFonts w:cstheme="minorHAnsi"/>
          </w:rPr>
          <w:t>standard guidance for calculating FSC</w:t>
        </w:r>
      </w:hyperlink>
      <w:r w:rsidR="006C7D3A" w:rsidRPr="00F67691">
        <w:rPr>
          <w:rFonts w:cstheme="minorHAnsi"/>
        </w:rPr>
        <w:t xml:space="preserve"> was </w:t>
      </w:r>
      <w:r w:rsidR="006C7D3A" w:rsidRPr="00513376">
        <w:rPr>
          <w:rFonts w:cstheme="minorHAnsi"/>
        </w:rPr>
        <w:t>applied. The FCS was calculated by multiplying the frequency of consumption for each food group by its respective weight, then summing the results to produce a total score. The f</w:t>
      </w:r>
      <w:r w:rsidR="00AA7299" w:rsidRPr="00F67691">
        <w:rPr>
          <w:rFonts w:cstheme="minorHAnsi"/>
        </w:rPr>
        <w:t>ood group and weights are:</w:t>
      </w:r>
    </w:p>
    <w:p w14:paraId="0638F6D5" w14:textId="77777777" w:rsidR="00513376" w:rsidRPr="00513376" w:rsidRDefault="00513376" w:rsidP="00A613D5">
      <w:pPr>
        <w:numPr>
          <w:ilvl w:val="0"/>
          <w:numId w:val="17"/>
        </w:numPr>
        <w:spacing w:after="0"/>
        <w:jc w:val="both"/>
        <w:rPr>
          <w:rFonts w:cstheme="minorHAnsi"/>
        </w:rPr>
      </w:pPr>
      <w:r w:rsidRPr="00513376">
        <w:rPr>
          <w:rFonts w:cstheme="minorHAnsi"/>
        </w:rPr>
        <w:t>Cereals, grains, and tubers (</w:t>
      </w:r>
      <w:proofErr w:type="spellStart"/>
      <w:r w:rsidRPr="00513376">
        <w:rPr>
          <w:rFonts w:cstheme="minorHAnsi"/>
        </w:rPr>
        <w:t>FCSStap</w:t>
      </w:r>
      <w:proofErr w:type="spellEnd"/>
      <w:r w:rsidRPr="00513376">
        <w:rPr>
          <w:rFonts w:cstheme="minorHAnsi"/>
        </w:rPr>
        <w:t>) – weight: 2,</w:t>
      </w:r>
    </w:p>
    <w:p w14:paraId="52620446" w14:textId="77777777" w:rsidR="00513376" w:rsidRPr="00513376" w:rsidRDefault="00513376" w:rsidP="00A613D5">
      <w:pPr>
        <w:numPr>
          <w:ilvl w:val="0"/>
          <w:numId w:val="17"/>
        </w:numPr>
        <w:spacing w:after="0"/>
        <w:jc w:val="both"/>
        <w:rPr>
          <w:rFonts w:cstheme="minorHAnsi"/>
        </w:rPr>
      </w:pPr>
      <w:r w:rsidRPr="00513376">
        <w:rPr>
          <w:rFonts w:cstheme="minorHAnsi"/>
        </w:rPr>
        <w:t>Pulses (</w:t>
      </w:r>
      <w:proofErr w:type="spellStart"/>
      <w:r w:rsidRPr="00513376">
        <w:rPr>
          <w:rFonts w:cstheme="minorHAnsi"/>
        </w:rPr>
        <w:t>FCSPulse</w:t>
      </w:r>
      <w:proofErr w:type="spellEnd"/>
      <w:r w:rsidRPr="00513376">
        <w:rPr>
          <w:rFonts w:cstheme="minorHAnsi"/>
        </w:rPr>
        <w:t>) – weight: 3,</w:t>
      </w:r>
    </w:p>
    <w:p w14:paraId="154AC26E" w14:textId="77777777" w:rsidR="00513376" w:rsidRPr="00513376" w:rsidRDefault="00513376" w:rsidP="00A613D5">
      <w:pPr>
        <w:numPr>
          <w:ilvl w:val="0"/>
          <w:numId w:val="17"/>
        </w:numPr>
        <w:spacing w:after="0"/>
        <w:jc w:val="both"/>
        <w:rPr>
          <w:rFonts w:cstheme="minorHAnsi"/>
        </w:rPr>
      </w:pPr>
      <w:r w:rsidRPr="00513376">
        <w:rPr>
          <w:rFonts w:cstheme="minorHAnsi"/>
        </w:rPr>
        <w:t>Dairy products (</w:t>
      </w:r>
      <w:proofErr w:type="spellStart"/>
      <w:r w:rsidRPr="00513376">
        <w:rPr>
          <w:rFonts w:cstheme="minorHAnsi"/>
        </w:rPr>
        <w:t>FSCDairy</w:t>
      </w:r>
      <w:proofErr w:type="spellEnd"/>
      <w:r w:rsidRPr="00513376">
        <w:rPr>
          <w:rFonts w:cstheme="minorHAnsi"/>
        </w:rPr>
        <w:t>) – weight: 4,</w:t>
      </w:r>
    </w:p>
    <w:p w14:paraId="7011B6FF" w14:textId="77777777" w:rsidR="00513376" w:rsidRPr="00513376" w:rsidRDefault="00513376" w:rsidP="00A613D5">
      <w:pPr>
        <w:numPr>
          <w:ilvl w:val="0"/>
          <w:numId w:val="17"/>
        </w:numPr>
        <w:spacing w:after="0"/>
        <w:jc w:val="both"/>
        <w:rPr>
          <w:rFonts w:cstheme="minorHAnsi"/>
        </w:rPr>
      </w:pPr>
      <w:r w:rsidRPr="00513376">
        <w:rPr>
          <w:rFonts w:cstheme="minorHAnsi"/>
        </w:rPr>
        <w:t>Meat, fish, and eggs (</w:t>
      </w:r>
      <w:proofErr w:type="spellStart"/>
      <w:r w:rsidRPr="00513376">
        <w:rPr>
          <w:rFonts w:cstheme="minorHAnsi"/>
        </w:rPr>
        <w:t>FCSPr</w:t>
      </w:r>
      <w:proofErr w:type="spellEnd"/>
      <w:r w:rsidRPr="00513376">
        <w:rPr>
          <w:rFonts w:cstheme="minorHAnsi"/>
        </w:rPr>
        <w:t>) – weight: 4,</w:t>
      </w:r>
    </w:p>
    <w:p w14:paraId="72A647F3" w14:textId="77777777" w:rsidR="00513376" w:rsidRPr="00513376" w:rsidRDefault="00513376" w:rsidP="00A613D5">
      <w:pPr>
        <w:numPr>
          <w:ilvl w:val="0"/>
          <w:numId w:val="17"/>
        </w:numPr>
        <w:spacing w:after="0"/>
        <w:jc w:val="both"/>
        <w:rPr>
          <w:rFonts w:cstheme="minorHAnsi"/>
        </w:rPr>
      </w:pPr>
      <w:r w:rsidRPr="00513376">
        <w:rPr>
          <w:rFonts w:cstheme="minorHAnsi"/>
        </w:rPr>
        <w:t>Vegetables (</w:t>
      </w:r>
      <w:proofErr w:type="spellStart"/>
      <w:r w:rsidRPr="00513376">
        <w:rPr>
          <w:rFonts w:cstheme="minorHAnsi"/>
        </w:rPr>
        <w:t>FCSVeg</w:t>
      </w:r>
      <w:proofErr w:type="spellEnd"/>
      <w:r w:rsidRPr="00513376">
        <w:rPr>
          <w:rFonts w:cstheme="minorHAnsi"/>
        </w:rPr>
        <w:t>) – weight: 1,</w:t>
      </w:r>
    </w:p>
    <w:p w14:paraId="70232418" w14:textId="77777777" w:rsidR="00513376" w:rsidRPr="00513376" w:rsidRDefault="00513376" w:rsidP="00A613D5">
      <w:pPr>
        <w:numPr>
          <w:ilvl w:val="0"/>
          <w:numId w:val="17"/>
        </w:numPr>
        <w:spacing w:after="0"/>
        <w:jc w:val="both"/>
        <w:rPr>
          <w:rFonts w:cstheme="minorHAnsi"/>
        </w:rPr>
      </w:pPr>
      <w:r w:rsidRPr="00513376">
        <w:rPr>
          <w:rFonts w:cstheme="minorHAnsi"/>
        </w:rPr>
        <w:t>Fruits (</w:t>
      </w:r>
      <w:proofErr w:type="spellStart"/>
      <w:r w:rsidRPr="00513376">
        <w:rPr>
          <w:rFonts w:cstheme="minorHAnsi"/>
        </w:rPr>
        <w:t>FCSFruit</w:t>
      </w:r>
      <w:proofErr w:type="spellEnd"/>
      <w:r w:rsidRPr="00513376">
        <w:rPr>
          <w:rFonts w:cstheme="minorHAnsi"/>
        </w:rPr>
        <w:t>) – weight: 1,</w:t>
      </w:r>
    </w:p>
    <w:p w14:paraId="0F2C9F70" w14:textId="77777777" w:rsidR="00513376" w:rsidRPr="00513376" w:rsidRDefault="00513376" w:rsidP="00A613D5">
      <w:pPr>
        <w:numPr>
          <w:ilvl w:val="0"/>
          <w:numId w:val="17"/>
        </w:numPr>
        <w:spacing w:after="0"/>
        <w:jc w:val="both"/>
        <w:rPr>
          <w:rFonts w:cstheme="minorHAnsi"/>
        </w:rPr>
      </w:pPr>
      <w:r w:rsidRPr="00513376">
        <w:rPr>
          <w:rFonts w:cstheme="minorHAnsi"/>
        </w:rPr>
        <w:t>Fat and oil (</w:t>
      </w:r>
      <w:proofErr w:type="spellStart"/>
      <w:r w:rsidRPr="00513376">
        <w:rPr>
          <w:rFonts w:cstheme="minorHAnsi"/>
        </w:rPr>
        <w:t>FCSFat</w:t>
      </w:r>
      <w:proofErr w:type="spellEnd"/>
      <w:r w:rsidRPr="00513376">
        <w:rPr>
          <w:rFonts w:cstheme="minorHAnsi"/>
        </w:rPr>
        <w:t>) – weight: 0.5,</w:t>
      </w:r>
    </w:p>
    <w:p w14:paraId="3DED42C3" w14:textId="77777777" w:rsidR="00513376" w:rsidRPr="00513376" w:rsidRDefault="00513376" w:rsidP="00A613D5">
      <w:pPr>
        <w:numPr>
          <w:ilvl w:val="0"/>
          <w:numId w:val="17"/>
        </w:numPr>
        <w:spacing w:after="0"/>
        <w:jc w:val="both"/>
        <w:rPr>
          <w:rFonts w:cstheme="minorHAnsi"/>
        </w:rPr>
      </w:pPr>
      <w:r w:rsidRPr="00513376">
        <w:rPr>
          <w:rFonts w:cstheme="minorHAnsi"/>
        </w:rPr>
        <w:t>Sugar or sweets (</w:t>
      </w:r>
      <w:proofErr w:type="spellStart"/>
      <w:r w:rsidRPr="00513376">
        <w:rPr>
          <w:rFonts w:cstheme="minorHAnsi"/>
        </w:rPr>
        <w:t>FSCSugar</w:t>
      </w:r>
      <w:proofErr w:type="spellEnd"/>
      <w:r w:rsidRPr="00513376">
        <w:rPr>
          <w:rFonts w:cstheme="minorHAnsi"/>
        </w:rPr>
        <w:t>) – weight: 0.5,</w:t>
      </w:r>
    </w:p>
    <w:p w14:paraId="5226F9B9" w14:textId="77777777" w:rsidR="00513376" w:rsidRPr="00513376" w:rsidRDefault="00513376" w:rsidP="00A613D5">
      <w:pPr>
        <w:numPr>
          <w:ilvl w:val="0"/>
          <w:numId w:val="17"/>
        </w:numPr>
        <w:jc w:val="both"/>
        <w:rPr>
          <w:rFonts w:cstheme="minorHAnsi"/>
        </w:rPr>
      </w:pPr>
      <w:r w:rsidRPr="00513376">
        <w:rPr>
          <w:rFonts w:cstheme="minorHAnsi"/>
        </w:rPr>
        <w:t>Condiments or spices (</w:t>
      </w:r>
      <w:proofErr w:type="spellStart"/>
      <w:r w:rsidRPr="00513376">
        <w:rPr>
          <w:rFonts w:cstheme="minorHAnsi"/>
        </w:rPr>
        <w:t>FCSCond</w:t>
      </w:r>
      <w:proofErr w:type="spellEnd"/>
      <w:r w:rsidRPr="00513376">
        <w:rPr>
          <w:rFonts w:cstheme="minorHAnsi"/>
        </w:rPr>
        <w:t>) – weight: 0 (not included in the calculation due to its zero weight).</w:t>
      </w:r>
    </w:p>
    <w:p w14:paraId="4BD727B3" w14:textId="0482F2E8" w:rsidR="00513376" w:rsidRPr="00513376" w:rsidRDefault="00513376" w:rsidP="00513376">
      <w:pPr>
        <w:jc w:val="both"/>
        <w:rPr>
          <w:rFonts w:cstheme="minorHAnsi"/>
        </w:rPr>
      </w:pPr>
      <w:r w:rsidRPr="00513376">
        <w:rPr>
          <w:rFonts w:cstheme="minorHAnsi"/>
        </w:rPr>
        <w:t xml:space="preserve">Households were then categorized based on </w:t>
      </w:r>
      <w:r w:rsidR="00A62F3B" w:rsidRPr="00F67691">
        <w:rPr>
          <w:rFonts w:cstheme="minorHAnsi"/>
        </w:rPr>
        <w:t>the following</w:t>
      </w:r>
      <w:r w:rsidRPr="00513376">
        <w:rPr>
          <w:rFonts w:cstheme="minorHAnsi"/>
        </w:rPr>
        <w:t xml:space="preserve"> FCS thresholds:</w:t>
      </w:r>
    </w:p>
    <w:p w14:paraId="181AD266" w14:textId="77777777" w:rsidR="00513376" w:rsidRPr="00513376" w:rsidRDefault="00513376" w:rsidP="00A613D5">
      <w:pPr>
        <w:numPr>
          <w:ilvl w:val="0"/>
          <w:numId w:val="18"/>
        </w:numPr>
        <w:spacing w:after="0"/>
        <w:jc w:val="both"/>
        <w:rPr>
          <w:rFonts w:cstheme="minorHAnsi"/>
        </w:rPr>
      </w:pPr>
      <w:r w:rsidRPr="00513376">
        <w:rPr>
          <w:rFonts w:cstheme="minorHAnsi"/>
        </w:rPr>
        <w:t>Poor food consumption: Scores of 28 or below,</w:t>
      </w:r>
    </w:p>
    <w:p w14:paraId="58065AC3" w14:textId="77777777" w:rsidR="00513376" w:rsidRPr="00513376" w:rsidRDefault="00513376" w:rsidP="00A613D5">
      <w:pPr>
        <w:numPr>
          <w:ilvl w:val="0"/>
          <w:numId w:val="18"/>
        </w:numPr>
        <w:spacing w:after="0"/>
        <w:jc w:val="both"/>
        <w:rPr>
          <w:rFonts w:cstheme="minorHAnsi"/>
        </w:rPr>
      </w:pPr>
      <w:r w:rsidRPr="00513376">
        <w:rPr>
          <w:rFonts w:cstheme="minorHAnsi"/>
        </w:rPr>
        <w:t>Borderline food consumption: Scores between 28 and 42,</w:t>
      </w:r>
    </w:p>
    <w:p w14:paraId="72AF5D32" w14:textId="308474E4" w:rsidR="00124E85" w:rsidRPr="00513376" w:rsidRDefault="00513376" w:rsidP="00E91812">
      <w:pPr>
        <w:numPr>
          <w:ilvl w:val="0"/>
          <w:numId w:val="18"/>
        </w:numPr>
        <w:jc w:val="both"/>
        <w:rPr>
          <w:rFonts w:cstheme="minorHAnsi"/>
        </w:rPr>
      </w:pPr>
      <w:r w:rsidRPr="00513376">
        <w:rPr>
          <w:rFonts w:cstheme="minorHAnsi"/>
        </w:rPr>
        <w:t>Acceptable food consumption: Scores above 42.</w:t>
      </w:r>
    </w:p>
    <w:p w14:paraId="3D7054B3" w14:textId="196E3CB5" w:rsidR="00124E85" w:rsidRPr="00F67691" w:rsidRDefault="00124E85" w:rsidP="00124E85">
      <w:pPr>
        <w:pStyle w:val="Heading3"/>
        <w:rPr>
          <w:rFonts w:asciiTheme="minorHAnsi" w:hAnsiTheme="minorHAnsi" w:cstheme="minorHAnsi"/>
        </w:rPr>
      </w:pPr>
      <w:r w:rsidRPr="00F67691">
        <w:rPr>
          <w:rFonts w:asciiTheme="minorHAnsi" w:hAnsiTheme="minorHAnsi" w:cstheme="minorHAnsi"/>
        </w:rPr>
        <w:t>Reduced Coping Strategy Index (RCSI)</w:t>
      </w:r>
    </w:p>
    <w:p w14:paraId="0B06CB7E" w14:textId="465EC9CB" w:rsidR="003F140C" w:rsidRPr="00BE0F9C" w:rsidRDefault="005D5EB8" w:rsidP="003F140C">
      <w:pPr>
        <w:jc w:val="both"/>
        <w:rPr>
          <w:rFonts w:cstheme="minorHAnsi"/>
        </w:rPr>
      </w:pPr>
      <w:r w:rsidRPr="00F67691">
        <w:rPr>
          <w:rFonts w:cstheme="minorHAnsi"/>
        </w:rPr>
        <w:t>The</w:t>
      </w:r>
      <w:r w:rsidRPr="00F67691">
        <w:rPr>
          <w:rFonts w:cstheme="minorHAnsi"/>
          <w:b/>
          <w:bCs/>
        </w:rPr>
        <w:t xml:space="preserve"> </w:t>
      </w:r>
      <w:r w:rsidR="00BE0F9C" w:rsidRPr="00BE0F9C">
        <w:rPr>
          <w:rFonts w:cstheme="minorHAnsi"/>
        </w:rPr>
        <w:t>Reduced Coping Strategy Index (</w:t>
      </w:r>
      <w:r w:rsidR="00915285" w:rsidRPr="00F67691">
        <w:rPr>
          <w:rFonts w:cstheme="minorHAnsi"/>
        </w:rPr>
        <w:t>R</w:t>
      </w:r>
      <w:r w:rsidR="00BE0F9C" w:rsidRPr="00BE0F9C">
        <w:rPr>
          <w:rFonts w:cstheme="minorHAnsi"/>
        </w:rPr>
        <w:t>CSI) measures the stress households face due to food shortages by assessing how often they use different coping strategies.</w:t>
      </w:r>
      <w:r w:rsidR="003F140C" w:rsidRPr="00F67691">
        <w:rPr>
          <w:rFonts w:cstheme="minorHAnsi"/>
        </w:rPr>
        <w:t xml:space="preserve"> </w:t>
      </w:r>
      <w:r w:rsidR="003F140C" w:rsidRPr="00BE0F9C">
        <w:rPr>
          <w:rFonts w:cstheme="minorHAnsi"/>
        </w:rPr>
        <w:t xml:space="preserve">In the </w:t>
      </w:r>
      <w:r w:rsidR="00915285" w:rsidRPr="00F67691">
        <w:rPr>
          <w:rFonts w:cstheme="minorHAnsi"/>
        </w:rPr>
        <w:t>R</w:t>
      </w:r>
      <w:r w:rsidR="003F140C" w:rsidRPr="00F67691">
        <w:rPr>
          <w:rFonts w:cstheme="minorHAnsi"/>
        </w:rPr>
        <w:t>CSI module</w:t>
      </w:r>
      <w:r w:rsidR="003F140C" w:rsidRPr="00BE0F9C">
        <w:rPr>
          <w:rFonts w:cstheme="minorHAnsi"/>
        </w:rPr>
        <w:t xml:space="preserve">, </w:t>
      </w:r>
      <w:r w:rsidR="00915285" w:rsidRPr="00F67691">
        <w:rPr>
          <w:rFonts w:cstheme="minorHAnsi"/>
        </w:rPr>
        <w:t xml:space="preserve">there were </w:t>
      </w:r>
      <w:r w:rsidR="003F140C" w:rsidRPr="00BE0F9C">
        <w:rPr>
          <w:rFonts w:cstheme="minorHAnsi"/>
        </w:rPr>
        <w:t xml:space="preserve">1,097 instances </w:t>
      </w:r>
      <w:r w:rsidR="00915285" w:rsidRPr="00F67691">
        <w:rPr>
          <w:rFonts w:cstheme="minorHAnsi"/>
        </w:rPr>
        <w:t xml:space="preserve">which </w:t>
      </w:r>
      <w:r w:rsidR="003F140C" w:rsidRPr="00BE0F9C">
        <w:rPr>
          <w:rFonts w:cstheme="minorHAnsi"/>
        </w:rPr>
        <w:t xml:space="preserve">had missing values for these coping indicators. These missing values were </w:t>
      </w:r>
      <w:r w:rsidR="003F140C" w:rsidRPr="00F67691">
        <w:rPr>
          <w:rFonts w:cstheme="minorHAnsi"/>
        </w:rPr>
        <w:t>imputed</w:t>
      </w:r>
      <w:r w:rsidR="003F140C" w:rsidRPr="00BE0F9C">
        <w:rPr>
          <w:rFonts w:cstheme="minorHAnsi"/>
        </w:rPr>
        <w:t xml:space="preserve"> using a Generalized Linear Model (GLM), with household size, number of children, respondent’s gender and age, presence of a household member with a disability, whether the household is rural or urban, ownership of productive assets or land, income per capita, and the region (oblast) as explanatory variables.</w:t>
      </w:r>
    </w:p>
    <w:p w14:paraId="1BF815A6" w14:textId="2D783EC8" w:rsidR="00351D34" w:rsidRPr="00BE0F9C" w:rsidRDefault="00351D34" w:rsidP="00351D34">
      <w:pPr>
        <w:jc w:val="both"/>
        <w:rPr>
          <w:rFonts w:cstheme="minorHAnsi"/>
        </w:rPr>
      </w:pPr>
      <w:r w:rsidRPr="00BE0F9C">
        <w:rPr>
          <w:rFonts w:cstheme="minorHAnsi"/>
        </w:rPr>
        <w:t xml:space="preserve">In </w:t>
      </w:r>
      <w:hyperlink r:id="rId13" w:history="1">
        <w:r w:rsidRPr="00BE0F9C">
          <w:rPr>
            <w:rStyle w:val="Hyperlink"/>
            <w:rFonts w:cstheme="minorHAnsi"/>
          </w:rPr>
          <w:t xml:space="preserve">the standard </w:t>
        </w:r>
        <w:r w:rsidR="00A613D5" w:rsidRPr="00F67691">
          <w:rPr>
            <w:rStyle w:val="Hyperlink"/>
            <w:rFonts w:cstheme="minorHAnsi"/>
          </w:rPr>
          <w:t>R</w:t>
        </w:r>
        <w:r w:rsidRPr="00BE0F9C">
          <w:rPr>
            <w:rStyle w:val="Hyperlink"/>
            <w:rFonts w:cstheme="minorHAnsi"/>
          </w:rPr>
          <w:t>CSI calculation</w:t>
        </w:r>
      </w:hyperlink>
      <w:r w:rsidRPr="00BE0F9C">
        <w:rPr>
          <w:rFonts w:cstheme="minorHAnsi"/>
        </w:rPr>
        <w:t>, the weights assigned to each coping behavior are:</w:t>
      </w:r>
    </w:p>
    <w:p w14:paraId="264FD206" w14:textId="150E0969" w:rsidR="00BE0F9C" w:rsidRPr="00BE0F9C" w:rsidRDefault="00BE0F9C" w:rsidP="00A613D5">
      <w:pPr>
        <w:numPr>
          <w:ilvl w:val="0"/>
          <w:numId w:val="13"/>
        </w:numPr>
        <w:spacing w:after="0"/>
        <w:jc w:val="both"/>
        <w:rPr>
          <w:rFonts w:cstheme="minorHAnsi"/>
        </w:rPr>
      </w:pPr>
      <w:r w:rsidRPr="00BE0F9C">
        <w:rPr>
          <w:rFonts w:cstheme="minorHAnsi"/>
        </w:rPr>
        <w:t>Relying on less preferred or cheaper food (</w:t>
      </w:r>
      <w:proofErr w:type="spellStart"/>
      <w:r w:rsidRPr="00BE0F9C">
        <w:rPr>
          <w:rFonts w:cstheme="minorHAnsi"/>
        </w:rPr>
        <w:t>rCSILessQlty</w:t>
      </w:r>
      <w:proofErr w:type="spellEnd"/>
      <w:r w:rsidRPr="00BE0F9C">
        <w:rPr>
          <w:rFonts w:cstheme="minorHAnsi"/>
        </w:rPr>
        <w:t>)</w:t>
      </w:r>
      <w:r w:rsidR="00351D34" w:rsidRPr="00F67691">
        <w:rPr>
          <w:rFonts w:cstheme="minorHAnsi"/>
        </w:rPr>
        <w:t xml:space="preserve"> </w:t>
      </w:r>
      <w:r w:rsidR="00351D34" w:rsidRPr="00513376">
        <w:rPr>
          <w:rFonts w:cstheme="minorHAnsi"/>
        </w:rPr>
        <w:t xml:space="preserve">– weight: </w:t>
      </w:r>
      <w:r w:rsidR="00E40B47" w:rsidRPr="00F67691">
        <w:rPr>
          <w:rFonts w:cstheme="minorHAnsi"/>
        </w:rPr>
        <w:t>1</w:t>
      </w:r>
      <w:r w:rsidR="00351D34" w:rsidRPr="00513376">
        <w:rPr>
          <w:rFonts w:cstheme="minorHAnsi"/>
        </w:rPr>
        <w:t>,</w:t>
      </w:r>
    </w:p>
    <w:p w14:paraId="5F38FB08" w14:textId="1F8BFF57" w:rsidR="00BE0F9C" w:rsidRPr="00BE0F9C" w:rsidRDefault="00BE0F9C" w:rsidP="00A613D5">
      <w:pPr>
        <w:numPr>
          <w:ilvl w:val="0"/>
          <w:numId w:val="13"/>
        </w:numPr>
        <w:spacing w:after="0"/>
        <w:jc w:val="both"/>
        <w:rPr>
          <w:rFonts w:cstheme="minorHAnsi"/>
        </w:rPr>
      </w:pPr>
      <w:r w:rsidRPr="00BE0F9C">
        <w:rPr>
          <w:rFonts w:cstheme="minorHAnsi"/>
        </w:rPr>
        <w:t>Borrowing food or seeking help from friends or family (</w:t>
      </w:r>
      <w:proofErr w:type="spellStart"/>
      <w:r w:rsidRPr="00BE0F9C">
        <w:rPr>
          <w:rFonts w:cstheme="minorHAnsi"/>
        </w:rPr>
        <w:t>rCSIBorrow</w:t>
      </w:r>
      <w:proofErr w:type="spellEnd"/>
      <w:r w:rsidRPr="00BE0F9C">
        <w:rPr>
          <w:rFonts w:cstheme="minorHAnsi"/>
        </w:rPr>
        <w:t>)</w:t>
      </w:r>
      <w:r w:rsidR="00351D34" w:rsidRPr="00F67691">
        <w:rPr>
          <w:rFonts w:cstheme="minorHAnsi"/>
        </w:rPr>
        <w:t xml:space="preserve"> </w:t>
      </w:r>
      <w:r w:rsidR="00351D34" w:rsidRPr="00F67691">
        <w:rPr>
          <w:rFonts w:cstheme="minorHAnsi"/>
        </w:rPr>
        <w:softHyphen/>
      </w:r>
      <w:r w:rsidR="00351D34" w:rsidRPr="00F67691">
        <w:rPr>
          <w:rFonts w:cstheme="minorHAnsi"/>
        </w:rPr>
        <w:softHyphen/>
      </w:r>
      <w:r w:rsidR="00351D34" w:rsidRPr="00513376">
        <w:rPr>
          <w:rFonts w:cstheme="minorHAnsi"/>
        </w:rPr>
        <w:t>– weight: 2,</w:t>
      </w:r>
    </w:p>
    <w:p w14:paraId="28034D5B" w14:textId="4B9F66C6" w:rsidR="00BE0F9C" w:rsidRPr="00BE0F9C" w:rsidRDefault="00BE0F9C" w:rsidP="00A613D5">
      <w:pPr>
        <w:numPr>
          <w:ilvl w:val="0"/>
          <w:numId w:val="13"/>
        </w:numPr>
        <w:spacing w:after="0"/>
        <w:jc w:val="both"/>
        <w:rPr>
          <w:rFonts w:cstheme="minorHAnsi"/>
        </w:rPr>
      </w:pPr>
      <w:r w:rsidRPr="00BE0F9C">
        <w:rPr>
          <w:rFonts w:cstheme="minorHAnsi"/>
        </w:rPr>
        <w:t>Reducing the number of meals per day (</w:t>
      </w:r>
      <w:proofErr w:type="spellStart"/>
      <w:r w:rsidRPr="00BE0F9C">
        <w:rPr>
          <w:rFonts w:cstheme="minorHAnsi"/>
        </w:rPr>
        <w:t>rCSIMealNb</w:t>
      </w:r>
      <w:proofErr w:type="spellEnd"/>
      <w:r w:rsidRPr="00BE0F9C">
        <w:rPr>
          <w:rFonts w:cstheme="minorHAnsi"/>
        </w:rPr>
        <w:t>)</w:t>
      </w:r>
      <w:r w:rsidR="00351D34" w:rsidRPr="00F67691">
        <w:rPr>
          <w:rFonts w:cstheme="minorHAnsi"/>
        </w:rPr>
        <w:t xml:space="preserve"> </w:t>
      </w:r>
      <w:r w:rsidR="00351D34" w:rsidRPr="00513376">
        <w:rPr>
          <w:rFonts w:cstheme="minorHAnsi"/>
        </w:rPr>
        <w:t xml:space="preserve">– weight: </w:t>
      </w:r>
      <w:r w:rsidR="00E40B47" w:rsidRPr="00F67691">
        <w:rPr>
          <w:rFonts w:cstheme="minorHAnsi"/>
        </w:rPr>
        <w:t>1</w:t>
      </w:r>
      <w:r w:rsidR="00351D34" w:rsidRPr="00513376">
        <w:rPr>
          <w:rFonts w:cstheme="minorHAnsi"/>
        </w:rPr>
        <w:t>,</w:t>
      </w:r>
    </w:p>
    <w:p w14:paraId="21BB61AB" w14:textId="72F4F10B" w:rsidR="00BE0F9C" w:rsidRPr="00BE0F9C" w:rsidRDefault="00BE0F9C" w:rsidP="00A613D5">
      <w:pPr>
        <w:numPr>
          <w:ilvl w:val="0"/>
          <w:numId w:val="13"/>
        </w:numPr>
        <w:spacing w:after="0"/>
        <w:jc w:val="both"/>
        <w:rPr>
          <w:rFonts w:cstheme="minorHAnsi"/>
        </w:rPr>
      </w:pPr>
      <w:r w:rsidRPr="00BE0F9C">
        <w:rPr>
          <w:rFonts w:cstheme="minorHAnsi"/>
        </w:rPr>
        <w:t>Reducing the portion size of meals (</w:t>
      </w:r>
      <w:proofErr w:type="spellStart"/>
      <w:r w:rsidRPr="00BE0F9C">
        <w:rPr>
          <w:rFonts w:cstheme="minorHAnsi"/>
        </w:rPr>
        <w:t>rCSIMealSize</w:t>
      </w:r>
      <w:proofErr w:type="spellEnd"/>
      <w:r w:rsidRPr="00BE0F9C">
        <w:rPr>
          <w:rFonts w:cstheme="minorHAnsi"/>
        </w:rPr>
        <w:t>)</w:t>
      </w:r>
      <w:r w:rsidR="00351D34" w:rsidRPr="00F67691">
        <w:rPr>
          <w:rFonts w:cstheme="minorHAnsi"/>
        </w:rPr>
        <w:t xml:space="preserve"> </w:t>
      </w:r>
      <w:r w:rsidR="00351D34" w:rsidRPr="00513376">
        <w:rPr>
          <w:rFonts w:cstheme="minorHAnsi"/>
        </w:rPr>
        <w:t xml:space="preserve">– weight: </w:t>
      </w:r>
      <w:r w:rsidR="00E40B47" w:rsidRPr="00F67691">
        <w:rPr>
          <w:rFonts w:cstheme="minorHAnsi"/>
        </w:rPr>
        <w:t>1</w:t>
      </w:r>
      <w:r w:rsidR="00351D34" w:rsidRPr="00513376">
        <w:rPr>
          <w:rFonts w:cstheme="minorHAnsi"/>
        </w:rPr>
        <w:t>,</w:t>
      </w:r>
    </w:p>
    <w:p w14:paraId="2C9EAD25" w14:textId="0376FB35" w:rsidR="00BE0F9C" w:rsidRPr="00BE0F9C" w:rsidRDefault="00BE0F9C" w:rsidP="00351D34">
      <w:pPr>
        <w:numPr>
          <w:ilvl w:val="0"/>
          <w:numId w:val="13"/>
        </w:numPr>
        <w:jc w:val="both"/>
        <w:rPr>
          <w:rFonts w:cstheme="minorHAnsi"/>
        </w:rPr>
      </w:pPr>
      <w:r w:rsidRPr="00BE0F9C">
        <w:rPr>
          <w:rFonts w:cstheme="minorHAnsi"/>
        </w:rPr>
        <w:t>Limiting adult consumption so children can eat (</w:t>
      </w:r>
      <w:proofErr w:type="spellStart"/>
      <w:r w:rsidRPr="00BE0F9C">
        <w:rPr>
          <w:rFonts w:cstheme="minorHAnsi"/>
        </w:rPr>
        <w:t>rCSIMealAdult</w:t>
      </w:r>
      <w:proofErr w:type="spellEnd"/>
      <w:r w:rsidRPr="00BE0F9C">
        <w:rPr>
          <w:rFonts w:cstheme="minorHAnsi"/>
        </w:rPr>
        <w:t>)</w:t>
      </w:r>
      <w:r w:rsidR="00351D34" w:rsidRPr="00F67691">
        <w:rPr>
          <w:rFonts w:cstheme="minorHAnsi"/>
        </w:rPr>
        <w:t xml:space="preserve"> </w:t>
      </w:r>
      <w:r w:rsidR="00351D34" w:rsidRPr="00513376">
        <w:rPr>
          <w:rFonts w:cstheme="minorHAnsi"/>
        </w:rPr>
        <w:t xml:space="preserve">– weight: </w:t>
      </w:r>
      <w:r w:rsidR="00E40B47" w:rsidRPr="00F67691">
        <w:rPr>
          <w:rFonts w:cstheme="minorHAnsi"/>
        </w:rPr>
        <w:t>3</w:t>
      </w:r>
      <w:r w:rsidR="00351D34" w:rsidRPr="00F67691">
        <w:rPr>
          <w:rFonts w:cstheme="minorHAnsi"/>
        </w:rPr>
        <w:t>.</w:t>
      </w:r>
    </w:p>
    <w:p w14:paraId="6C84C575" w14:textId="56A8535D" w:rsidR="00BE0F9C" w:rsidRPr="00BE0F9C" w:rsidRDefault="00BE0F9C" w:rsidP="00BE0F9C">
      <w:pPr>
        <w:jc w:val="both"/>
        <w:rPr>
          <w:rFonts w:cstheme="minorHAnsi"/>
        </w:rPr>
      </w:pPr>
      <w:r w:rsidRPr="00BE0F9C">
        <w:rPr>
          <w:rFonts w:cstheme="minorHAnsi"/>
        </w:rPr>
        <w:lastRenderedPageBreak/>
        <w:t>However, this standard method tends to underestimate the coping strategies used by households without children. Since reducing adult meals to prioritize children’s meals carries the highest weight (3), households without children are less likely to be seen as using significant coping strategies. This is a particular concern in the 2024 MSNA data for Ukraine, where over 65% of households surveyed do not have children.</w:t>
      </w:r>
      <w:r w:rsidR="00A60664" w:rsidRPr="00F67691">
        <w:rPr>
          <w:rFonts w:cstheme="minorHAnsi"/>
        </w:rPr>
        <w:t xml:space="preserve"> </w:t>
      </w:r>
      <w:r w:rsidRPr="00BE0F9C">
        <w:rPr>
          <w:rFonts w:cstheme="minorHAnsi"/>
        </w:rPr>
        <w:t xml:space="preserve">After receiving the necessary approval, the </w:t>
      </w:r>
      <w:proofErr w:type="spellStart"/>
      <w:r w:rsidRPr="00BE0F9C">
        <w:rPr>
          <w:rFonts w:cstheme="minorHAnsi"/>
        </w:rPr>
        <w:t>rCSI</w:t>
      </w:r>
      <w:proofErr w:type="spellEnd"/>
      <w:r w:rsidRPr="00BE0F9C">
        <w:rPr>
          <w:rFonts w:cstheme="minorHAnsi"/>
        </w:rPr>
        <w:t xml:space="preserve"> was recalculated with adjusted weights. The new weights were based on how frequently each coping strategy was used, assigning the highest weight (3) to the most common strategy, the next highest weight (2) to the second most common, and a weight of 1 to the others. This adjustment increased the average </w:t>
      </w:r>
      <w:proofErr w:type="spellStart"/>
      <w:r w:rsidRPr="00BE0F9C">
        <w:rPr>
          <w:rFonts w:cstheme="minorHAnsi"/>
        </w:rPr>
        <w:t>rCSI</w:t>
      </w:r>
      <w:proofErr w:type="spellEnd"/>
      <w:r w:rsidRPr="00BE0F9C">
        <w:rPr>
          <w:rFonts w:cstheme="minorHAnsi"/>
        </w:rPr>
        <w:t xml:space="preserve"> from 4.38 to 7.95.</w:t>
      </w:r>
    </w:p>
    <w:p w14:paraId="68B67668" w14:textId="4714CEAF" w:rsidR="00BE0F9C" w:rsidRPr="00BE0F9C" w:rsidRDefault="00BE0F9C" w:rsidP="00860FF8">
      <w:pPr>
        <w:tabs>
          <w:tab w:val="num" w:pos="720"/>
        </w:tabs>
        <w:jc w:val="both"/>
        <w:rPr>
          <w:rFonts w:cstheme="minorHAnsi"/>
        </w:rPr>
      </w:pPr>
      <w:r w:rsidRPr="00BE0F9C">
        <w:rPr>
          <w:rFonts w:cstheme="minorHAnsi"/>
        </w:rPr>
        <w:t xml:space="preserve">The adjusted </w:t>
      </w:r>
      <w:proofErr w:type="spellStart"/>
      <w:r w:rsidRPr="00BE0F9C">
        <w:rPr>
          <w:rFonts w:cstheme="minorHAnsi"/>
        </w:rPr>
        <w:t>rCSI</w:t>
      </w:r>
      <w:proofErr w:type="spellEnd"/>
      <w:r w:rsidRPr="00BE0F9C">
        <w:rPr>
          <w:rFonts w:cstheme="minorHAnsi"/>
        </w:rPr>
        <w:t xml:space="preserve"> </w:t>
      </w:r>
      <w:r w:rsidR="00E27990" w:rsidRPr="00F67691">
        <w:rPr>
          <w:rFonts w:cstheme="minorHAnsi"/>
        </w:rPr>
        <w:t>formula has</w:t>
      </w:r>
      <w:r w:rsidR="00860FF8" w:rsidRPr="00F67691">
        <w:rPr>
          <w:rFonts w:cstheme="minorHAnsi"/>
        </w:rPr>
        <w:t xml:space="preserve"> the following weight </w:t>
      </w:r>
      <w:proofErr w:type="spellStart"/>
      <w:r w:rsidRPr="00BE0F9C">
        <w:rPr>
          <w:rFonts w:cstheme="minorHAnsi"/>
        </w:rPr>
        <w:t>rCSILessQlty</w:t>
      </w:r>
      <w:proofErr w:type="spellEnd"/>
      <w:r w:rsidRPr="00BE0F9C">
        <w:rPr>
          <w:rFonts w:cstheme="minorHAnsi"/>
        </w:rPr>
        <w:t xml:space="preserve"> (weight = 3),</w:t>
      </w:r>
      <w:r w:rsidR="00860FF8" w:rsidRPr="00F67691">
        <w:rPr>
          <w:rFonts w:cstheme="minorHAnsi"/>
        </w:rPr>
        <w:t xml:space="preserve"> </w:t>
      </w:r>
      <w:proofErr w:type="spellStart"/>
      <w:r w:rsidRPr="00BE0F9C">
        <w:rPr>
          <w:rFonts w:cstheme="minorHAnsi"/>
        </w:rPr>
        <w:t>rCSIBorrow</w:t>
      </w:r>
      <w:proofErr w:type="spellEnd"/>
      <w:r w:rsidRPr="00BE0F9C">
        <w:rPr>
          <w:rFonts w:cstheme="minorHAnsi"/>
        </w:rPr>
        <w:t xml:space="preserve"> (weight = 1),</w:t>
      </w:r>
      <w:r w:rsidR="00860FF8" w:rsidRPr="00F67691">
        <w:rPr>
          <w:rFonts w:cstheme="minorHAnsi"/>
        </w:rPr>
        <w:t xml:space="preserve"> </w:t>
      </w:r>
      <w:proofErr w:type="spellStart"/>
      <w:r w:rsidRPr="00BE0F9C">
        <w:rPr>
          <w:rFonts w:cstheme="minorHAnsi"/>
        </w:rPr>
        <w:t>rCSIMealNb</w:t>
      </w:r>
      <w:proofErr w:type="spellEnd"/>
      <w:r w:rsidRPr="00BE0F9C">
        <w:rPr>
          <w:rFonts w:cstheme="minorHAnsi"/>
        </w:rPr>
        <w:t xml:space="preserve"> (weight = 1),</w:t>
      </w:r>
      <w:r w:rsidR="00860FF8" w:rsidRPr="00F67691">
        <w:rPr>
          <w:rFonts w:cstheme="minorHAnsi"/>
        </w:rPr>
        <w:t xml:space="preserve"> </w:t>
      </w:r>
      <w:proofErr w:type="spellStart"/>
      <w:r w:rsidRPr="00BE0F9C">
        <w:rPr>
          <w:rFonts w:cstheme="minorHAnsi"/>
        </w:rPr>
        <w:t>rCSIMealSize</w:t>
      </w:r>
      <w:proofErr w:type="spellEnd"/>
      <w:r w:rsidRPr="00BE0F9C">
        <w:rPr>
          <w:rFonts w:cstheme="minorHAnsi"/>
        </w:rPr>
        <w:t xml:space="preserve"> (weight = 2),</w:t>
      </w:r>
      <w:r w:rsidR="00860FF8" w:rsidRPr="00F67691">
        <w:rPr>
          <w:rFonts w:cstheme="minorHAnsi"/>
        </w:rPr>
        <w:t xml:space="preserve"> </w:t>
      </w:r>
      <w:proofErr w:type="spellStart"/>
      <w:r w:rsidRPr="00BE0F9C">
        <w:rPr>
          <w:rFonts w:cstheme="minorHAnsi"/>
        </w:rPr>
        <w:t>rCSIMealAdult</w:t>
      </w:r>
      <w:proofErr w:type="spellEnd"/>
      <w:r w:rsidRPr="00BE0F9C">
        <w:rPr>
          <w:rFonts w:cstheme="minorHAnsi"/>
        </w:rPr>
        <w:t xml:space="preserve"> (weight = 1).</w:t>
      </w:r>
    </w:p>
    <w:p w14:paraId="3AE96586" w14:textId="3DFB968D" w:rsidR="00BE0F9C" w:rsidRPr="00BE0F9C" w:rsidRDefault="00BE0F9C" w:rsidP="00BE0F9C">
      <w:pPr>
        <w:jc w:val="both"/>
        <w:rPr>
          <w:rFonts w:cstheme="minorHAnsi"/>
        </w:rPr>
      </w:pPr>
      <w:r w:rsidRPr="00BE0F9C">
        <w:rPr>
          <w:rFonts w:cstheme="minorHAnsi"/>
        </w:rPr>
        <w:t xml:space="preserve">The adjusted </w:t>
      </w:r>
      <w:proofErr w:type="spellStart"/>
      <w:r w:rsidRPr="00BE0F9C">
        <w:rPr>
          <w:rFonts w:cstheme="minorHAnsi"/>
        </w:rPr>
        <w:t>rCSI</w:t>
      </w:r>
      <w:proofErr w:type="spellEnd"/>
      <w:r w:rsidRPr="00BE0F9C">
        <w:rPr>
          <w:rFonts w:cstheme="minorHAnsi"/>
        </w:rPr>
        <w:t xml:space="preserve"> scores were then grouped into three categories:</w:t>
      </w:r>
    </w:p>
    <w:p w14:paraId="26E8952E" w14:textId="77777777" w:rsidR="00BE0F9C" w:rsidRPr="00BE0F9C" w:rsidRDefault="00BE0F9C" w:rsidP="00A613D5">
      <w:pPr>
        <w:numPr>
          <w:ilvl w:val="0"/>
          <w:numId w:val="16"/>
        </w:numPr>
        <w:spacing w:after="0"/>
        <w:jc w:val="both"/>
        <w:rPr>
          <w:rFonts w:cstheme="minorHAnsi"/>
        </w:rPr>
      </w:pPr>
      <w:r w:rsidRPr="00BE0F9C">
        <w:rPr>
          <w:rFonts w:cstheme="minorHAnsi"/>
        </w:rPr>
        <w:t>Scores of 3 or less indicate "Low coping level",</w:t>
      </w:r>
    </w:p>
    <w:p w14:paraId="43AFD4D6" w14:textId="77777777" w:rsidR="00BE0F9C" w:rsidRPr="00BE0F9C" w:rsidRDefault="00BE0F9C" w:rsidP="00A613D5">
      <w:pPr>
        <w:numPr>
          <w:ilvl w:val="0"/>
          <w:numId w:val="16"/>
        </w:numPr>
        <w:spacing w:after="0"/>
        <w:jc w:val="both"/>
        <w:rPr>
          <w:rFonts w:cstheme="minorHAnsi"/>
        </w:rPr>
      </w:pPr>
      <w:r w:rsidRPr="00BE0F9C">
        <w:rPr>
          <w:rFonts w:cstheme="minorHAnsi"/>
        </w:rPr>
        <w:t>Scores between 4 and 18 indicate "Medium coping level",</w:t>
      </w:r>
    </w:p>
    <w:p w14:paraId="7424DF66" w14:textId="0260B4BC" w:rsidR="006B479D" w:rsidRPr="00F67691" w:rsidRDefault="00BE0F9C" w:rsidP="00F766B3">
      <w:pPr>
        <w:numPr>
          <w:ilvl w:val="0"/>
          <w:numId w:val="16"/>
        </w:numPr>
        <w:jc w:val="both"/>
        <w:rPr>
          <w:rFonts w:cstheme="minorHAnsi"/>
        </w:rPr>
      </w:pPr>
      <w:r w:rsidRPr="00BE0F9C">
        <w:rPr>
          <w:rFonts w:cstheme="minorHAnsi"/>
        </w:rPr>
        <w:t>Scores above 18 indicate "High coping level."</w:t>
      </w:r>
    </w:p>
    <w:p w14:paraId="15ED1101" w14:textId="42B201BE" w:rsidR="00124E85" w:rsidRPr="00F67691" w:rsidRDefault="00124E85" w:rsidP="00124E85">
      <w:pPr>
        <w:pStyle w:val="Heading3"/>
        <w:rPr>
          <w:rFonts w:asciiTheme="minorHAnsi" w:hAnsiTheme="minorHAnsi" w:cstheme="minorHAnsi"/>
        </w:rPr>
      </w:pPr>
      <w:r w:rsidRPr="00F67691">
        <w:rPr>
          <w:rFonts w:asciiTheme="minorHAnsi" w:hAnsiTheme="minorHAnsi" w:cstheme="minorHAnsi"/>
        </w:rPr>
        <w:t>Livelihoods Coping Strategy Index (LCS)</w:t>
      </w:r>
    </w:p>
    <w:p w14:paraId="4D1A74C5" w14:textId="618A163A" w:rsidR="00B31F6E" w:rsidRPr="00F67691" w:rsidRDefault="00A3318B" w:rsidP="00B31F6E">
      <w:pPr>
        <w:jc w:val="both"/>
        <w:rPr>
          <w:rFonts w:cstheme="minorHAnsi"/>
        </w:rPr>
      </w:pPr>
      <w:r w:rsidRPr="00F67691">
        <w:rPr>
          <w:rFonts w:cstheme="minorHAnsi"/>
        </w:rPr>
        <w:t xml:space="preserve">The </w:t>
      </w:r>
      <w:r w:rsidR="004333EF" w:rsidRPr="00F67691">
        <w:rPr>
          <w:rFonts w:cstheme="minorHAnsi"/>
        </w:rPr>
        <w:t>Livelihoods Coping Strategy Index (LCS</w:t>
      </w:r>
      <w:r w:rsidR="00860B46" w:rsidRPr="00F67691">
        <w:rPr>
          <w:rFonts w:cstheme="minorHAnsi"/>
        </w:rPr>
        <w:t>)</w:t>
      </w:r>
      <w:r w:rsidRPr="00F67691">
        <w:rPr>
          <w:rFonts w:cstheme="minorHAnsi"/>
        </w:rPr>
        <w:t xml:space="preserve"> for</w:t>
      </w:r>
      <w:r w:rsidR="00132BEA" w:rsidRPr="00F67691">
        <w:rPr>
          <w:rFonts w:cstheme="minorHAnsi"/>
        </w:rPr>
        <w:t xml:space="preserve"> food security indicator</w:t>
      </w:r>
      <w:r w:rsidR="00860B46" w:rsidRPr="00F67691">
        <w:rPr>
          <w:rFonts w:cstheme="minorHAnsi"/>
        </w:rPr>
        <w:t xml:space="preserve"> is used in the CARI</w:t>
      </w:r>
      <w:r w:rsidR="00132BEA" w:rsidRPr="00F67691">
        <w:rPr>
          <w:rFonts w:cstheme="minorHAnsi"/>
        </w:rPr>
        <w:t xml:space="preserve"> as a descriptor of a household’s Coping Capacity. The </w:t>
      </w:r>
      <w:r w:rsidR="00FB3CAD" w:rsidRPr="00F67691">
        <w:rPr>
          <w:rFonts w:cstheme="minorHAnsi"/>
        </w:rPr>
        <w:t xml:space="preserve">Livelihood Coping Strategies – Food Security (LCS-FS) </w:t>
      </w:r>
      <w:r w:rsidR="00132BEA" w:rsidRPr="00F67691">
        <w:rPr>
          <w:rFonts w:cstheme="minorHAnsi"/>
        </w:rPr>
        <w:t>is derived from a series of questions related to households’ experiences with livelihood strategies due to lack of food during the 30 days prior to survey.</w:t>
      </w:r>
      <w:r w:rsidR="004929EA" w:rsidRPr="00F67691">
        <w:rPr>
          <w:rFonts w:cstheme="minorHAnsi"/>
        </w:rPr>
        <w:t xml:space="preserve"> </w:t>
      </w:r>
      <w:r w:rsidR="00457619" w:rsidRPr="00F67691">
        <w:rPr>
          <w:rFonts w:cstheme="minorHAnsi"/>
        </w:rPr>
        <w:t>However, t</w:t>
      </w:r>
      <w:r w:rsidR="004929EA" w:rsidRPr="00F67691">
        <w:rPr>
          <w:rFonts w:cstheme="minorHAnsi"/>
        </w:rPr>
        <w:t xml:space="preserve">he 2024 MSNA data </w:t>
      </w:r>
      <w:r w:rsidR="0069154C" w:rsidRPr="00F67691">
        <w:rPr>
          <w:rFonts w:cstheme="minorHAnsi"/>
        </w:rPr>
        <w:t>collected the</w:t>
      </w:r>
      <w:r w:rsidR="004929EA" w:rsidRPr="00F67691">
        <w:rPr>
          <w:rFonts w:cstheme="minorHAnsi"/>
        </w:rPr>
        <w:t xml:space="preserve"> </w:t>
      </w:r>
      <w:r w:rsidR="000C7409" w:rsidRPr="00F67691">
        <w:rPr>
          <w:rFonts w:cstheme="minorHAnsi"/>
        </w:rPr>
        <w:t>Livelihood Coping Strategies - Essential Needs (LCS-EN) module</w:t>
      </w:r>
      <w:r w:rsidR="00E91D33" w:rsidRPr="00F67691">
        <w:rPr>
          <w:rFonts w:cstheme="minorHAnsi"/>
        </w:rPr>
        <w:t xml:space="preserve">, with following coping strategies: </w:t>
      </w:r>
      <w:r w:rsidR="00B31F6E" w:rsidRPr="00F67691">
        <w:rPr>
          <w:rFonts w:cstheme="minorHAnsi"/>
        </w:rPr>
        <w:t xml:space="preserve"> </w:t>
      </w:r>
    </w:p>
    <w:p w14:paraId="0AFE8A27" w14:textId="5CB18458" w:rsidR="00B31F6E" w:rsidRPr="00F67691" w:rsidRDefault="00B31F6E" w:rsidP="00E91D33">
      <w:pPr>
        <w:pStyle w:val="ListParagraph"/>
        <w:numPr>
          <w:ilvl w:val="0"/>
          <w:numId w:val="19"/>
        </w:numPr>
        <w:jc w:val="both"/>
        <w:rPr>
          <w:rFonts w:cstheme="minorHAnsi"/>
        </w:rPr>
      </w:pPr>
      <w:r w:rsidRPr="00F67691">
        <w:rPr>
          <w:rFonts w:cstheme="minorHAnsi"/>
        </w:rPr>
        <w:t xml:space="preserve">Stress: </w:t>
      </w:r>
      <w:r w:rsidR="004A5905" w:rsidRPr="00F67691">
        <w:rPr>
          <w:rFonts w:cstheme="minorHAnsi"/>
        </w:rPr>
        <w:t xml:space="preserve">Sell household </w:t>
      </w:r>
      <w:r w:rsidR="00C06D47" w:rsidRPr="00F67691">
        <w:rPr>
          <w:rFonts w:cstheme="minorHAnsi"/>
        </w:rPr>
        <w:t xml:space="preserve">non-productive asset; </w:t>
      </w:r>
      <w:r w:rsidRPr="00F67691">
        <w:rPr>
          <w:rFonts w:cstheme="minorHAnsi"/>
        </w:rPr>
        <w:t xml:space="preserve">Spend savings or consumed stocks for a rainy day; Purchase food on credit or borrowed food; Get an additional job. </w:t>
      </w:r>
    </w:p>
    <w:p w14:paraId="6206B2D0" w14:textId="138636A5" w:rsidR="00B31F6E" w:rsidRPr="00F67691" w:rsidRDefault="00B31F6E" w:rsidP="00E91D33">
      <w:pPr>
        <w:pStyle w:val="ListParagraph"/>
        <w:numPr>
          <w:ilvl w:val="0"/>
          <w:numId w:val="19"/>
        </w:numPr>
        <w:jc w:val="both"/>
        <w:rPr>
          <w:rFonts w:cstheme="minorHAnsi"/>
        </w:rPr>
      </w:pPr>
      <w:r w:rsidRPr="00F67691">
        <w:rPr>
          <w:rFonts w:cstheme="minorHAnsi"/>
        </w:rPr>
        <w:t>Crises: Sell productive assets or means of transport (sewing machine, bicycle, car, etc.); Reduce essential health expenditures (including drugs, etc.); Reduce essential education expenditures.</w:t>
      </w:r>
    </w:p>
    <w:p w14:paraId="006153EB" w14:textId="704B5229" w:rsidR="00B31F6E" w:rsidRPr="00F67691" w:rsidRDefault="00B31F6E" w:rsidP="00E91D33">
      <w:pPr>
        <w:pStyle w:val="ListParagraph"/>
        <w:numPr>
          <w:ilvl w:val="0"/>
          <w:numId w:val="19"/>
        </w:numPr>
        <w:jc w:val="both"/>
        <w:rPr>
          <w:rFonts w:cstheme="minorHAnsi"/>
        </w:rPr>
      </w:pPr>
      <w:r w:rsidRPr="00F67691">
        <w:rPr>
          <w:rFonts w:cstheme="minorHAnsi"/>
        </w:rPr>
        <w:t xml:space="preserve">Emergency:  Sell housing or land; Use degrading sources of income, illegal work, or </w:t>
      </w:r>
      <w:proofErr w:type="gramStart"/>
      <w:r w:rsidRPr="00F67691">
        <w:rPr>
          <w:rFonts w:cstheme="minorHAnsi"/>
        </w:rPr>
        <w:t>high risk</w:t>
      </w:r>
      <w:proofErr w:type="gramEnd"/>
      <w:r w:rsidRPr="00F67691">
        <w:rPr>
          <w:rFonts w:cstheme="minorHAnsi"/>
        </w:rPr>
        <w:t xml:space="preserve"> jobs; </w:t>
      </w:r>
      <w:proofErr w:type="gramStart"/>
      <w:r w:rsidRPr="00F67691">
        <w:rPr>
          <w:rFonts w:cstheme="minorHAnsi"/>
        </w:rPr>
        <w:t>Have to</w:t>
      </w:r>
      <w:proofErr w:type="gramEnd"/>
      <w:r w:rsidRPr="00F67691">
        <w:rPr>
          <w:rFonts w:cstheme="minorHAnsi"/>
        </w:rPr>
        <w:t xml:space="preserve"> ask strangers for money. </w:t>
      </w:r>
    </w:p>
    <w:p w14:paraId="35F50A3C" w14:textId="063D5372" w:rsidR="00AF02A8" w:rsidRPr="00F67691" w:rsidRDefault="00AF02A8" w:rsidP="00FE6AFE">
      <w:pPr>
        <w:jc w:val="both"/>
        <w:rPr>
          <w:rFonts w:cstheme="minorHAnsi"/>
        </w:rPr>
      </w:pPr>
      <w:r w:rsidRPr="00F67691">
        <w:rPr>
          <w:rFonts w:cstheme="minorHAnsi"/>
        </w:rPr>
        <w:t>According to standard guidance for calculating</w:t>
      </w:r>
      <w:r w:rsidR="007333EB" w:rsidRPr="00F67691">
        <w:rPr>
          <w:rFonts w:cstheme="minorHAnsi"/>
        </w:rPr>
        <w:t xml:space="preserve"> </w:t>
      </w:r>
      <w:hyperlink r:id="rId14" w:history="1">
        <w:r w:rsidR="007333EB" w:rsidRPr="00F67691">
          <w:rPr>
            <w:rStyle w:val="Hyperlink"/>
            <w:rFonts w:cstheme="minorHAnsi"/>
          </w:rPr>
          <w:t>the standard guidance for calculating LCS-EN</w:t>
        </w:r>
      </w:hyperlink>
      <w:r w:rsidR="007333EB" w:rsidRPr="00F67691">
        <w:rPr>
          <w:rFonts w:cstheme="minorHAnsi"/>
        </w:rPr>
        <w:t xml:space="preserve"> </w:t>
      </w:r>
      <w:r w:rsidRPr="00F67691">
        <w:rPr>
          <w:rFonts w:cstheme="minorHAnsi"/>
        </w:rPr>
        <w:t>households are considered to be using a coping strategy if they answered "Yes" to having used it or if they responded "No, because we have already exhausted this strategy and can no longer use it." This approach accounts for households that have depleted certain strategies due to prolonged food insecurity. At the analysis stage, the LCS-FS was calculated by considering the severity of the coping strategies, but only for households that indicated they used these strategies specifically ‘to buy food.’</w:t>
      </w:r>
    </w:p>
    <w:p w14:paraId="0120A197" w14:textId="05936EB8" w:rsidR="00124E85" w:rsidRPr="00F67691" w:rsidRDefault="007D04DB" w:rsidP="0078617E">
      <w:pPr>
        <w:jc w:val="both"/>
        <w:rPr>
          <w:rFonts w:cstheme="minorHAnsi"/>
        </w:rPr>
      </w:pPr>
      <w:r w:rsidRPr="00F67691">
        <w:rPr>
          <w:rFonts w:cstheme="minorHAnsi"/>
        </w:rPr>
        <w:t>A categorical variable was created to represent the severity level of the most extreme coping strategy a household adopted. This variable ranges from 1 to 4, with households classified into one of four groups: (1) no use of stress, crisis, or emergency strategies, (2) use of stress strategies, (3) use of crisis strategies, and (4) use of emergency strategies.</w:t>
      </w:r>
    </w:p>
    <w:p w14:paraId="502161B0" w14:textId="2BAD6F36" w:rsidR="00124E85" w:rsidRPr="00F67691" w:rsidRDefault="00124E85" w:rsidP="00124E85">
      <w:pPr>
        <w:pStyle w:val="Heading3"/>
        <w:rPr>
          <w:rFonts w:asciiTheme="minorHAnsi" w:hAnsiTheme="minorHAnsi" w:cstheme="minorHAnsi"/>
        </w:rPr>
      </w:pPr>
      <w:r w:rsidRPr="00F67691">
        <w:rPr>
          <w:rFonts w:asciiTheme="minorHAnsi" w:hAnsiTheme="minorHAnsi" w:cstheme="minorHAnsi"/>
        </w:rPr>
        <w:t>Economic Capacity to Meet Essential Needs (ECMEN)</w:t>
      </w:r>
    </w:p>
    <w:p w14:paraId="275776B3" w14:textId="6B88FB61" w:rsidR="0078617E" w:rsidRPr="0078617E" w:rsidRDefault="0078617E" w:rsidP="0078617E">
      <w:pPr>
        <w:jc w:val="both"/>
        <w:rPr>
          <w:rFonts w:cstheme="minorHAnsi"/>
        </w:rPr>
      </w:pPr>
      <w:r w:rsidRPr="0078617E">
        <w:rPr>
          <w:rFonts w:cstheme="minorHAnsi"/>
        </w:rPr>
        <w:t>The Economic Capacity to Meet Essential Needs (ECMEN</w:t>
      </w:r>
      <w:r w:rsidRPr="0078617E">
        <w:rPr>
          <w:rFonts w:cstheme="minorHAnsi"/>
          <w:b/>
          <w:bCs/>
        </w:rPr>
        <w:t>)</w:t>
      </w:r>
      <w:r w:rsidRPr="0078617E">
        <w:rPr>
          <w:rFonts w:cstheme="minorHAnsi"/>
        </w:rPr>
        <w:t xml:space="preserve"> indicator assesses whether households can meet essential needs or at least their most critical needs. It captures the percentage of households whose </w:t>
      </w:r>
      <w:r w:rsidRPr="0078617E">
        <w:rPr>
          <w:rFonts w:cstheme="minorHAnsi"/>
        </w:rPr>
        <w:lastRenderedPageBreak/>
        <w:t xml:space="preserve">expenditures fall below the Survival Minimum Expenditure Basket (SMEB) or the Minimum Expenditure Basket (MEB). These baskets represent the cost of the minimum culturally appropriate items a household needs to survive for one month while maintaining basic standards for nutrition, water, and hygiene. In Ukraine, the MEB is set by humanitarian actors to guide the calculation of multipurpose/multisectoral cash transfer amounts, while the SMEB is defined by the government. For 2024, the SMEB is set at 3,250 UAH per person per month, and the MEB at 6,621 </w:t>
      </w:r>
      <w:proofErr w:type="gramStart"/>
      <w:r w:rsidRPr="0078617E">
        <w:rPr>
          <w:rFonts w:cstheme="minorHAnsi"/>
        </w:rPr>
        <w:t>UAH per person</w:t>
      </w:r>
      <w:proofErr w:type="gramEnd"/>
      <w:r w:rsidRPr="0078617E">
        <w:rPr>
          <w:rFonts w:cstheme="minorHAnsi"/>
        </w:rPr>
        <w:t xml:space="preserve"> per month. The original MEB value of 6,318 UAH, set in 2023, was adjusted for inflation in 2024.</w:t>
      </w:r>
    </w:p>
    <w:p w14:paraId="6171749C" w14:textId="34BBC0FB" w:rsidR="0078617E" w:rsidRPr="0078617E" w:rsidRDefault="0078617E" w:rsidP="0078617E">
      <w:pPr>
        <w:jc w:val="both"/>
        <w:rPr>
          <w:rFonts w:cstheme="minorHAnsi"/>
        </w:rPr>
      </w:pPr>
      <w:r w:rsidRPr="0078617E">
        <w:rPr>
          <w:rFonts w:cstheme="minorHAnsi"/>
        </w:rPr>
        <w:t>The ECMEN calculation</w:t>
      </w:r>
      <w:r w:rsidR="00356EB7" w:rsidRPr="00F67691">
        <w:rPr>
          <w:rFonts w:cstheme="minorHAnsi"/>
        </w:rPr>
        <w:t xml:space="preserve"> followed</w:t>
      </w:r>
      <w:r w:rsidRPr="0078617E">
        <w:rPr>
          <w:rFonts w:cstheme="minorHAnsi"/>
        </w:rPr>
        <w:t xml:space="preserve"> </w:t>
      </w:r>
      <w:hyperlink r:id="rId15" w:history="1">
        <w:r w:rsidR="00356EB7" w:rsidRPr="00F67691">
          <w:rPr>
            <w:rStyle w:val="Hyperlink"/>
            <w:rFonts w:cstheme="minorHAnsi"/>
          </w:rPr>
          <w:t>standard guidance</w:t>
        </w:r>
      </w:hyperlink>
      <w:r w:rsidRPr="0078617E">
        <w:rPr>
          <w:rFonts w:cstheme="minorHAnsi"/>
        </w:rPr>
        <w:t xml:space="preserve">. The ECMEN module included a list of food and non-food expenditures, where households were asked if they produced, purchased, or received any items in the 30 days prior to the survey. Households with access to these items were then asked if they knew the monetary value. If the household could not provide </w:t>
      </w:r>
      <w:proofErr w:type="gramStart"/>
      <w:r w:rsidRPr="0078617E">
        <w:rPr>
          <w:rFonts w:cstheme="minorHAnsi"/>
        </w:rPr>
        <w:t>a value</w:t>
      </w:r>
      <w:proofErr w:type="gramEnd"/>
      <w:r w:rsidRPr="0078617E">
        <w:rPr>
          <w:rFonts w:cstheme="minorHAnsi"/>
        </w:rPr>
        <w:t xml:space="preserve">, an imputation method was applied to estimate it, helping to distinguish missing values from zero expenditures. This imputation was conducted using a Generalized Linear Model (GLM) and included explanatory variables such as household size, number of children, respondent’s gender and age, presence of a household member with a disability, whether the household is rural or urban, ownership of productive assets or land, income per capita, and the </w:t>
      </w:r>
      <w:proofErr w:type="gramStart"/>
      <w:r w:rsidRPr="0078617E">
        <w:rPr>
          <w:rFonts w:cstheme="minorHAnsi"/>
        </w:rPr>
        <w:t>oblast</w:t>
      </w:r>
      <w:proofErr w:type="gramEnd"/>
      <w:r w:rsidRPr="0078617E">
        <w:rPr>
          <w:rFonts w:cstheme="minorHAnsi"/>
        </w:rPr>
        <w:t xml:space="preserve"> in which the household is located.</w:t>
      </w:r>
      <w:r w:rsidR="00B40ABF" w:rsidRPr="00F67691">
        <w:rPr>
          <w:rFonts w:cstheme="minorHAnsi"/>
        </w:rPr>
        <w:t xml:space="preserve"> Outliers were adjusted </w:t>
      </w:r>
      <w:r w:rsidR="00A47C39" w:rsidRPr="00F67691">
        <w:rPr>
          <w:rFonts w:cstheme="minorHAnsi"/>
        </w:rPr>
        <w:t xml:space="preserve">by replacing values above 99.5 percentile or below 0.5 percentile with the median value. </w:t>
      </w:r>
    </w:p>
    <w:p w14:paraId="0FDB9CE6" w14:textId="57BF06BB" w:rsidR="00450110" w:rsidRPr="00F67691" w:rsidRDefault="0078617E" w:rsidP="00450110">
      <w:pPr>
        <w:jc w:val="both"/>
        <w:rPr>
          <w:rFonts w:cstheme="minorHAnsi"/>
        </w:rPr>
      </w:pPr>
      <w:r w:rsidRPr="0078617E">
        <w:rPr>
          <w:rFonts w:cstheme="minorHAnsi"/>
        </w:rPr>
        <w:t xml:space="preserve">To adjust calculated food and non-food items for the cost of living, the government-provided Consumer Price Index (CPI) for each oblast was used. </w:t>
      </w:r>
      <w:r w:rsidR="00450110" w:rsidRPr="00F67691">
        <w:rPr>
          <w:rFonts w:cstheme="minorHAnsi"/>
        </w:rPr>
        <w:t xml:space="preserve">A cost-of-living adjustment is needed to account for regional differences in prices, ensuring fair comparisons of household economic capacity across various </w:t>
      </w:r>
      <w:proofErr w:type="gramStart"/>
      <w:r w:rsidR="00450110" w:rsidRPr="00F67691">
        <w:rPr>
          <w:rFonts w:cstheme="minorHAnsi"/>
        </w:rPr>
        <w:t>oblasts</w:t>
      </w:r>
      <w:proofErr w:type="gramEnd"/>
      <w:r w:rsidR="00450110" w:rsidRPr="00F67691">
        <w:rPr>
          <w:rFonts w:cstheme="minorHAnsi"/>
        </w:rPr>
        <w:t xml:space="preserve">. In Ukraine, as in many countries, the cost of goods and services varies significantly by oblast due to factors such as availability, transportation costs, and local demand. Without adjusting </w:t>
      </w:r>
      <w:proofErr w:type="gramStart"/>
      <w:r w:rsidR="00450110" w:rsidRPr="00F67691">
        <w:rPr>
          <w:rFonts w:cstheme="minorHAnsi"/>
        </w:rPr>
        <w:t>for</w:t>
      </w:r>
      <w:proofErr w:type="gramEnd"/>
      <w:r w:rsidR="00450110" w:rsidRPr="00F67691">
        <w:rPr>
          <w:rFonts w:cstheme="minorHAnsi"/>
        </w:rPr>
        <w:t xml:space="preserve"> these differences, households in high-cost oblasts may appear less economically secure simply because they face higher prices, not necessarily because they have fewer resources. The cost-of-living adjustment standardizes </w:t>
      </w:r>
      <w:proofErr w:type="gramStart"/>
      <w:r w:rsidR="00450110" w:rsidRPr="00F67691">
        <w:rPr>
          <w:rFonts w:cstheme="minorHAnsi"/>
        </w:rPr>
        <w:t>expenditures</w:t>
      </w:r>
      <w:proofErr w:type="gramEnd"/>
      <w:r w:rsidR="00450110" w:rsidRPr="00F67691">
        <w:rPr>
          <w:rFonts w:cstheme="minorHAnsi"/>
        </w:rPr>
        <w:t xml:space="preserve"> across oblasts, allowing us to more accurately assess and compare the real purchasing power of households, their ability to meet essential needs, and the level of support they may require.</w:t>
      </w:r>
    </w:p>
    <w:p w14:paraId="58937EBB" w14:textId="62E10562" w:rsidR="0078617E" w:rsidRPr="0078617E" w:rsidRDefault="0078617E" w:rsidP="0078617E">
      <w:pPr>
        <w:jc w:val="both"/>
        <w:rPr>
          <w:rFonts w:cstheme="minorHAnsi"/>
        </w:rPr>
      </w:pPr>
      <w:r w:rsidRPr="0078617E">
        <w:rPr>
          <w:rFonts w:cstheme="minorHAnsi"/>
        </w:rPr>
        <w:t xml:space="preserve">Typically, cost-of-living adjustments use the Paasche index, which is a composite price index that compares </w:t>
      </w:r>
      <w:r w:rsidR="002D39E9" w:rsidRPr="00F67691">
        <w:rPr>
          <w:rFonts w:cstheme="minorHAnsi"/>
        </w:rPr>
        <w:t>location specif</w:t>
      </w:r>
      <w:r w:rsidR="00E260A5" w:rsidRPr="00F67691">
        <w:rPr>
          <w:rFonts w:cstheme="minorHAnsi"/>
        </w:rPr>
        <w:t>ic</w:t>
      </w:r>
      <w:r w:rsidRPr="0078617E">
        <w:rPr>
          <w:rFonts w:cstheme="minorHAnsi"/>
        </w:rPr>
        <w:t xml:space="preserve"> prices to those of </w:t>
      </w:r>
      <w:r w:rsidR="00E260A5" w:rsidRPr="00F67691">
        <w:rPr>
          <w:rFonts w:cstheme="minorHAnsi"/>
        </w:rPr>
        <w:t>national price</w:t>
      </w:r>
      <w:r w:rsidRPr="0078617E">
        <w:rPr>
          <w:rFonts w:cstheme="minorHAnsi"/>
        </w:rPr>
        <w:t>, weighted by quantities. However, since the 2024 MSNA expenditure module lacked unit price and quantity data, the cost of living was adjusted using oblast-level CPI values. Each oblast was assigned a CPI based on the CPI data at the time of data collection—for example, Cherkaska has a CPI of 102.7, while Kyiv has a slightly lower CPI of 101.5. After assigning each oblast’s CPI, the national average CPI was calculated. The deflator for each oblast was then created by dividing each oblast’s CPI by the national average CPI. This deflator formula is shown below:</w:t>
      </w:r>
    </w:p>
    <w:p w14:paraId="541624B6" w14:textId="77777777" w:rsidR="00652FCB" w:rsidRPr="00F67691" w:rsidRDefault="00652FCB" w:rsidP="0078617E">
      <w:pPr>
        <w:jc w:val="both"/>
        <w:rPr>
          <w:rFonts w:cstheme="minorHAnsi"/>
          <w:b/>
          <w:bCs/>
        </w:rPr>
      </w:pPr>
      <w:r w:rsidRPr="00F67691">
        <w:rPr>
          <w:rFonts w:cstheme="minorHAnsi"/>
          <w:noProof/>
        </w:rPr>
        <w:drawing>
          <wp:inline distT="0" distB="0" distL="0" distR="0" wp14:anchorId="1B5B79B7" wp14:editId="1F591ED9">
            <wp:extent cx="4750044" cy="1606633"/>
            <wp:effectExtent l="0" t="0" r="0" b="0"/>
            <wp:docPr id="6309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7865" name=""/>
                    <pic:cNvPicPr/>
                  </pic:nvPicPr>
                  <pic:blipFill>
                    <a:blip r:embed="rId16"/>
                    <a:stretch>
                      <a:fillRect/>
                    </a:stretch>
                  </pic:blipFill>
                  <pic:spPr>
                    <a:xfrm>
                      <a:off x="0" y="0"/>
                      <a:ext cx="4750044" cy="1606633"/>
                    </a:xfrm>
                    <a:prstGeom prst="rect">
                      <a:avLst/>
                    </a:prstGeom>
                  </pic:spPr>
                </pic:pic>
              </a:graphicData>
            </a:graphic>
          </wp:inline>
        </w:drawing>
      </w:r>
      <w:r w:rsidRPr="00F67691">
        <w:rPr>
          <w:rFonts w:cstheme="minorHAnsi"/>
          <w:b/>
          <w:bCs/>
        </w:rPr>
        <w:t xml:space="preserve"> </w:t>
      </w:r>
    </w:p>
    <w:p w14:paraId="716EAD32" w14:textId="4487EE11" w:rsidR="0078617E" w:rsidRPr="0078617E" w:rsidRDefault="0078617E" w:rsidP="0078617E">
      <w:pPr>
        <w:jc w:val="both"/>
        <w:rPr>
          <w:rFonts w:cstheme="minorHAnsi"/>
        </w:rPr>
      </w:pPr>
      <w:r w:rsidRPr="0078617E">
        <w:rPr>
          <w:rFonts w:cstheme="minorHAnsi"/>
        </w:rPr>
        <w:lastRenderedPageBreak/>
        <w:t>To determine a household's economic capacity, all consumption expenditures were aggregated and then calculated on a per capita basis. Only expenditures representing a household’s own economic means were included, such as regular food and non-food items purchased with cash or credit and the value of food from the household's own production. The value of food and non-food items received as in-kind assistance or gifts was excluded, as it does not represent the household's independent economic capacity. Similarly, any cash assistance from WFP or partner humanitarian organizations was also deducted from the household’s economic capacity total.</w:t>
      </w:r>
    </w:p>
    <w:p w14:paraId="3DF73F04" w14:textId="77777777" w:rsidR="0078617E" w:rsidRPr="0078617E" w:rsidRDefault="0078617E" w:rsidP="0078617E">
      <w:pPr>
        <w:jc w:val="both"/>
        <w:rPr>
          <w:rFonts w:cstheme="minorHAnsi"/>
        </w:rPr>
      </w:pPr>
      <w:r w:rsidRPr="0078617E">
        <w:rPr>
          <w:rFonts w:cstheme="minorHAnsi"/>
        </w:rPr>
        <w:t>After calculating the ECMEN, households were categorized based on their total expenditures relative to the SMEB and MEB, resulting in three levels:</w:t>
      </w:r>
    </w:p>
    <w:p w14:paraId="51394D00" w14:textId="77777777" w:rsidR="0078617E" w:rsidRPr="0078617E" w:rsidRDefault="0078617E" w:rsidP="00A7108B">
      <w:pPr>
        <w:spacing w:after="0"/>
        <w:ind w:left="720"/>
        <w:jc w:val="both"/>
        <w:rPr>
          <w:rFonts w:cstheme="minorHAnsi"/>
        </w:rPr>
      </w:pPr>
      <w:r w:rsidRPr="0078617E">
        <w:rPr>
          <w:rFonts w:cstheme="minorHAnsi"/>
        </w:rPr>
        <w:t>Level 1: Households whose ECMEN total is below the SMEB.</w:t>
      </w:r>
    </w:p>
    <w:p w14:paraId="1E4BDCF5" w14:textId="77777777" w:rsidR="0078617E" w:rsidRPr="0078617E" w:rsidRDefault="0078617E" w:rsidP="00A7108B">
      <w:pPr>
        <w:spacing w:after="0"/>
        <w:ind w:left="720"/>
        <w:jc w:val="both"/>
        <w:rPr>
          <w:rFonts w:cstheme="minorHAnsi"/>
        </w:rPr>
      </w:pPr>
      <w:r w:rsidRPr="0078617E">
        <w:rPr>
          <w:rFonts w:cstheme="minorHAnsi"/>
        </w:rPr>
        <w:t>Level 2: Households whose ECMEN total falls between the SMEB and MEB.</w:t>
      </w:r>
    </w:p>
    <w:p w14:paraId="2198A1EC" w14:textId="0E794954" w:rsidR="00F62408" w:rsidRPr="00AF31B3" w:rsidRDefault="0078617E" w:rsidP="00E91812">
      <w:pPr>
        <w:ind w:left="720"/>
        <w:jc w:val="both"/>
        <w:rPr>
          <w:rFonts w:cstheme="minorHAnsi"/>
        </w:rPr>
      </w:pPr>
      <w:r w:rsidRPr="0078617E">
        <w:rPr>
          <w:rFonts w:cstheme="minorHAnsi"/>
        </w:rPr>
        <w:t>Level 3: Households whose ECMEN total exceeds the MEB.</w:t>
      </w:r>
    </w:p>
    <w:p w14:paraId="6470480B" w14:textId="0F962A9E" w:rsidR="0078617E" w:rsidRPr="00F67691" w:rsidRDefault="00F62408" w:rsidP="00F62408">
      <w:pPr>
        <w:pStyle w:val="Heading3"/>
        <w:rPr>
          <w:rFonts w:asciiTheme="minorHAnsi" w:hAnsiTheme="minorHAnsi" w:cstheme="minorHAnsi"/>
        </w:rPr>
      </w:pPr>
      <w:r w:rsidRPr="00F67691">
        <w:rPr>
          <w:rFonts w:asciiTheme="minorHAnsi" w:hAnsiTheme="minorHAnsi" w:cstheme="minorHAnsi"/>
        </w:rPr>
        <w:t>CARI classification</w:t>
      </w:r>
      <w:r w:rsidR="00AC4D3B" w:rsidRPr="00F67691">
        <w:rPr>
          <w:rFonts w:asciiTheme="minorHAnsi" w:hAnsiTheme="minorHAnsi" w:cstheme="minorHAnsi"/>
        </w:rPr>
        <w:t xml:space="preserve"> and Unadjusted PIN</w:t>
      </w:r>
    </w:p>
    <w:p w14:paraId="7A61B34E" w14:textId="50289A85" w:rsidR="009C635A" w:rsidRPr="009C635A" w:rsidRDefault="009C635A" w:rsidP="009C635A">
      <w:pPr>
        <w:jc w:val="both"/>
        <w:rPr>
          <w:rFonts w:cstheme="minorHAnsi"/>
        </w:rPr>
      </w:pPr>
      <w:r w:rsidRPr="009C635A">
        <w:rPr>
          <w:rFonts w:cstheme="minorHAnsi"/>
        </w:rPr>
        <w:t xml:space="preserve">The following steps were taken to calculate each household's overall food security classification using the </w:t>
      </w:r>
      <w:r w:rsidR="00F90456" w:rsidRPr="005F6335">
        <w:rPr>
          <w:rFonts w:cstheme="minorHAnsi"/>
        </w:rPr>
        <w:t>above</w:t>
      </w:r>
      <w:r w:rsidRPr="009C635A">
        <w:rPr>
          <w:rFonts w:cstheme="minorHAnsi"/>
        </w:rPr>
        <w:t xml:space="preserve"> food security indicators:</w:t>
      </w:r>
    </w:p>
    <w:p w14:paraId="1128C0D5" w14:textId="77777777" w:rsidR="009C635A" w:rsidRPr="009C635A" w:rsidRDefault="009C635A" w:rsidP="00F90456">
      <w:pPr>
        <w:numPr>
          <w:ilvl w:val="0"/>
          <w:numId w:val="21"/>
        </w:numPr>
        <w:spacing w:after="0"/>
        <w:jc w:val="both"/>
        <w:rPr>
          <w:rFonts w:cstheme="minorHAnsi"/>
        </w:rPr>
      </w:pPr>
      <w:r w:rsidRPr="009C635A">
        <w:rPr>
          <w:rFonts w:cstheme="minorHAnsi"/>
        </w:rPr>
        <w:t>Convert Indicators to a 4-Point Scale: All food security indicators were standardized to a 4-point scale to enable consistent comparison.</w:t>
      </w:r>
    </w:p>
    <w:p w14:paraId="637A6AD7" w14:textId="77777777" w:rsidR="009C635A" w:rsidRPr="009C635A" w:rsidRDefault="009C635A" w:rsidP="00F90456">
      <w:pPr>
        <w:numPr>
          <w:ilvl w:val="0"/>
          <w:numId w:val="21"/>
        </w:numPr>
        <w:spacing w:after="0"/>
        <w:jc w:val="both"/>
        <w:rPr>
          <w:rFonts w:cstheme="minorHAnsi"/>
        </w:rPr>
      </w:pPr>
      <w:r w:rsidRPr="009C635A">
        <w:rPr>
          <w:rFonts w:cstheme="minorHAnsi"/>
        </w:rPr>
        <w:t>Calculate the ‘Summary Indicator of Current Status (</w:t>
      </w:r>
      <w:proofErr w:type="gramStart"/>
      <w:r w:rsidRPr="009C635A">
        <w:rPr>
          <w:rFonts w:cstheme="minorHAnsi"/>
        </w:rPr>
        <w:t>CS)’</w:t>
      </w:r>
      <w:proofErr w:type="gramEnd"/>
      <w:r w:rsidRPr="009C635A">
        <w:rPr>
          <w:rFonts w:cstheme="minorHAnsi"/>
        </w:rPr>
        <w:t>: The "Current Status" domain, comprising the Food Consumption Score (FCS) and Reduced Coping Strategy Index (RCSI), was used to evaluate immediate food security conditions. For each household, an average score was calculated based on its 4-point scale ratings for these indicators.</w:t>
      </w:r>
    </w:p>
    <w:p w14:paraId="6A61B489" w14:textId="3FFEBAE2" w:rsidR="009C635A" w:rsidRPr="009C635A" w:rsidRDefault="009C635A" w:rsidP="00F90456">
      <w:pPr>
        <w:numPr>
          <w:ilvl w:val="0"/>
          <w:numId w:val="21"/>
        </w:numPr>
        <w:spacing w:after="0"/>
        <w:jc w:val="both"/>
        <w:rPr>
          <w:rFonts w:cstheme="minorHAnsi"/>
        </w:rPr>
      </w:pPr>
      <w:r w:rsidRPr="009C635A">
        <w:rPr>
          <w:rFonts w:cstheme="minorHAnsi"/>
        </w:rPr>
        <w:t xml:space="preserve">Calculate the ‘Summary Indicator of Coping Capacity (CC)’: The "Coping Capacity" domain, encompassing the Livelihood Coping Strategy </w:t>
      </w:r>
      <w:r w:rsidR="00621FEB" w:rsidRPr="005F6335">
        <w:rPr>
          <w:rFonts w:cstheme="minorHAnsi"/>
        </w:rPr>
        <w:t>– Food Security</w:t>
      </w:r>
      <w:r w:rsidRPr="009C635A">
        <w:rPr>
          <w:rFonts w:cstheme="minorHAnsi"/>
        </w:rPr>
        <w:t xml:space="preserve"> (LCS</w:t>
      </w:r>
      <w:r w:rsidR="00657FD1" w:rsidRPr="005F6335">
        <w:rPr>
          <w:rFonts w:cstheme="minorHAnsi"/>
        </w:rPr>
        <w:t>-FS</w:t>
      </w:r>
      <w:r w:rsidRPr="009C635A">
        <w:rPr>
          <w:rFonts w:cstheme="minorHAnsi"/>
        </w:rPr>
        <w:t>) and the Economic Capacity to Meet Essential Needs (ECMEN), reflects a household’s ability to manage food insecurity over time. An average score was calculated for each household based on its 4-point scale ratings for these indicators.</w:t>
      </w:r>
    </w:p>
    <w:p w14:paraId="4157E454" w14:textId="7BB86B8A" w:rsidR="009C635A" w:rsidRPr="009C635A" w:rsidRDefault="009C635A" w:rsidP="00F90456">
      <w:pPr>
        <w:numPr>
          <w:ilvl w:val="0"/>
          <w:numId w:val="21"/>
        </w:numPr>
        <w:spacing w:after="0"/>
        <w:jc w:val="both"/>
        <w:rPr>
          <w:rFonts w:cstheme="minorHAnsi"/>
        </w:rPr>
      </w:pPr>
      <w:proofErr w:type="gramStart"/>
      <w:r w:rsidRPr="009C635A">
        <w:rPr>
          <w:rFonts w:cstheme="minorHAnsi"/>
        </w:rPr>
        <w:t>Compute</w:t>
      </w:r>
      <w:proofErr w:type="gramEnd"/>
      <w:r w:rsidRPr="009C635A">
        <w:rPr>
          <w:rFonts w:cstheme="minorHAnsi"/>
        </w:rPr>
        <w:t xml:space="preserve"> the Overall Food Security Score: The final food security classification was obtained by averaging the CS and CC scores for each household: (CS+CC)/2</w:t>
      </w:r>
    </w:p>
    <w:p w14:paraId="63DF4E51" w14:textId="77777777" w:rsidR="009C635A" w:rsidRPr="009C635A" w:rsidRDefault="009C635A" w:rsidP="009C635A">
      <w:pPr>
        <w:numPr>
          <w:ilvl w:val="0"/>
          <w:numId w:val="21"/>
        </w:numPr>
        <w:jc w:val="both"/>
        <w:rPr>
          <w:rFonts w:cstheme="minorHAnsi"/>
        </w:rPr>
      </w:pPr>
      <w:r w:rsidRPr="009C635A">
        <w:rPr>
          <w:rFonts w:cstheme="minorHAnsi"/>
        </w:rPr>
        <w:t>Round to the Nearest Whole Number: The resulting score was rounded to the nearest integer, producing a final value between 1 and 4, which represents the household’s overall food security classification.</w:t>
      </w:r>
    </w:p>
    <w:p w14:paraId="36A9012F" w14:textId="77777777" w:rsidR="00536FB8" w:rsidRPr="00536FB8" w:rsidRDefault="00536FB8" w:rsidP="00536FB8">
      <w:pPr>
        <w:jc w:val="both"/>
        <w:rPr>
          <w:rFonts w:cstheme="minorHAnsi"/>
        </w:rPr>
      </w:pPr>
      <w:r w:rsidRPr="00536FB8">
        <w:rPr>
          <w:rFonts w:cstheme="minorHAnsi"/>
        </w:rPr>
        <w:t>The final stage of the CARI process involves converting each core indicator into a standardized 4-point classification scale. This scale assigns a score to each category as follows: 1 - Food Secure, 2 - Marginally Food Secure, 3 - Moderately Food Insecure, and 4 - Severely Food Insecure.</w:t>
      </w:r>
    </w:p>
    <w:p w14:paraId="7EAE5CF0" w14:textId="77777777" w:rsidR="00A44F93" w:rsidRPr="00F67691" w:rsidRDefault="00A44F93" w:rsidP="005F657B">
      <w:pPr>
        <w:jc w:val="both"/>
        <w:rPr>
          <w:rFonts w:cstheme="minorHAnsi"/>
        </w:rPr>
      </w:pPr>
    </w:p>
    <w:p w14:paraId="1573044D" w14:textId="77777777" w:rsidR="00A44F93" w:rsidRPr="00F67691" w:rsidRDefault="00A44F93" w:rsidP="005F657B">
      <w:pPr>
        <w:jc w:val="both"/>
        <w:rPr>
          <w:rFonts w:cstheme="minorHAnsi"/>
        </w:rPr>
      </w:pPr>
    </w:p>
    <w:p w14:paraId="4C41AEAA" w14:textId="77777777" w:rsidR="00A44F93" w:rsidRPr="00F67691" w:rsidRDefault="00A44F93" w:rsidP="005F657B">
      <w:pPr>
        <w:jc w:val="both"/>
        <w:rPr>
          <w:rFonts w:cstheme="minorHAnsi"/>
        </w:rPr>
      </w:pPr>
    </w:p>
    <w:p w14:paraId="76C04CA9" w14:textId="01B175A7" w:rsidR="00A44F93" w:rsidRPr="00F67691" w:rsidRDefault="00A44F93" w:rsidP="53B10442">
      <w:pPr>
        <w:jc w:val="both"/>
      </w:pPr>
    </w:p>
    <w:p w14:paraId="102FB462" w14:textId="345BFDA1" w:rsidR="004D39D3" w:rsidRPr="00F67691" w:rsidRDefault="004D39D3" w:rsidP="004D39D3">
      <w:pPr>
        <w:pStyle w:val="Heading1"/>
        <w:rPr>
          <w:rFonts w:asciiTheme="minorHAnsi" w:hAnsiTheme="minorHAnsi" w:cstheme="minorHAnsi"/>
        </w:rPr>
      </w:pPr>
      <w:r w:rsidRPr="00F67691">
        <w:rPr>
          <w:rFonts w:asciiTheme="minorHAnsi" w:hAnsiTheme="minorHAnsi" w:cstheme="minorHAnsi"/>
        </w:rPr>
        <w:lastRenderedPageBreak/>
        <w:t>Key tables</w:t>
      </w:r>
      <w:r w:rsidRPr="00F67691">
        <w:rPr>
          <w:rFonts w:asciiTheme="minorHAnsi" w:hAnsiTheme="minorHAnsi" w:cstheme="minorHAnsi"/>
        </w:rPr>
        <w:tab/>
      </w:r>
    </w:p>
    <w:p w14:paraId="39AD4CF8" w14:textId="49797F68" w:rsidR="004D39D3" w:rsidRPr="00F67691" w:rsidRDefault="00A44F93" w:rsidP="00A44F93">
      <w:pPr>
        <w:jc w:val="both"/>
        <w:rPr>
          <w:rFonts w:cstheme="minorHAnsi"/>
        </w:rPr>
      </w:pPr>
      <w:r w:rsidRPr="00F67691">
        <w:rPr>
          <w:rFonts w:cstheme="minorHAnsi"/>
        </w:rPr>
        <w:t xml:space="preserve">Table 1: </w:t>
      </w:r>
      <w:r w:rsidRPr="0078617E">
        <w:rPr>
          <w:rFonts w:cstheme="minorHAnsi"/>
        </w:rPr>
        <w:t>Final Adjustment Results for Cost-of-Living Deflator by Oblast:</w:t>
      </w:r>
    </w:p>
    <w:tbl>
      <w:tblPr>
        <w:tblStyle w:val="TableGrid"/>
        <w:tblW w:w="9328" w:type="dxa"/>
        <w:tblLook w:val="04A0" w:firstRow="1" w:lastRow="0" w:firstColumn="1" w:lastColumn="0" w:noHBand="0" w:noVBand="1"/>
      </w:tblPr>
      <w:tblGrid>
        <w:gridCol w:w="4948"/>
        <w:gridCol w:w="4380"/>
      </w:tblGrid>
      <w:tr w:rsidR="00A44F93" w:rsidRPr="0078617E" w14:paraId="7782128C" w14:textId="77777777" w:rsidTr="00AC4D8F">
        <w:trPr>
          <w:trHeight w:val="272"/>
        </w:trPr>
        <w:tc>
          <w:tcPr>
            <w:tcW w:w="0" w:type="auto"/>
            <w:hideMark/>
          </w:tcPr>
          <w:p w14:paraId="6DC38EFA" w14:textId="1BE37F87" w:rsidR="00A44F93" w:rsidRPr="0078617E" w:rsidRDefault="00A44F93" w:rsidP="00AC4D8F">
            <w:pPr>
              <w:spacing w:line="259" w:lineRule="auto"/>
              <w:jc w:val="both"/>
              <w:rPr>
                <w:rFonts w:cstheme="minorHAnsi"/>
              </w:rPr>
            </w:pPr>
            <w:r w:rsidRPr="0078617E">
              <w:rPr>
                <w:rFonts w:cstheme="minorHAnsi"/>
              </w:rPr>
              <w:t xml:space="preserve">Oblast </w:t>
            </w:r>
          </w:p>
        </w:tc>
        <w:tc>
          <w:tcPr>
            <w:tcW w:w="0" w:type="auto"/>
            <w:hideMark/>
          </w:tcPr>
          <w:p w14:paraId="0250F98C" w14:textId="77777777" w:rsidR="00A44F93" w:rsidRPr="0078617E" w:rsidRDefault="00A44F93" w:rsidP="00AC4D8F">
            <w:pPr>
              <w:spacing w:line="259" w:lineRule="auto"/>
              <w:jc w:val="both"/>
              <w:rPr>
                <w:rFonts w:cstheme="minorHAnsi"/>
              </w:rPr>
            </w:pPr>
            <w:r w:rsidRPr="0078617E">
              <w:rPr>
                <w:rFonts w:cstheme="minorHAnsi"/>
              </w:rPr>
              <w:t>Mean Deflator</w:t>
            </w:r>
          </w:p>
        </w:tc>
      </w:tr>
      <w:tr w:rsidR="00A44F93" w:rsidRPr="0078617E" w14:paraId="1FE44708" w14:textId="77777777" w:rsidTr="00AC4D8F">
        <w:trPr>
          <w:trHeight w:val="272"/>
        </w:trPr>
        <w:tc>
          <w:tcPr>
            <w:tcW w:w="0" w:type="auto"/>
            <w:hideMark/>
          </w:tcPr>
          <w:p w14:paraId="540E88E2" w14:textId="77777777" w:rsidR="00A44F93" w:rsidRPr="0078617E" w:rsidRDefault="00A44F93" w:rsidP="00AC4D8F">
            <w:pPr>
              <w:spacing w:line="259" w:lineRule="auto"/>
              <w:jc w:val="both"/>
              <w:rPr>
                <w:rFonts w:cstheme="minorHAnsi"/>
              </w:rPr>
            </w:pPr>
            <w:r w:rsidRPr="0078617E">
              <w:rPr>
                <w:rFonts w:cstheme="minorHAnsi"/>
              </w:rPr>
              <w:t>Cherkaska</w:t>
            </w:r>
          </w:p>
        </w:tc>
        <w:tc>
          <w:tcPr>
            <w:tcW w:w="0" w:type="auto"/>
            <w:hideMark/>
          </w:tcPr>
          <w:p w14:paraId="4CA638F7" w14:textId="77777777" w:rsidR="00A44F93" w:rsidRPr="0078617E" w:rsidRDefault="00A44F93" w:rsidP="00AC4D8F">
            <w:pPr>
              <w:jc w:val="both"/>
              <w:rPr>
                <w:rFonts w:cstheme="minorHAnsi"/>
              </w:rPr>
            </w:pPr>
            <w:r w:rsidRPr="0078617E">
              <w:rPr>
                <w:rFonts w:cstheme="minorHAnsi"/>
              </w:rPr>
              <w:t>1.0045</w:t>
            </w:r>
          </w:p>
        </w:tc>
      </w:tr>
      <w:tr w:rsidR="00A44F93" w:rsidRPr="0078617E" w14:paraId="3F4756B2" w14:textId="77777777" w:rsidTr="00AC4D8F">
        <w:trPr>
          <w:trHeight w:val="272"/>
        </w:trPr>
        <w:tc>
          <w:tcPr>
            <w:tcW w:w="0" w:type="auto"/>
            <w:hideMark/>
          </w:tcPr>
          <w:p w14:paraId="1385B595" w14:textId="77777777" w:rsidR="00A44F93" w:rsidRPr="0078617E" w:rsidRDefault="00A44F93" w:rsidP="00AC4D8F">
            <w:pPr>
              <w:jc w:val="both"/>
              <w:rPr>
                <w:rFonts w:cstheme="minorHAnsi"/>
              </w:rPr>
            </w:pPr>
            <w:proofErr w:type="spellStart"/>
            <w:r w:rsidRPr="0078617E">
              <w:rPr>
                <w:rFonts w:cstheme="minorHAnsi"/>
              </w:rPr>
              <w:t>Chernihivska</w:t>
            </w:r>
            <w:proofErr w:type="spellEnd"/>
          </w:p>
        </w:tc>
        <w:tc>
          <w:tcPr>
            <w:tcW w:w="0" w:type="auto"/>
            <w:hideMark/>
          </w:tcPr>
          <w:p w14:paraId="0B93C709" w14:textId="77777777" w:rsidR="00A44F93" w:rsidRPr="0078617E" w:rsidRDefault="00A44F93" w:rsidP="00AC4D8F">
            <w:pPr>
              <w:jc w:val="both"/>
              <w:rPr>
                <w:rFonts w:cstheme="minorHAnsi"/>
              </w:rPr>
            </w:pPr>
            <w:r w:rsidRPr="0078617E">
              <w:rPr>
                <w:rFonts w:cstheme="minorHAnsi"/>
              </w:rPr>
              <w:t>1.0006</w:t>
            </w:r>
          </w:p>
        </w:tc>
      </w:tr>
      <w:tr w:rsidR="00A44F93" w:rsidRPr="0078617E" w14:paraId="675FC77D" w14:textId="77777777" w:rsidTr="00AC4D8F">
        <w:trPr>
          <w:trHeight w:val="279"/>
        </w:trPr>
        <w:tc>
          <w:tcPr>
            <w:tcW w:w="0" w:type="auto"/>
            <w:hideMark/>
          </w:tcPr>
          <w:p w14:paraId="2ED5CDDF" w14:textId="77777777" w:rsidR="00A44F93" w:rsidRPr="0078617E" w:rsidRDefault="00A44F93" w:rsidP="00AC4D8F">
            <w:pPr>
              <w:jc w:val="both"/>
              <w:rPr>
                <w:rFonts w:cstheme="minorHAnsi"/>
              </w:rPr>
            </w:pPr>
            <w:proofErr w:type="spellStart"/>
            <w:r w:rsidRPr="0078617E">
              <w:rPr>
                <w:rFonts w:cstheme="minorHAnsi"/>
              </w:rPr>
              <w:t>Chernivetska</w:t>
            </w:r>
            <w:proofErr w:type="spellEnd"/>
          </w:p>
        </w:tc>
        <w:tc>
          <w:tcPr>
            <w:tcW w:w="0" w:type="auto"/>
            <w:hideMark/>
          </w:tcPr>
          <w:p w14:paraId="5B47AA5E" w14:textId="77777777" w:rsidR="00A44F93" w:rsidRPr="0078617E" w:rsidRDefault="00A44F93" w:rsidP="00AC4D8F">
            <w:pPr>
              <w:jc w:val="both"/>
              <w:rPr>
                <w:rFonts w:cstheme="minorHAnsi"/>
              </w:rPr>
            </w:pPr>
            <w:r w:rsidRPr="0078617E">
              <w:rPr>
                <w:rFonts w:cstheme="minorHAnsi"/>
              </w:rPr>
              <w:t>0.9996</w:t>
            </w:r>
          </w:p>
        </w:tc>
      </w:tr>
      <w:tr w:rsidR="00A44F93" w:rsidRPr="0078617E" w14:paraId="602E47BC" w14:textId="77777777" w:rsidTr="00AC4D8F">
        <w:trPr>
          <w:trHeight w:val="272"/>
        </w:trPr>
        <w:tc>
          <w:tcPr>
            <w:tcW w:w="0" w:type="auto"/>
            <w:hideMark/>
          </w:tcPr>
          <w:p w14:paraId="60750377" w14:textId="77777777" w:rsidR="00A44F93" w:rsidRPr="0078617E" w:rsidRDefault="00A44F93" w:rsidP="00AC4D8F">
            <w:pPr>
              <w:jc w:val="both"/>
              <w:rPr>
                <w:rFonts w:cstheme="minorHAnsi"/>
              </w:rPr>
            </w:pPr>
            <w:proofErr w:type="spellStart"/>
            <w:r w:rsidRPr="0078617E">
              <w:rPr>
                <w:rFonts w:cstheme="minorHAnsi"/>
              </w:rPr>
              <w:t>Dnipropetrovska</w:t>
            </w:r>
            <w:proofErr w:type="spellEnd"/>
          </w:p>
        </w:tc>
        <w:tc>
          <w:tcPr>
            <w:tcW w:w="0" w:type="auto"/>
            <w:hideMark/>
          </w:tcPr>
          <w:p w14:paraId="0412CC25" w14:textId="77777777" w:rsidR="00A44F93" w:rsidRPr="0078617E" w:rsidRDefault="00A44F93" w:rsidP="00AC4D8F">
            <w:pPr>
              <w:jc w:val="both"/>
              <w:rPr>
                <w:rFonts w:cstheme="minorHAnsi"/>
              </w:rPr>
            </w:pPr>
            <w:r w:rsidRPr="0078617E">
              <w:rPr>
                <w:rFonts w:cstheme="minorHAnsi"/>
              </w:rPr>
              <w:t>1.0025</w:t>
            </w:r>
          </w:p>
        </w:tc>
      </w:tr>
      <w:tr w:rsidR="00A44F93" w:rsidRPr="0078617E" w14:paraId="157D6649" w14:textId="77777777" w:rsidTr="00AC4D8F">
        <w:trPr>
          <w:trHeight w:val="279"/>
        </w:trPr>
        <w:tc>
          <w:tcPr>
            <w:tcW w:w="0" w:type="auto"/>
            <w:hideMark/>
          </w:tcPr>
          <w:p w14:paraId="6A82DC26" w14:textId="77777777" w:rsidR="00A44F93" w:rsidRPr="0078617E" w:rsidRDefault="00A44F93" w:rsidP="00AC4D8F">
            <w:pPr>
              <w:jc w:val="both"/>
              <w:rPr>
                <w:rFonts w:cstheme="minorHAnsi"/>
              </w:rPr>
            </w:pPr>
            <w:proofErr w:type="spellStart"/>
            <w:r w:rsidRPr="0078617E">
              <w:rPr>
                <w:rFonts w:cstheme="minorHAnsi"/>
              </w:rPr>
              <w:t>Donetska</w:t>
            </w:r>
            <w:proofErr w:type="spellEnd"/>
          </w:p>
        </w:tc>
        <w:tc>
          <w:tcPr>
            <w:tcW w:w="0" w:type="auto"/>
            <w:hideMark/>
          </w:tcPr>
          <w:p w14:paraId="39448A60" w14:textId="77777777" w:rsidR="00A44F93" w:rsidRPr="0078617E" w:rsidRDefault="00A44F93" w:rsidP="00AC4D8F">
            <w:pPr>
              <w:jc w:val="both"/>
              <w:rPr>
                <w:rFonts w:cstheme="minorHAnsi"/>
              </w:rPr>
            </w:pPr>
            <w:r w:rsidRPr="0078617E">
              <w:rPr>
                <w:rFonts w:cstheme="minorHAnsi"/>
              </w:rPr>
              <w:t>0.9986</w:t>
            </w:r>
          </w:p>
        </w:tc>
      </w:tr>
      <w:tr w:rsidR="00A44F93" w:rsidRPr="0078617E" w14:paraId="258FB1A8" w14:textId="77777777" w:rsidTr="00AC4D8F">
        <w:trPr>
          <w:trHeight w:val="272"/>
        </w:trPr>
        <w:tc>
          <w:tcPr>
            <w:tcW w:w="0" w:type="auto"/>
            <w:hideMark/>
          </w:tcPr>
          <w:p w14:paraId="06C9B718" w14:textId="77777777" w:rsidR="00A44F93" w:rsidRPr="0078617E" w:rsidRDefault="00A44F93" w:rsidP="00AC4D8F">
            <w:pPr>
              <w:jc w:val="both"/>
              <w:rPr>
                <w:rFonts w:cstheme="minorHAnsi"/>
              </w:rPr>
            </w:pPr>
            <w:r w:rsidRPr="0078617E">
              <w:rPr>
                <w:rFonts w:cstheme="minorHAnsi"/>
              </w:rPr>
              <w:t>Ivano-</w:t>
            </w:r>
            <w:proofErr w:type="spellStart"/>
            <w:r w:rsidRPr="0078617E">
              <w:rPr>
                <w:rFonts w:cstheme="minorHAnsi"/>
              </w:rPr>
              <w:t>Frankivska</w:t>
            </w:r>
            <w:proofErr w:type="spellEnd"/>
          </w:p>
        </w:tc>
        <w:tc>
          <w:tcPr>
            <w:tcW w:w="0" w:type="auto"/>
            <w:hideMark/>
          </w:tcPr>
          <w:p w14:paraId="0381CC85" w14:textId="77777777" w:rsidR="00A44F93" w:rsidRPr="0078617E" w:rsidRDefault="00A44F93" w:rsidP="00AC4D8F">
            <w:pPr>
              <w:jc w:val="both"/>
              <w:rPr>
                <w:rFonts w:cstheme="minorHAnsi"/>
              </w:rPr>
            </w:pPr>
            <w:r w:rsidRPr="0078617E">
              <w:rPr>
                <w:rFonts w:cstheme="minorHAnsi"/>
              </w:rPr>
              <w:t>1.0025</w:t>
            </w:r>
          </w:p>
        </w:tc>
      </w:tr>
      <w:tr w:rsidR="00A44F93" w:rsidRPr="0078617E" w14:paraId="3A48C7B8" w14:textId="77777777" w:rsidTr="00AC4D8F">
        <w:trPr>
          <w:trHeight w:val="279"/>
        </w:trPr>
        <w:tc>
          <w:tcPr>
            <w:tcW w:w="0" w:type="auto"/>
            <w:hideMark/>
          </w:tcPr>
          <w:p w14:paraId="149F3B5F" w14:textId="77777777" w:rsidR="00A44F93" w:rsidRPr="0078617E" w:rsidRDefault="00A44F93" w:rsidP="00AC4D8F">
            <w:pPr>
              <w:jc w:val="both"/>
              <w:rPr>
                <w:rFonts w:cstheme="minorHAnsi"/>
              </w:rPr>
            </w:pPr>
            <w:proofErr w:type="spellStart"/>
            <w:r w:rsidRPr="0078617E">
              <w:rPr>
                <w:rFonts w:cstheme="minorHAnsi"/>
              </w:rPr>
              <w:t>Kharkivska</w:t>
            </w:r>
            <w:proofErr w:type="spellEnd"/>
          </w:p>
        </w:tc>
        <w:tc>
          <w:tcPr>
            <w:tcW w:w="0" w:type="auto"/>
            <w:hideMark/>
          </w:tcPr>
          <w:p w14:paraId="3BB56DF9" w14:textId="77777777" w:rsidR="00A44F93" w:rsidRPr="0078617E" w:rsidRDefault="00A44F93" w:rsidP="00AC4D8F">
            <w:pPr>
              <w:jc w:val="both"/>
              <w:rPr>
                <w:rFonts w:cstheme="minorHAnsi"/>
              </w:rPr>
            </w:pPr>
            <w:r w:rsidRPr="0078617E">
              <w:rPr>
                <w:rFonts w:cstheme="minorHAnsi"/>
              </w:rPr>
              <w:t>0.9927</w:t>
            </w:r>
          </w:p>
        </w:tc>
      </w:tr>
      <w:tr w:rsidR="00A44F93" w:rsidRPr="0078617E" w14:paraId="1C66E80D" w14:textId="77777777" w:rsidTr="00AC4D8F">
        <w:trPr>
          <w:trHeight w:val="272"/>
        </w:trPr>
        <w:tc>
          <w:tcPr>
            <w:tcW w:w="0" w:type="auto"/>
            <w:hideMark/>
          </w:tcPr>
          <w:p w14:paraId="1522A4A7" w14:textId="77777777" w:rsidR="00A44F93" w:rsidRPr="0078617E" w:rsidRDefault="00A44F93" w:rsidP="00AC4D8F">
            <w:pPr>
              <w:jc w:val="both"/>
              <w:rPr>
                <w:rFonts w:cstheme="minorHAnsi"/>
              </w:rPr>
            </w:pPr>
            <w:proofErr w:type="spellStart"/>
            <w:r w:rsidRPr="0078617E">
              <w:rPr>
                <w:rFonts w:cstheme="minorHAnsi"/>
              </w:rPr>
              <w:t>Khersonska</w:t>
            </w:r>
            <w:proofErr w:type="spellEnd"/>
          </w:p>
        </w:tc>
        <w:tc>
          <w:tcPr>
            <w:tcW w:w="0" w:type="auto"/>
            <w:hideMark/>
          </w:tcPr>
          <w:p w14:paraId="6D136718" w14:textId="77777777" w:rsidR="00A44F93" w:rsidRPr="0078617E" w:rsidRDefault="00A44F93" w:rsidP="00AC4D8F">
            <w:pPr>
              <w:jc w:val="both"/>
              <w:rPr>
                <w:rFonts w:cstheme="minorHAnsi"/>
              </w:rPr>
            </w:pPr>
            <w:r w:rsidRPr="0078617E">
              <w:rPr>
                <w:rFonts w:cstheme="minorHAnsi"/>
              </w:rPr>
              <w:t>0.9967</w:t>
            </w:r>
          </w:p>
        </w:tc>
      </w:tr>
      <w:tr w:rsidR="00A44F93" w:rsidRPr="0078617E" w14:paraId="4E268DAC" w14:textId="77777777" w:rsidTr="00AC4D8F">
        <w:trPr>
          <w:trHeight w:val="272"/>
        </w:trPr>
        <w:tc>
          <w:tcPr>
            <w:tcW w:w="0" w:type="auto"/>
            <w:hideMark/>
          </w:tcPr>
          <w:p w14:paraId="32E0F697" w14:textId="77777777" w:rsidR="00A44F93" w:rsidRPr="0078617E" w:rsidRDefault="00A44F93" w:rsidP="00AC4D8F">
            <w:pPr>
              <w:jc w:val="both"/>
              <w:rPr>
                <w:rFonts w:cstheme="minorHAnsi"/>
              </w:rPr>
            </w:pPr>
            <w:proofErr w:type="spellStart"/>
            <w:r w:rsidRPr="0078617E">
              <w:rPr>
                <w:rFonts w:cstheme="minorHAnsi"/>
              </w:rPr>
              <w:t>Khmelnytska</w:t>
            </w:r>
            <w:proofErr w:type="spellEnd"/>
          </w:p>
        </w:tc>
        <w:tc>
          <w:tcPr>
            <w:tcW w:w="0" w:type="auto"/>
            <w:hideMark/>
          </w:tcPr>
          <w:p w14:paraId="7B60DDB6" w14:textId="77777777" w:rsidR="00A44F93" w:rsidRPr="0078617E" w:rsidRDefault="00A44F93" w:rsidP="00AC4D8F">
            <w:pPr>
              <w:jc w:val="both"/>
              <w:rPr>
                <w:rFonts w:cstheme="minorHAnsi"/>
              </w:rPr>
            </w:pPr>
            <w:r w:rsidRPr="0078617E">
              <w:rPr>
                <w:rFonts w:cstheme="minorHAnsi"/>
              </w:rPr>
              <w:t>0.9986</w:t>
            </w:r>
          </w:p>
        </w:tc>
      </w:tr>
      <w:tr w:rsidR="00A44F93" w:rsidRPr="0078617E" w14:paraId="1B339DA2" w14:textId="77777777" w:rsidTr="00AC4D8F">
        <w:trPr>
          <w:trHeight w:val="272"/>
        </w:trPr>
        <w:tc>
          <w:tcPr>
            <w:tcW w:w="0" w:type="auto"/>
            <w:hideMark/>
          </w:tcPr>
          <w:p w14:paraId="3815D162" w14:textId="77777777" w:rsidR="00A44F93" w:rsidRPr="0078617E" w:rsidRDefault="00A44F93" w:rsidP="00AC4D8F">
            <w:pPr>
              <w:jc w:val="both"/>
              <w:rPr>
                <w:rFonts w:cstheme="minorHAnsi"/>
              </w:rPr>
            </w:pPr>
            <w:proofErr w:type="spellStart"/>
            <w:r w:rsidRPr="0078617E">
              <w:rPr>
                <w:rFonts w:cstheme="minorHAnsi"/>
              </w:rPr>
              <w:t>Kirovohradska</w:t>
            </w:r>
            <w:proofErr w:type="spellEnd"/>
          </w:p>
        </w:tc>
        <w:tc>
          <w:tcPr>
            <w:tcW w:w="0" w:type="auto"/>
            <w:hideMark/>
          </w:tcPr>
          <w:p w14:paraId="380E6489" w14:textId="77777777" w:rsidR="00A44F93" w:rsidRPr="0078617E" w:rsidRDefault="00A44F93" w:rsidP="00AC4D8F">
            <w:pPr>
              <w:jc w:val="both"/>
              <w:rPr>
                <w:rFonts w:cstheme="minorHAnsi"/>
              </w:rPr>
            </w:pPr>
            <w:r w:rsidRPr="0078617E">
              <w:rPr>
                <w:rFonts w:cstheme="minorHAnsi"/>
              </w:rPr>
              <w:t>1.0035</w:t>
            </w:r>
          </w:p>
        </w:tc>
      </w:tr>
      <w:tr w:rsidR="00A44F93" w:rsidRPr="0078617E" w14:paraId="244166C4" w14:textId="77777777" w:rsidTr="00AC4D8F">
        <w:trPr>
          <w:trHeight w:val="279"/>
        </w:trPr>
        <w:tc>
          <w:tcPr>
            <w:tcW w:w="0" w:type="auto"/>
            <w:hideMark/>
          </w:tcPr>
          <w:p w14:paraId="26331CBB" w14:textId="77777777" w:rsidR="00A44F93" w:rsidRPr="0078617E" w:rsidRDefault="00A44F93" w:rsidP="00AC4D8F">
            <w:pPr>
              <w:jc w:val="both"/>
              <w:rPr>
                <w:rFonts w:cstheme="minorHAnsi"/>
              </w:rPr>
            </w:pPr>
            <w:r w:rsidRPr="0078617E">
              <w:rPr>
                <w:rFonts w:cstheme="minorHAnsi"/>
              </w:rPr>
              <w:t>Kyiv</w:t>
            </w:r>
          </w:p>
        </w:tc>
        <w:tc>
          <w:tcPr>
            <w:tcW w:w="0" w:type="auto"/>
            <w:hideMark/>
          </w:tcPr>
          <w:p w14:paraId="11E1F359" w14:textId="77777777" w:rsidR="00A44F93" w:rsidRPr="0078617E" w:rsidRDefault="00A44F93" w:rsidP="00AC4D8F">
            <w:pPr>
              <w:jc w:val="both"/>
              <w:rPr>
                <w:rFonts w:cstheme="minorHAnsi"/>
              </w:rPr>
            </w:pPr>
            <w:r w:rsidRPr="0078617E">
              <w:rPr>
                <w:rFonts w:cstheme="minorHAnsi"/>
              </w:rPr>
              <w:t>0.9927</w:t>
            </w:r>
          </w:p>
        </w:tc>
      </w:tr>
      <w:tr w:rsidR="00A44F93" w:rsidRPr="0078617E" w14:paraId="278A5335" w14:textId="77777777" w:rsidTr="00AC4D8F">
        <w:trPr>
          <w:trHeight w:val="272"/>
        </w:trPr>
        <w:tc>
          <w:tcPr>
            <w:tcW w:w="0" w:type="auto"/>
            <w:hideMark/>
          </w:tcPr>
          <w:p w14:paraId="7C1020FA" w14:textId="77777777" w:rsidR="00A44F93" w:rsidRPr="0078617E" w:rsidRDefault="00A44F93" w:rsidP="00AC4D8F">
            <w:pPr>
              <w:jc w:val="both"/>
              <w:rPr>
                <w:rFonts w:cstheme="minorHAnsi"/>
              </w:rPr>
            </w:pPr>
            <w:proofErr w:type="spellStart"/>
            <w:r w:rsidRPr="0078617E">
              <w:rPr>
                <w:rFonts w:cstheme="minorHAnsi"/>
              </w:rPr>
              <w:t>Kyivska</w:t>
            </w:r>
            <w:proofErr w:type="spellEnd"/>
          </w:p>
        </w:tc>
        <w:tc>
          <w:tcPr>
            <w:tcW w:w="0" w:type="auto"/>
            <w:hideMark/>
          </w:tcPr>
          <w:p w14:paraId="11CE045E" w14:textId="77777777" w:rsidR="00A44F93" w:rsidRPr="0078617E" w:rsidRDefault="00A44F93" w:rsidP="00AC4D8F">
            <w:pPr>
              <w:jc w:val="both"/>
              <w:rPr>
                <w:rFonts w:cstheme="minorHAnsi"/>
              </w:rPr>
            </w:pPr>
            <w:r w:rsidRPr="0078617E">
              <w:rPr>
                <w:rFonts w:cstheme="minorHAnsi"/>
              </w:rPr>
              <w:t>0.9996</w:t>
            </w:r>
          </w:p>
        </w:tc>
      </w:tr>
      <w:tr w:rsidR="00A44F93" w:rsidRPr="0078617E" w14:paraId="1CBFAA20" w14:textId="77777777" w:rsidTr="00AC4D8F">
        <w:trPr>
          <w:trHeight w:val="279"/>
        </w:trPr>
        <w:tc>
          <w:tcPr>
            <w:tcW w:w="0" w:type="auto"/>
            <w:hideMark/>
          </w:tcPr>
          <w:p w14:paraId="00A6CF8E" w14:textId="77777777" w:rsidR="00A44F93" w:rsidRPr="0078617E" w:rsidRDefault="00A44F93" w:rsidP="00AC4D8F">
            <w:pPr>
              <w:jc w:val="both"/>
              <w:rPr>
                <w:rFonts w:cstheme="minorHAnsi"/>
              </w:rPr>
            </w:pPr>
            <w:proofErr w:type="spellStart"/>
            <w:r w:rsidRPr="0078617E">
              <w:rPr>
                <w:rFonts w:cstheme="minorHAnsi"/>
              </w:rPr>
              <w:t>Lvivska</w:t>
            </w:r>
            <w:proofErr w:type="spellEnd"/>
          </w:p>
        </w:tc>
        <w:tc>
          <w:tcPr>
            <w:tcW w:w="0" w:type="auto"/>
            <w:hideMark/>
          </w:tcPr>
          <w:p w14:paraId="1A753003" w14:textId="77777777" w:rsidR="00A44F93" w:rsidRPr="0078617E" w:rsidRDefault="00A44F93" w:rsidP="00AC4D8F">
            <w:pPr>
              <w:jc w:val="both"/>
              <w:rPr>
                <w:rFonts w:cstheme="minorHAnsi"/>
              </w:rPr>
            </w:pPr>
            <w:r w:rsidRPr="0078617E">
              <w:rPr>
                <w:rFonts w:cstheme="minorHAnsi"/>
              </w:rPr>
              <w:t>0.9986</w:t>
            </w:r>
          </w:p>
        </w:tc>
      </w:tr>
      <w:tr w:rsidR="00A44F93" w:rsidRPr="0078617E" w14:paraId="7515B79B" w14:textId="77777777" w:rsidTr="00AC4D8F">
        <w:trPr>
          <w:trHeight w:val="272"/>
        </w:trPr>
        <w:tc>
          <w:tcPr>
            <w:tcW w:w="0" w:type="auto"/>
            <w:hideMark/>
          </w:tcPr>
          <w:p w14:paraId="7FEE5417" w14:textId="77777777" w:rsidR="00A44F93" w:rsidRPr="0078617E" w:rsidRDefault="00A44F93" w:rsidP="00AC4D8F">
            <w:pPr>
              <w:jc w:val="both"/>
              <w:rPr>
                <w:rFonts w:cstheme="minorHAnsi"/>
              </w:rPr>
            </w:pPr>
            <w:proofErr w:type="spellStart"/>
            <w:r w:rsidRPr="0078617E">
              <w:rPr>
                <w:rFonts w:cstheme="minorHAnsi"/>
              </w:rPr>
              <w:t>Mykolaivska</w:t>
            </w:r>
            <w:proofErr w:type="spellEnd"/>
          </w:p>
        </w:tc>
        <w:tc>
          <w:tcPr>
            <w:tcW w:w="0" w:type="auto"/>
            <w:hideMark/>
          </w:tcPr>
          <w:p w14:paraId="751D0355" w14:textId="77777777" w:rsidR="00A44F93" w:rsidRPr="0078617E" w:rsidRDefault="00A44F93" w:rsidP="00AC4D8F">
            <w:pPr>
              <w:jc w:val="both"/>
              <w:rPr>
                <w:rFonts w:cstheme="minorHAnsi"/>
              </w:rPr>
            </w:pPr>
            <w:r w:rsidRPr="0078617E">
              <w:rPr>
                <w:rFonts w:cstheme="minorHAnsi"/>
              </w:rPr>
              <w:t>1.0064</w:t>
            </w:r>
          </w:p>
        </w:tc>
      </w:tr>
      <w:tr w:rsidR="00A44F93" w:rsidRPr="0078617E" w14:paraId="7F9C04B8" w14:textId="77777777" w:rsidTr="00AC4D8F">
        <w:trPr>
          <w:trHeight w:val="279"/>
        </w:trPr>
        <w:tc>
          <w:tcPr>
            <w:tcW w:w="0" w:type="auto"/>
            <w:hideMark/>
          </w:tcPr>
          <w:p w14:paraId="5D31AC85" w14:textId="77777777" w:rsidR="00A44F93" w:rsidRPr="0078617E" w:rsidRDefault="00A44F93" w:rsidP="00AC4D8F">
            <w:pPr>
              <w:jc w:val="both"/>
              <w:rPr>
                <w:rFonts w:cstheme="minorHAnsi"/>
              </w:rPr>
            </w:pPr>
            <w:proofErr w:type="spellStart"/>
            <w:r w:rsidRPr="0078617E">
              <w:rPr>
                <w:rFonts w:cstheme="minorHAnsi"/>
              </w:rPr>
              <w:t>Odeska</w:t>
            </w:r>
            <w:proofErr w:type="spellEnd"/>
          </w:p>
        </w:tc>
        <w:tc>
          <w:tcPr>
            <w:tcW w:w="0" w:type="auto"/>
            <w:hideMark/>
          </w:tcPr>
          <w:p w14:paraId="55B443DB" w14:textId="77777777" w:rsidR="00A44F93" w:rsidRPr="0078617E" w:rsidRDefault="00A44F93" w:rsidP="00AC4D8F">
            <w:pPr>
              <w:jc w:val="both"/>
              <w:rPr>
                <w:rFonts w:cstheme="minorHAnsi"/>
              </w:rPr>
            </w:pPr>
            <w:r w:rsidRPr="0078617E">
              <w:rPr>
                <w:rFonts w:cstheme="minorHAnsi"/>
              </w:rPr>
              <w:t>1.0025</w:t>
            </w:r>
          </w:p>
        </w:tc>
      </w:tr>
      <w:tr w:rsidR="00A44F93" w:rsidRPr="0078617E" w14:paraId="5E6B8DBF" w14:textId="77777777" w:rsidTr="00AC4D8F">
        <w:trPr>
          <w:trHeight w:val="272"/>
        </w:trPr>
        <w:tc>
          <w:tcPr>
            <w:tcW w:w="0" w:type="auto"/>
            <w:hideMark/>
          </w:tcPr>
          <w:p w14:paraId="1F6DF0B8" w14:textId="77777777" w:rsidR="00A44F93" w:rsidRPr="0078617E" w:rsidRDefault="00A44F93" w:rsidP="00AC4D8F">
            <w:pPr>
              <w:jc w:val="both"/>
              <w:rPr>
                <w:rFonts w:cstheme="minorHAnsi"/>
              </w:rPr>
            </w:pPr>
            <w:proofErr w:type="spellStart"/>
            <w:r w:rsidRPr="0078617E">
              <w:rPr>
                <w:rFonts w:cstheme="minorHAnsi"/>
              </w:rPr>
              <w:t>Poltavska</w:t>
            </w:r>
            <w:proofErr w:type="spellEnd"/>
          </w:p>
        </w:tc>
        <w:tc>
          <w:tcPr>
            <w:tcW w:w="0" w:type="auto"/>
            <w:hideMark/>
          </w:tcPr>
          <w:p w14:paraId="57B88FA5" w14:textId="77777777" w:rsidR="00A44F93" w:rsidRPr="0078617E" w:rsidRDefault="00A44F93" w:rsidP="00AC4D8F">
            <w:pPr>
              <w:jc w:val="both"/>
              <w:rPr>
                <w:rFonts w:cstheme="minorHAnsi"/>
              </w:rPr>
            </w:pPr>
            <w:r w:rsidRPr="0078617E">
              <w:rPr>
                <w:rFonts w:cstheme="minorHAnsi"/>
              </w:rPr>
              <w:t>0.9957</w:t>
            </w:r>
          </w:p>
        </w:tc>
      </w:tr>
      <w:tr w:rsidR="00A44F93" w:rsidRPr="0078617E" w14:paraId="5924405D" w14:textId="77777777" w:rsidTr="00AC4D8F">
        <w:trPr>
          <w:trHeight w:val="272"/>
        </w:trPr>
        <w:tc>
          <w:tcPr>
            <w:tcW w:w="0" w:type="auto"/>
            <w:hideMark/>
          </w:tcPr>
          <w:p w14:paraId="5F29CC4D" w14:textId="77777777" w:rsidR="00A44F93" w:rsidRPr="0078617E" w:rsidRDefault="00A44F93" w:rsidP="00AC4D8F">
            <w:pPr>
              <w:jc w:val="both"/>
              <w:rPr>
                <w:rFonts w:cstheme="minorHAnsi"/>
              </w:rPr>
            </w:pPr>
            <w:proofErr w:type="spellStart"/>
            <w:r w:rsidRPr="0078617E">
              <w:rPr>
                <w:rFonts w:cstheme="minorHAnsi"/>
              </w:rPr>
              <w:t>Rivnenska</w:t>
            </w:r>
            <w:proofErr w:type="spellEnd"/>
          </w:p>
        </w:tc>
        <w:tc>
          <w:tcPr>
            <w:tcW w:w="0" w:type="auto"/>
            <w:hideMark/>
          </w:tcPr>
          <w:p w14:paraId="618F7FBC" w14:textId="77777777" w:rsidR="00A44F93" w:rsidRPr="0078617E" w:rsidRDefault="00A44F93" w:rsidP="00AC4D8F">
            <w:pPr>
              <w:jc w:val="both"/>
              <w:rPr>
                <w:rFonts w:cstheme="minorHAnsi"/>
              </w:rPr>
            </w:pPr>
            <w:r w:rsidRPr="0078617E">
              <w:rPr>
                <w:rFonts w:cstheme="minorHAnsi"/>
              </w:rPr>
              <w:t>1.0006</w:t>
            </w:r>
          </w:p>
        </w:tc>
      </w:tr>
      <w:tr w:rsidR="00A44F93" w:rsidRPr="0078617E" w14:paraId="5E478024" w14:textId="77777777" w:rsidTr="00AC4D8F">
        <w:trPr>
          <w:trHeight w:val="279"/>
        </w:trPr>
        <w:tc>
          <w:tcPr>
            <w:tcW w:w="0" w:type="auto"/>
            <w:hideMark/>
          </w:tcPr>
          <w:p w14:paraId="5EC60D4B" w14:textId="77777777" w:rsidR="00A44F93" w:rsidRPr="0078617E" w:rsidRDefault="00A44F93" w:rsidP="00AC4D8F">
            <w:pPr>
              <w:jc w:val="both"/>
              <w:rPr>
                <w:rFonts w:cstheme="minorHAnsi"/>
              </w:rPr>
            </w:pPr>
            <w:proofErr w:type="spellStart"/>
            <w:r w:rsidRPr="0078617E">
              <w:rPr>
                <w:rFonts w:cstheme="minorHAnsi"/>
              </w:rPr>
              <w:t>Sumska</w:t>
            </w:r>
            <w:proofErr w:type="spellEnd"/>
          </w:p>
        </w:tc>
        <w:tc>
          <w:tcPr>
            <w:tcW w:w="0" w:type="auto"/>
            <w:hideMark/>
          </w:tcPr>
          <w:p w14:paraId="6EF8EA75" w14:textId="77777777" w:rsidR="00A44F93" w:rsidRPr="0078617E" w:rsidRDefault="00A44F93" w:rsidP="00AC4D8F">
            <w:pPr>
              <w:jc w:val="both"/>
              <w:rPr>
                <w:rFonts w:cstheme="minorHAnsi"/>
              </w:rPr>
            </w:pPr>
            <w:r w:rsidRPr="0078617E">
              <w:rPr>
                <w:rFonts w:cstheme="minorHAnsi"/>
              </w:rPr>
              <w:t>0.9996</w:t>
            </w:r>
          </w:p>
        </w:tc>
      </w:tr>
      <w:tr w:rsidR="00A44F93" w:rsidRPr="0078617E" w14:paraId="6CA40079" w14:textId="77777777" w:rsidTr="00AC4D8F">
        <w:trPr>
          <w:trHeight w:val="272"/>
        </w:trPr>
        <w:tc>
          <w:tcPr>
            <w:tcW w:w="0" w:type="auto"/>
            <w:hideMark/>
          </w:tcPr>
          <w:p w14:paraId="780BC5CF" w14:textId="77777777" w:rsidR="00A44F93" w:rsidRPr="0078617E" w:rsidRDefault="00A44F93" w:rsidP="00AC4D8F">
            <w:pPr>
              <w:jc w:val="both"/>
              <w:rPr>
                <w:rFonts w:cstheme="minorHAnsi"/>
              </w:rPr>
            </w:pPr>
            <w:proofErr w:type="spellStart"/>
            <w:r w:rsidRPr="0078617E">
              <w:rPr>
                <w:rFonts w:cstheme="minorHAnsi"/>
              </w:rPr>
              <w:t>Ternopilska</w:t>
            </w:r>
            <w:proofErr w:type="spellEnd"/>
          </w:p>
        </w:tc>
        <w:tc>
          <w:tcPr>
            <w:tcW w:w="0" w:type="auto"/>
            <w:hideMark/>
          </w:tcPr>
          <w:p w14:paraId="76B08324" w14:textId="77777777" w:rsidR="00A44F93" w:rsidRPr="0078617E" w:rsidRDefault="00A44F93" w:rsidP="00AC4D8F">
            <w:pPr>
              <w:jc w:val="both"/>
              <w:rPr>
                <w:rFonts w:cstheme="minorHAnsi"/>
              </w:rPr>
            </w:pPr>
            <w:r w:rsidRPr="0078617E">
              <w:rPr>
                <w:rFonts w:cstheme="minorHAnsi"/>
              </w:rPr>
              <w:t>0.9986</w:t>
            </w:r>
          </w:p>
        </w:tc>
      </w:tr>
      <w:tr w:rsidR="00A44F93" w:rsidRPr="0078617E" w14:paraId="08CC3E20" w14:textId="77777777" w:rsidTr="00AC4D8F">
        <w:trPr>
          <w:trHeight w:val="279"/>
        </w:trPr>
        <w:tc>
          <w:tcPr>
            <w:tcW w:w="0" w:type="auto"/>
            <w:hideMark/>
          </w:tcPr>
          <w:p w14:paraId="6AB320A9" w14:textId="77777777" w:rsidR="00A44F93" w:rsidRPr="0078617E" w:rsidRDefault="00A44F93" w:rsidP="00AC4D8F">
            <w:pPr>
              <w:jc w:val="both"/>
              <w:rPr>
                <w:rFonts w:cstheme="minorHAnsi"/>
              </w:rPr>
            </w:pPr>
            <w:proofErr w:type="spellStart"/>
            <w:r w:rsidRPr="0078617E">
              <w:rPr>
                <w:rFonts w:cstheme="minorHAnsi"/>
              </w:rPr>
              <w:t>Vinnytska</w:t>
            </w:r>
            <w:proofErr w:type="spellEnd"/>
          </w:p>
        </w:tc>
        <w:tc>
          <w:tcPr>
            <w:tcW w:w="0" w:type="auto"/>
            <w:hideMark/>
          </w:tcPr>
          <w:p w14:paraId="74F8D33A" w14:textId="77777777" w:rsidR="00A44F93" w:rsidRPr="0078617E" w:rsidRDefault="00A44F93" w:rsidP="00AC4D8F">
            <w:pPr>
              <w:jc w:val="both"/>
              <w:rPr>
                <w:rFonts w:cstheme="minorHAnsi"/>
              </w:rPr>
            </w:pPr>
            <w:r w:rsidRPr="0078617E">
              <w:rPr>
                <w:rFonts w:cstheme="minorHAnsi"/>
              </w:rPr>
              <w:t>0.9986</w:t>
            </w:r>
          </w:p>
        </w:tc>
      </w:tr>
      <w:tr w:rsidR="00A44F93" w:rsidRPr="0078617E" w14:paraId="0E5721FD" w14:textId="77777777" w:rsidTr="00AC4D8F">
        <w:trPr>
          <w:trHeight w:val="272"/>
        </w:trPr>
        <w:tc>
          <w:tcPr>
            <w:tcW w:w="0" w:type="auto"/>
            <w:hideMark/>
          </w:tcPr>
          <w:p w14:paraId="1E781463" w14:textId="77777777" w:rsidR="00A44F93" w:rsidRPr="0078617E" w:rsidRDefault="00A44F93" w:rsidP="00AC4D8F">
            <w:pPr>
              <w:jc w:val="both"/>
              <w:rPr>
                <w:rFonts w:cstheme="minorHAnsi"/>
              </w:rPr>
            </w:pPr>
            <w:proofErr w:type="spellStart"/>
            <w:r w:rsidRPr="0078617E">
              <w:rPr>
                <w:rFonts w:cstheme="minorHAnsi"/>
              </w:rPr>
              <w:t>Volynska</w:t>
            </w:r>
            <w:proofErr w:type="spellEnd"/>
          </w:p>
        </w:tc>
        <w:tc>
          <w:tcPr>
            <w:tcW w:w="0" w:type="auto"/>
            <w:hideMark/>
          </w:tcPr>
          <w:p w14:paraId="7FB2EDBB" w14:textId="77777777" w:rsidR="00A44F93" w:rsidRPr="0078617E" w:rsidRDefault="00A44F93" w:rsidP="00AC4D8F">
            <w:pPr>
              <w:jc w:val="both"/>
              <w:rPr>
                <w:rFonts w:cstheme="minorHAnsi"/>
              </w:rPr>
            </w:pPr>
            <w:r w:rsidRPr="0078617E">
              <w:rPr>
                <w:rFonts w:cstheme="minorHAnsi"/>
              </w:rPr>
              <w:t>0.9986</w:t>
            </w:r>
          </w:p>
        </w:tc>
      </w:tr>
      <w:tr w:rsidR="00A44F93" w:rsidRPr="0078617E" w14:paraId="67A780E1" w14:textId="77777777" w:rsidTr="00AC4D8F">
        <w:trPr>
          <w:trHeight w:val="272"/>
        </w:trPr>
        <w:tc>
          <w:tcPr>
            <w:tcW w:w="0" w:type="auto"/>
            <w:hideMark/>
          </w:tcPr>
          <w:p w14:paraId="3FBF8E8C" w14:textId="77777777" w:rsidR="00A44F93" w:rsidRPr="0078617E" w:rsidRDefault="00A44F93" w:rsidP="00AC4D8F">
            <w:pPr>
              <w:jc w:val="both"/>
              <w:rPr>
                <w:rFonts w:cstheme="minorHAnsi"/>
              </w:rPr>
            </w:pPr>
            <w:proofErr w:type="spellStart"/>
            <w:r w:rsidRPr="0078617E">
              <w:rPr>
                <w:rFonts w:cstheme="minorHAnsi"/>
              </w:rPr>
              <w:t>Zakarpatska</w:t>
            </w:r>
            <w:proofErr w:type="spellEnd"/>
          </w:p>
        </w:tc>
        <w:tc>
          <w:tcPr>
            <w:tcW w:w="0" w:type="auto"/>
            <w:hideMark/>
          </w:tcPr>
          <w:p w14:paraId="32CC6E12" w14:textId="77777777" w:rsidR="00A44F93" w:rsidRPr="0078617E" w:rsidRDefault="00A44F93" w:rsidP="00AC4D8F">
            <w:pPr>
              <w:jc w:val="both"/>
              <w:rPr>
                <w:rFonts w:cstheme="minorHAnsi"/>
              </w:rPr>
            </w:pPr>
            <w:r w:rsidRPr="0078617E">
              <w:rPr>
                <w:rFonts w:cstheme="minorHAnsi"/>
              </w:rPr>
              <w:t>1.0055</w:t>
            </w:r>
          </w:p>
        </w:tc>
      </w:tr>
      <w:tr w:rsidR="00A44F93" w:rsidRPr="0078617E" w14:paraId="7A4B4B70" w14:textId="77777777" w:rsidTr="00AC4D8F">
        <w:trPr>
          <w:trHeight w:val="279"/>
        </w:trPr>
        <w:tc>
          <w:tcPr>
            <w:tcW w:w="0" w:type="auto"/>
            <w:hideMark/>
          </w:tcPr>
          <w:p w14:paraId="20081780" w14:textId="77777777" w:rsidR="00A44F93" w:rsidRPr="0078617E" w:rsidRDefault="00A44F93" w:rsidP="00AC4D8F">
            <w:pPr>
              <w:jc w:val="both"/>
              <w:rPr>
                <w:rFonts w:cstheme="minorHAnsi"/>
              </w:rPr>
            </w:pPr>
            <w:proofErr w:type="spellStart"/>
            <w:r w:rsidRPr="0078617E">
              <w:rPr>
                <w:rFonts w:cstheme="minorHAnsi"/>
              </w:rPr>
              <w:t>Zaporizka</w:t>
            </w:r>
            <w:proofErr w:type="spellEnd"/>
          </w:p>
        </w:tc>
        <w:tc>
          <w:tcPr>
            <w:tcW w:w="0" w:type="auto"/>
            <w:hideMark/>
          </w:tcPr>
          <w:p w14:paraId="717A4238" w14:textId="77777777" w:rsidR="00A44F93" w:rsidRPr="0078617E" w:rsidRDefault="00A44F93" w:rsidP="00AC4D8F">
            <w:pPr>
              <w:jc w:val="both"/>
              <w:rPr>
                <w:rFonts w:cstheme="minorHAnsi"/>
              </w:rPr>
            </w:pPr>
            <w:r w:rsidRPr="0078617E">
              <w:rPr>
                <w:rFonts w:cstheme="minorHAnsi"/>
              </w:rPr>
              <w:t>1.0045</w:t>
            </w:r>
          </w:p>
        </w:tc>
      </w:tr>
      <w:tr w:rsidR="00A44F93" w:rsidRPr="0078617E" w14:paraId="4FE67080" w14:textId="77777777" w:rsidTr="00AC4D8F">
        <w:trPr>
          <w:trHeight w:val="272"/>
        </w:trPr>
        <w:tc>
          <w:tcPr>
            <w:tcW w:w="0" w:type="auto"/>
            <w:hideMark/>
          </w:tcPr>
          <w:p w14:paraId="3599F383" w14:textId="77777777" w:rsidR="00A44F93" w:rsidRPr="0078617E" w:rsidRDefault="00A44F93" w:rsidP="00AC4D8F">
            <w:pPr>
              <w:jc w:val="both"/>
              <w:rPr>
                <w:rFonts w:cstheme="minorHAnsi"/>
              </w:rPr>
            </w:pPr>
            <w:proofErr w:type="spellStart"/>
            <w:r w:rsidRPr="0078617E">
              <w:rPr>
                <w:rFonts w:cstheme="minorHAnsi"/>
              </w:rPr>
              <w:t>Zhytomyrska</w:t>
            </w:r>
            <w:proofErr w:type="spellEnd"/>
          </w:p>
        </w:tc>
        <w:tc>
          <w:tcPr>
            <w:tcW w:w="0" w:type="auto"/>
            <w:hideMark/>
          </w:tcPr>
          <w:p w14:paraId="6E1FAAC0" w14:textId="77777777" w:rsidR="00A44F93" w:rsidRPr="0078617E" w:rsidRDefault="00A44F93" w:rsidP="00AC4D8F">
            <w:pPr>
              <w:jc w:val="both"/>
              <w:rPr>
                <w:rFonts w:cstheme="minorHAnsi"/>
              </w:rPr>
            </w:pPr>
            <w:r w:rsidRPr="0078617E">
              <w:rPr>
                <w:rFonts w:cstheme="minorHAnsi"/>
              </w:rPr>
              <w:t>0.9996</w:t>
            </w:r>
          </w:p>
        </w:tc>
      </w:tr>
    </w:tbl>
    <w:p w14:paraId="3BF7A104" w14:textId="77777777" w:rsidR="00A44F93" w:rsidRPr="00F67691" w:rsidRDefault="00A44F93" w:rsidP="00A44F93">
      <w:pPr>
        <w:jc w:val="both"/>
        <w:rPr>
          <w:rFonts w:cstheme="minorHAnsi"/>
          <w:i/>
          <w:iCs/>
        </w:rPr>
      </w:pPr>
      <w:r w:rsidRPr="0078617E">
        <w:rPr>
          <w:rFonts w:cstheme="minorHAnsi"/>
          <w:i/>
          <w:iCs/>
        </w:rPr>
        <w:t xml:space="preserve">Note: Due to security concerns, no household-level survey data was collected in </w:t>
      </w:r>
      <w:proofErr w:type="spellStart"/>
      <w:r w:rsidRPr="0078617E">
        <w:rPr>
          <w:rFonts w:cstheme="minorHAnsi"/>
          <w:i/>
          <w:iCs/>
        </w:rPr>
        <w:t>Luhanska</w:t>
      </w:r>
      <w:proofErr w:type="spellEnd"/>
      <w:r w:rsidRPr="0078617E">
        <w:rPr>
          <w:rFonts w:cstheme="minorHAnsi"/>
          <w:i/>
          <w:iCs/>
        </w:rPr>
        <w:t>.</w:t>
      </w:r>
    </w:p>
    <w:p w14:paraId="7933BA4A" w14:textId="77777777" w:rsidR="003C67F7" w:rsidRPr="00F67691" w:rsidRDefault="003C67F7" w:rsidP="00A44F93">
      <w:pPr>
        <w:jc w:val="both"/>
        <w:rPr>
          <w:rFonts w:cstheme="minorHAnsi"/>
          <w:i/>
          <w:iCs/>
        </w:rPr>
      </w:pPr>
    </w:p>
    <w:p w14:paraId="2577564C" w14:textId="77777777" w:rsidR="003C67F7" w:rsidRPr="00F67691" w:rsidRDefault="003C67F7" w:rsidP="00A44F93">
      <w:pPr>
        <w:jc w:val="both"/>
        <w:rPr>
          <w:rFonts w:cstheme="minorHAnsi"/>
          <w:i/>
          <w:iCs/>
        </w:rPr>
      </w:pPr>
    </w:p>
    <w:p w14:paraId="3A086983" w14:textId="77777777" w:rsidR="003C67F7" w:rsidRPr="00F67691" w:rsidRDefault="003C67F7" w:rsidP="00A44F93">
      <w:pPr>
        <w:jc w:val="both"/>
        <w:rPr>
          <w:rFonts w:cstheme="minorHAnsi"/>
          <w:i/>
          <w:iCs/>
        </w:rPr>
      </w:pPr>
    </w:p>
    <w:p w14:paraId="645FB83C" w14:textId="77777777" w:rsidR="003C67F7" w:rsidRPr="00F67691" w:rsidRDefault="003C67F7" w:rsidP="00A44F93">
      <w:pPr>
        <w:jc w:val="both"/>
        <w:rPr>
          <w:rFonts w:cstheme="minorHAnsi"/>
          <w:i/>
          <w:iCs/>
        </w:rPr>
      </w:pPr>
    </w:p>
    <w:p w14:paraId="76929D1E" w14:textId="77777777" w:rsidR="003C67F7" w:rsidRPr="00F67691" w:rsidRDefault="003C67F7" w:rsidP="00A44F93">
      <w:pPr>
        <w:jc w:val="both"/>
        <w:rPr>
          <w:rFonts w:cstheme="minorHAnsi"/>
          <w:i/>
          <w:iCs/>
        </w:rPr>
      </w:pPr>
    </w:p>
    <w:p w14:paraId="0437D497" w14:textId="77777777" w:rsidR="003C67F7" w:rsidRPr="00F67691" w:rsidRDefault="003C67F7" w:rsidP="00A44F93">
      <w:pPr>
        <w:jc w:val="both"/>
        <w:rPr>
          <w:rFonts w:cstheme="minorHAnsi"/>
          <w:i/>
          <w:iCs/>
        </w:rPr>
      </w:pPr>
    </w:p>
    <w:p w14:paraId="6AD72E7E" w14:textId="77777777" w:rsidR="003C67F7" w:rsidRPr="00F67691" w:rsidRDefault="003C67F7" w:rsidP="00A44F93">
      <w:pPr>
        <w:jc w:val="both"/>
        <w:rPr>
          <w:rFonts w:cstheme="minorHAnsi"/>
          <w:i/>
          <w:iCs/>
        </w:rPr>
      </w:pPr>
    </w:p>
    <w:p w14:paraId="4321A30D" w14:textId="77777777" w:rsidR="003C67F7" w:rsidRPr="00F67691" w:rsidRDefault="003C67F7" w:rsidP="00A44F93">
      <w:pPr>
        <w:jc w:val="both"/>
        <w:rPr>
          <w:rFonts w:cstheme="minorHAnsi"/>
          <w:i/>
          <w:iCs/>
        </w:rPr>
      </w:pPr>
    </w:p>
    <w:p w14:paraId="480C2E2F" w14:textId="77777777" w:rsidR="003C67F7" w:rsidRPr="0078617E" w:rsidRDefault="003C67F7" w:rsidP="00A44F93">
      <w:pPr>
        <w:jc w:val="both"/>
        <w:rPr>
          <w:rFonts w:cstheme="minorHAnsi"/>
        </w:rPr>
      </w:pPr>
    </w:p>
    <w:sectPr w:rsidR="003C67F7" w:rsidRPr="0078617E" w:rsidSect="00170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54D82" w14:textId="77777777" w:rsidR="00253570" w:rsidRDefault="00253570" w:rsidP="002E79E1">
      <w:pPr>
        <w:spacing w:after="0" w:line="240" w:lineRule="auto"/>
      </w:pPr>
      <w:r>
        <w:separator/>
      </w:r>
    </w:p>
  </w:endnote>
  <w:endnote w:type="continuationSeparator" w:id="0">
    <w:p w14:paraId="5AEC5681" w14:textId="77777777" w:rsidR="00253570" w:rsidRDefault="00253570" w:rsidP="002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33AF5" w14:textId="77777777" w:rsidR="00253570" w:rsidRDefault="00253570" w:rsidP="002E79E1">
      <w:pPr>
        <w:spacing w:after="0" w:line="240" w:lineRule="auto"/>
      </w:pPr>
      <w:r>
        <w:separator/>
      </w:r>
    </w:p>
  </w:footnote>
  <w:footnote w:type="continuationSeparator" w:id="0">
    <w:p w14:paraId="4FA2F361" w14:textId="77777777" w:rsidR="00253570" w:rsidRDefault="00253570" w:rsidP="002E7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4CC"/>
    <w:multiLevelType w:val="multilevel"/>
    <w:tmpl w:val="846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1F0968"/>
    <w:multiLevelType w:val="multilevel"/>
    <w:tmpl w:val="32FA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B764E"/>
    <w:multiLevelType w:val="multilevel"/>
    <w:tmpl w:val="A1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F057C"/>
    <w:multiLevelType w:val="multilevel"/>
    <w:tmpl w:val="4D7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04CEF"/>
    <w:multiLevelType w:val="hybridMultilevel"/>
    <w:tmpl w:val="64F2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F20A7"/>
    <w:multiLevelType w:val="multilevel"/>
    <w:tmpl w:val="CC8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568F3"/>
    <w:multiLevelType w:val="multilevel"/>
    <w:tmpl w:val="178A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E3E48"/>
    <w:multiLevelType w:val="multilevel"/>
    <w:tmpl w:val="3400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61A3B"/>
    <w:multiLevelType w:val="hybridMultilevel"/>
    <w:tmpl w:val="1D54A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67DE0"/>
    <w:multiLevelType w:val="multilevel"/>
    <w:tmpl w:val="B39E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419F6"/>
    <w:multiLevelType w:val="hybridMultilevel"/>
    <w:tmpl w:val="4616148A"/>
    <w:lvl w:ilvl="0" w:tplc="5C9EB28E">
      <w:start w:val="1"/>
      <w:numFmt w:val="bullet"/>
      <w:lvlText w:val="•"/>
      <w:lvlJc w:val="left"/>
      <w:pPr>
        <w:tabs>
          <w:tab w:val="num" w:pos="720"/>
        </w:tabs>
        <w:ind w:left="720" w:hanging="360"/>
      </w:pPr>
      <w:rPr>
        <w:rFonts w:ascii="Arial" w:hAnsi="Arial" w:hint="default"/>
      </w:rPr>
    </w:lvl>
    <w:lvl w:ilvl="1" w:tplc="8E2CA084" w:tentative="1">
      <w:start w:val="1"/>
      <w:numFmt w:val="bullet"/>
      <w:lvlText w:val="•"/>
      <w:lvlJc w:val="left"/>
      <w:pPr>
        <w:tabs>
          <w:tab w:val="num" w:pos="1440"/>
        </w:tabs>
        <w:ind w:left="1440" w:hanging="360"/>
      </w:pPr>
      <w:rPr>
        <w:rFonts w:ascii="Arial" w:hAnsi="Arial" w:hint="default"/>
      </w:rPr>
    </w:lvl>
    <w:lvl w:ilvl="2" w:tplc="7608A1E8" w:tentative="1">
      <w:start w:val="1"/>
      <w:numFmt w:val="bullet"/>
      <w:lvlText w:val="•"/>
      <w:lvlJc w:val="left"/>
      <w:pPr>
        <w:tabs>
          <w:tab w:val="num" w:pos="2160"/>
        </w:tabs>
        <w:ind w:left="2160" w:hanging="360"/>
      </w:pPr>
      <w:rPr>
        <w:rFonts w:ascii="Arial" w:hAnsi="Arial" w:hint="default"/>
      </w:rPr>
    </w:lvl>
    <w:lvl w:ilvl="3" w:tplc="E19CAB6E" w:tentative="1">
      <w:start w:val="1"/>
      <w:numFmt w:val="bullet"/>
      <w:lvlText w:val="•"/>
      <w:lvlJc w:val="left"/>
      <w:pPr>
        <w:tabs>
          <w:tab w:val="num" w:pos="2880"/>
        </w:tabs>
        <w:ind w:left="2880" w:hanging="360"/>
      </w:pPr>
      <w:rPr>
        <w:rFonts w:ascii="Arial" w:hAnsi="Arial" w:hint="default"/>
      </w:rPr>
    </w:lvl>
    <w:lvl w:ilvl="4" w:tplc="33768764" w:tentative="1">
      <w:start w:val="1"/>
      <w:numFmt w:val="bullet"/>
      <w:lvlText w:val="•"/>
      <w:lvlJc w:val="left"/>
      <w:pPr>
        <w:tabs>
          <w:tab w:val="num" w:pos="3600"/>
        </w:tabs>
        <w:ind w:left="3600" w:hanging="360"/>
      </w:pPr>
      <w:rPr>
        <w:rFonts w:ascii="Arial" w:hAnsi="Arial" w:hint="default"/>
      </w:rPr>
    </w:lvl>
    <w:lvl w:ilvl="5" w:tplc="6A4E8DA0" w:tentative="1">
      <w:start w:val="1"/>
      <w:numFmt w:val="bullet"/>
      <w:lvlText w:val="•"/>
      <w:lvlJc w:val="left"/>
      <w:pPr>
        <w:tabs>
          <w:tab w:val="num" w:pos="4320"/>
        </w:tabs>
        <w:ind w:left="4320" w:hanging="360"/>
      </w:pPr>
      <w:rPr>
        <w:rFonts w:ascii="Arial" w:hAnsi="Arial" w:hint="default"/>
      </w:rPr>
    </w:lvl>
    <w:lvl w:ilvl="6" w:tplc="AEF8F0CE" w:tentative="1">
      <w:start w:val="1"/>
      <w:numFmt w:val="bullet"/>
      <w:lvlText w:val="•"/>
      <w:lvlJc w:val="left"/>
      <w:pPr>
        <w:tabs>
          <w:tab w:val="num" w:pos="5040"/>
        </w:tabs>
        <w:ind w:left="5040" w:hanging="360"/>
      </w:pPr>
      <w:rPr>
        <w:rFonts w:ascii="Arial" w:hAnsi="Arial" w:hint="default"/>
      </w:rPr>
    </w:lvl>
    <w:lvl w:ilvl="7" w:tplc="C0C60A3E" w:tentative="1">
      <w:start w:val="1"/>
      <w:numFmt w:val="bullet"/>
      <w:lvlText w:val="•"/>
      <w:lvlJc w:val="left"/>
      <w:pPr>
        <w:tabs>
          <w:tab w:val="num" w:pos="5760"/>
        </w:tabs>
        <w:ind w:left="5760" w:hanging="360"/>
      </w:pPr>
      <w:rPr>
        <w:rFonts w:ascii="Arial" w:hAnsi="Arial" w:hint="default"/>
      </w:rPr>
    </w:lvl>
    <w:lvl w:ilvl="8" w:tplc="371ECADE" w:tentative="1">
      <w:start w:val="1"/>
      <w:numFmt w:val="bullet"/>
      <w:lvlText w:val="•"/>
      <w:lvlJc w:val="left"/>
      <w:pPr>
        <w:tabs>
          <w:tab w:val="num" w:pos="6480"/>
        </w:tabs>
        <w:ind w:left="6480" w:hanging="360"/>
      </w:pPr>
      <w:rPr>
        <w:rFonts w:ascii="Arial" w:hAnsi="Arial" w:hint="default"/>
      </w:rPr>
    </w:lvl>
  </w:abstractNum>
  <w:num w:numId="1" w16cid:durableId="810055094">
    <w:abstractNumId w:val="9"/>
  </w:num>
  <w:num w:numId="2" w16cid:durableId="732435326">
    <w:abstractNumId w:val="11"/>
  </w:num>
  <w:num w:numId="3" w16cid:durableId="720861872">
    <w:abstractNumId w:val="1"/>
  </w:num>
  <w:num w:numId="4" w16cid:durableId="586765481">
    <w:abstractNumId w:val="1"/>
  </w:num>
  <w:num w:numId="5" w16cid:durableId="1560363176">
    <w:abstractNumId w:val="1"/>
  </w:num>
  <w:num w:numId="6" w16cid:durableId="2085491211">
    <w:abstractNumId w:val="1"/>
  </w:num>
  <w:num w:numId="7" w16cid:durableId="358245723">
    <w:abstractNumId w:val="1"/>
  </w:num>
  <w:num w:numId="8" w16cid:durableId="1969773762">
    <w:abstractNumId w:val="1"/>
  </w:num>
  <w:num w:numId="9" w16cid:durableId="271596927">
    <w:abstractNumId w:val="1"/>
  </w:num>
  <w:num w:numId="10" w16cid:durableId="1512063941">
    <w:abstractNumId w:val="1"/>
  </w:num>
  <w:num w:numId="11" w16cid:durableId="2054845843">
    <w:abstractNumId w:val="1"/>
  </w:num>
  <w:num w:numId="12" w16cid:durableId="1888099080">
    <w:abstractNumId w:val="1"/>
  </w:num>
  <w:num w:numId="13" w16cid:durableId="1808938208">
    <w:abstractNumId w:val="7"/>
  </w:num>
  <w:num w:numId="14" w16cid:durableId="993221015">
    <w:abstractNumId w:val="4"/>
  </w:num>
  <w:num w:numId="15" w16cid:durableId="359017591">
    <w:abstractNumId w:val="3"/>
  </w:num>
  <w:num w:numId="16" w16cid:durableId="278686799">
    <w:abstractNumId w:val="0"/>
  </w:num>
  <w:num w:numId="17" w16cid:durableId="653342337">
    <w:abstractNumId w:val="2"/>
  </w:num>
  <w:num w:numId="18" w16cid:durableId="85730187">
    <w:abstractNumId w:val="6"/>
  </w:num>
  <w:num w:numId="19" w16cid:durableId="1368875723">
    <w:abstractNumId w:val="5"/>
  </w:num>
  <w:num w:numId="20" w16cid:durableId="299116631">
    <w:abstractNumId w:val="10"/>
  </w:num>
  <w:num w:numId="21" w16cid:durableId="1762220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E5"/>
    <w:rsid w:val="00030021"/>
    <w:rsid w:val="00052536"/>
    <w:rsid w:val="00052731"/>
    <w:rsid w:val="00062ACE"/>
    <w:rsid w:val="000715FF"/>
    <w:rsid w:val="000739D7"/>
    <w:rsid w:val="0009136B"/>
    <w:rsid w:val="000915A2"/>
    <w:rsid w:val="0009227B"/>
    <w:rsid w:val="00092350"/>
    <w:rsid w:val="000A7424"/>
    <w:rsid w:val="000B2545"/>
    <w:rsid w:val="000B3B16"/>
    <w:rsid w:val="000B7E4F"/>
    <w:rsid w:val="000C42DD"/>
    <w:rsid w:val="000C70BC"/>
    <w:rsid w:val="000C7409"/>
    <w:rsid w:val="000E36B1"/>
    <w:rsid w:val="000E38DB"/>
    <w:rsid w:val="000E650D"/>
    <w:rsid w:val="000E71B0"/>
    <w:rsid w:val="000F5441"/>
    <w:rsid w:val="00115C75"/>
    <w:rsid w:val="00124077"/>
    <w:rsid w:val="001246DA"/>
    <w:rsid w:val="00124E85"/>
    <w:rsid w:val="001266BB"/>
    <w:rsid w:val="00132BEA"/>
    <w:rsid w:val="00146160"/>
    <w:rsid w:val="00146FA8"/>
    <w:rsid w:val="00161B48"/>
    <w:rsid w:val="00163670"/>
    <w:rsid w:val="00166888"/>
    <w:rsid w:val="001706E7"/>
    <w:rsid w:val="00175ADC"/>
    <w:rsid w:val="00180BB6"/>
    <w:rsid w:val="001840BC"/>
    <w:rsid w:val="00192FC0"/>
    <w:rsid w:val="001A5BD0"/>
    <w:rsid w:val="001C35A9"/>
    <w:rsid w:val="001C75C8"/>
    <w:rsid w:val="001D2227"/>
    <w:rsid w:val="001D6671"/>
    <w:rsid w:val="001E4E90"/>
    <w:rsid w:val="00201538"/>
    <w:rsid w:val="0020408D"/>
    <w:rsid w:val="002040E2"/>
    <w:rsid w:val="00205D49"/>
    <w:rsid w:val="00214BE7"/>
    <w:rsid w:val="0022215A"/>
    <w:rsid w:val="00223CEB"/>
    <w:rsid w:val="002247F4"/>
    <w:rsid w:val="0023489B"/>
    <w:rsid w:val="00242896"/>
    <w:rsid w:val="00250FED"/>
    <w:rsid w:val="00251295"/>
    <w:rsid w:val="00252BD5"/>
    <w:rsid w:val="00253570"/>
    <w:rsid w:val="00265698"/>
    <w:rsid w:val="00290E35"/>
    <w:rsid w:val="00294EEB"/>
    <w:rsid w:val="00295884"/>
    <w:rsid w:val="00295A71"/>
    <w:rsid w:val="0029601B"/>
    <w:rsid w:val="002A2F87"/>
    <w:rsid w:val="002B0F15"/>
    <w:rsid w:val="002B5201"/>
    <w:rsid w:val="002B6191"/>
    <w:rsid w:val="002B75B8"/>
    <w:rsid w:val="002D3241"/>
    <w:rsid w:val="002D39E9"/>
    <w:rsid w:val="002D3DEA"/>
    <w:rsid w:val="002D530E"/>
    <w:rsid w:val="002D6FD6"/>
    <w:rsid w:val="002E06B6"/>
    <w:rsid w:val="002E6F6E"/>
    <w:rsid w:val="002E79E1"/>
    <w:rsid w:val="002F0BED"/>
    <w:rsid w:val="00302A06"/>
    <w:rsid w:val="00302D40"/>
    <w:rsid w:val="003124A5"/>
    <w:rsid w:val="00332C03"/>
    <w:rsid w:val="003331D1"/>
    <w:rsid w:val="003347D7"/>
    <w:rsid w:val="003431C7"/>
    <w:rsid w:val="00351D34"/>
    <w:rsid w:val="00353C8A"/>
    <w:rsid w:val="00356EB7"/>
    <w:rsid w:val="00361172"/>
    <w:rsid w:val="0036195D"/>
    <w:rsid w:val="00365870"/>
    <w:rsid w:val="00384AD3"/>
    <w:rsid w:val="00392653"/>
    <w:rsid w:val="00394EB7"/>
    <w:rsid w:val="00395F4F"/>
    <w:rsid w:val="003A169E"/>
    <w:rsid w:val="003A238E"/>
    <w:rsid w:val="003A2899"/>
    <w:rsid w:val="003A2CCB"/>
    <w:rsid w:val="003A72C1"/>
    <w:rsid w:val="003B2965"/>
    <w:rsid w:val="003B365B"/>
    <w:rsid w:val="003B74A9"/>
    <w:rsid w:val="003C67F7"/>
    <w:rsid w:val="003D2956"/>
    <w:rsid w:val="003D44E7"/>
    <w:rsid w:val="003D67F5"/>
    <w:rsid w:val="003E4674"/>
    <w:rsid w:val="003E600C"/>
    <w:rsid w:val="003E6E03"/>
    <w:rsid w:val="003F140C"/>
    <w:rsid w:val="003F3D86"/>
    <w:rsid w:val="003F4ED6"/>
    <w:rsid w:val="00405527"/>
    <w:rsid w:val="004113ED"/>
    <w:rsid w:val="0041594F"/>
    <w:rsid w:val="00417825"/>
    <w:rsid w:val="004333EF"/>
    <w:rsid w:val="00434CAA"/>
    <w:rsid w:val="0044144C"/>
    <w:rsid w:val="00450110"/>
    <w:rsid w:val="00453376"/>
    <w:rsid w:val="00456F28"/>
    <w:rsid w:val="00457619"/>
    <w:rsid w:val="00462052"/>
    <w:rsid w:val="004628F5"/>
    <w:rsid w:val="00472855"/>
    <w:rsid w:val="0047731E"/>
    <w:rsid w:val="004830BD"/>
    <w:rsid w:val="00485B1F"/>
    <w:rsid w:val="0048677A"/>
    <w:rsid w:val="004929EA"/>
    <w:rsid w:val="0049738E"/>
    <w:rsid w:val="00497E35"/>
    <w:rsid w:val="004A20D4"/>
    <w:rsid w:val="004A5905"/>
    <w:rsid w:val="004B4304"/>
    <w:rsid w:val="004B4918"/>
    <w:rsid w:val="004C0812"/>
    <w:rsid w:val="004D39D3"/>
    <w:rsid w:val="00507157"/>
    <w:rsid w:val="00511B04"/>
    <w:rsid w:val="00511C3D"/>
    <w:rsid w:val="0051319D"/>
    <w:rsid w:val="00513376"/>
    <w:rsid w:val="0053197B"/>
    <w:rsid w:val="00531D02"/>
    <w:rsid w:val="00532363"/>
    <w:rsid w:val="00532CF8"/>
    <w:rsid w:val="00536FB8"/>
    <w:rsid w:val="00544FE6"/>
    <w:rsid w:val="00551C1F"/>
    <w:rsid w:val="0055478A"/>
    <w:rsid w:val="00560D68"/>
    <w:rsid w:val="00563A1C"/>
    <w:rsid w:val="00565343"/>
    <w:rsid w:val="00571056"/>
    <w:rsid w:val="00573817"/>
    <w:rsid w:val="00573BA7"/>
    <w:rsid w:val="00574880"/>
    <w:rsid w:val="005848DF"/>
    <w:rsid w:val="005863A3"/>
    <w:rsid w:val="00592475"/>
    <w:rsid w:val="005970DB"/>
    <w:rsid w:val="00597400"/>
    <w:rsid w:val="005A1FAF"/>
    <w:rsid w:val="005A7745"/>
    <w:rsid w:val="005A79D6"/>
    <w:rsid w:val="005C17BF"/>
    <w:rsid w:val="005C2D03"/>
    <w:rsid w:val="005C7A7A"/>
    <w:rsid w:val="005D2E86"/>
    <w:rsid w:val="005D3C84"/>
    <w:rsid w:val="005D5EB8"/>
    <w:rsid w:val="005E0FD7"/>
    <w:rsid w:val="005F233B"/>
    <w:rsid w:val="005F6335"/>
    <w:rsid w:val="005F657B"/>
    <w:rsid w:val="00601EF2"/>
    <w:rsid w:val="0061383B"/>
    <w:rsid w:val="00621FEB"/>
    <w:rsid w:val="00630F4B"/>
    <w:rsid w:val="006333AF"/>
    <w:rsid w:val="006435E2"/>
    <w:rsid w:val="006467C1"/>
    <w:rsid w:val="00652D38"/>
    <w:rsid w:val="00652FCB"/>
    <w:rsid w:val="00657FD1"/>
    <w:rsid w:val="006613CC"/>
    <w:rsid w:val="00662A1F"/>
    <w:rsid w:val="006713FA"/>
    <w:rsid w:val="00680786"/>
    <w:rsid w:val="00682BD0"/>
    <w:rsid w:val="00685872"/>
    <w:rsid w:val="0069154C"/>
    <w:rsid w:val="006915B0"/>
    <w:rsid w:val="006B479D"/>
    <w:rsid w:val="006C0D56"/>
    <w:rsid w:val="006C19F9"/>
    <w:rsid w:val="006C4276"/>
    <w:rsid w:val="006C7D3A"/>
    <w:rsid w:val="006E24F9"/>
    <w:rsid w:val="006F1165"/>
    <w:rsid w:val="006F34BC"/>
    <w:rsid w:val="006F73B1"/>
    <w:rsid w:val="00703D47"/>
    <w:rsid w:val="00711607"/>
    <w:rsid w:val="00722B93"/>
    <w:rsid w:val="00724A8D"/>
    <w:rsid w:val="00726F8A"/>
    <w:rsid w:val="0072728D"/>
    <w:rsid w:val="00732100"/>
    <w:rsid w:val="007333EB"/>
    <w:rsid w:val="007360CC"/>
    <w:rsid w:val="00736FAB"/>
    <w:rsid w:val="00743314"/>
    <w:rsid w:val="00744BA9"/>
    <w:rsid w:val="00747A6E"/>
    <w:rsid w:val="00755C47"/>
    <w:rsid w:val="007628E2"/>
    <w:rsid w:val="007660E9"/>
    <w:rsid w:val="007817E6"/>
    <w:rsid w:val="0078617E"/>
    <w:rsid w:val="0079333C"/>
    <w:rsid w:val="007A5801"/>
    <w:rsid w:val="007A65E0"/>
    <w:rsid w:val="007B10F2"/>
    <w:rsid w:val="007B33F6"/>
    <w:rsid w:val="007B4611"/>
    <w:rsid w:val="007B57FC"/>
    <w:rsid w:val="007B6FF6"/>
    <w:rsid w:val="007D04DB"/>
    <w:rsid w:val="007D4651"/>
    <w:rsid w:val="007F701E"/>
    <w:rsid w:val="007F77B2"/>
    <w:rsid w:val="00801448"/>
    <w:rsid w:val="008125E1"/>
    <w:rsid w:val="008126F7"/>
    <w:rsid w:val="00812F33"/>
    <w:rsid w:val="008176E0"/>
    <w:rsid w:val="0081791D"/>
    <w:rsid w:val="0082596C"/>
    <w:rsid w:val="008302E3"/>
    <w:rsid w:val="00833D28"/>
    <w:rsid w:val="00834339"/>
    <w:rsid w:val="008360F1"/>
    <w:rsid w:val="00836D28"/>
    <w:rsid w:val="00840633"/>
    <w:rsid w:val="00843EB6"/>
    <w:rsid w:val="00845B80"/>
    <w:rsid w:val="00855B40"/>
    <w:rsid w:val="0086085C"/>
    <w:rsid w:val="00860B46"/>
    <w:rsid w:val="00860FF8"/>
    <w:rsid w:val="00862904"/>
    <w:rsid w:val="00863D52"/>
    <w:rsid w:val="00867BC9"/>
    <w:rsid w:val="00871E49"/>
    <w:rsid w:val="00871E51"/>
    <w:rsid w:val="00873997"/>
    <w:rsid w:val="00896C7D"/>
    <w:rsid w:val="008C7436"/>
    <w:rsid w:val="008C7C63"/>
    <w:rsid w:val="008D3CB3"/>
    <w:rsid w:val="008D43AE"/>
    <w:rsid w:val="008E1C69"/>
    <w:rsid w:val="008E7084"/>
    <w:rsid w:val="008F5125"/>
    <w:rsid w:val="008F74E9"/>
    <w:rsid w:val="00907F21"/>
    <w:rsid w:val="00915285"/>
    <w:rsid w:val="00916616"/>
    <w:rsid w:val="00936CB9"/>
    <w:rsid w:val="009372B9"/>
    <w:rsid w:val="00955C08"/>
    <w:rsid w:val="00971A3C"/>
    <w:rsid w:val="009729F5"/>
    <w:rsid w:val="00982929"/>
    <w:rsid w:val="00997C89"/>
    <w:rsid w:val="009A0328"/>
    <w:rsid w:val="009C603E"/>
    <w:rsid w:val="009C635A"/>
    <w:rsid w:val="009D08E5"/>
    <w:rsid w:val="009D0B9E"/>
    <w:rsid w:val="009D646E"/>
    <w:rsid w:val="009E6F6A"/>
    <w:rsid w:val="009F1E8B"/>
    <w:rsid w:val="009F6DEB"/>
    <w:rsid w:val="00A129DE"/>
    <w:rsid w:val="00A1488A"/>
    <w:rsid w:val="00A209EA"/>
    <w:rsid w:val="00A3318B"/>
    <w:rsid w:val="00A36537"/>
    <w:rsid w:val="00A41745"/>
    <w:rsid w:val="00A44F93"/>
    <w:rsid w:val="00A47C39"/>
    <w:rsid w:val="00A57358"/>
    <w:rsid w:val="00A60664"/>
    <w:rsid w:val="00A613D5"/>
    <w:rsid w:val="00A62F3B"/>
    <w:rsid w:val="00A7108B"/>
    <w:rsid w:val="00A91821"/>
    <w:rsid w:val="00A93B61"/>
    <w:rsid w:val="00AA0AFF"/>
    <w:rsid w:val="00AA1DE0"/>
    <w:rsid w:val="00AA5B97"/>
    <w:rsid w:val="00AA6F81"/>
    <w:rsid w:val="00AA7299"/>
    <w:rsid w:val="00AB6A5B"/>
    <w:rsid w:val="00AC4D3B"/>
    <w:rsid w:val="00AD2D69"/>
    <w:rsid w:val="00AD3326"/>
    <w:rsid w:val="00AD45A7"/>
    <w:rsid w:val="00AE1B67"/>
    <w:rsid w:val="00AF004E"/>
    <w:rsid w:val="00AF02A8"/>
    <w:rsid w:val="00AF1236"/>
    <w:rsid w:val="00AF31B3"/>
    <w:rsid w:val="00AF615E"/>
    <w:rsid w:val="00B01293"/>
    <w:rsid w:val="00B06B0D"/>
    <w:rsid w:val="00B13237"/>
    <w:rsid w:val="00B17418"/>
    <w:rsid w:val="00B21EDE"/>
    <w:rsid w:val="00B26C3C"/>
    <w:rsid w:val="00B31F6E"/>
    <w:rsid w:val="00B32A11"/>
    <w:rsid w:val="00B40ABF"/>
    <w:rsid w:val="00B40E51"/>
    <w:rsid w:val="00B478CE"/>
    <w:rsid w:val="00B5065F"/>
    <w:rsid w:val="00B55AAB"/>
    <w:rsid w:val="00B56451"/>
    <w:rsid w:val="00B61AC4"/>
    <w:rsid w:val="00B72FFA"/>
    <w:rsid w:val="00B85B43"/>
    <w:rsid w:val="00BA42FC"/>
    <w:rsid w:val="00BA6B79"/>
    <w:rsid w:val="00BA7E66"/>
    <w:rsid w:val="00BB1B91"/>
    <w:rsid w:val="00BB36A1"/>
    <w:rsid w:val="00BB63B3"/>
    <w:rsid w:val="00BC034D"/>
    <w:rsid w:val="00BC24D2"/>
    <w:rsid w:val="00BC3A16"/>
    <w:rsid w:val="00BE0F9C"/>
    <w:rsid w:val="00BE356B"/>
    <w:rsid w:val="00BE4D6C"/>
    <w:rsid w:val="00BE63A5"/>
    <w:rsid w:val="00BE6B66"/>
    <w:rsid w:val="00BF2712"/>
    <w:rsid w:val="00BF4083"/>
    <w:rsid w:val="00BF4A2C"/>
    <w:rsid w:val="00C02B99"/>
    <w:rsid w:val="00C05FD6"/>
    <w:rsid w:val="00C06D47"/>
    <w:rsid w:val="00C14559"/>
    <w:rsid w:val="00C2445F"/>
    <w:rsid w:val="00C26C0F"/>
    <w:rsid w:val="00C27B54"/>
    <w:rsid w:val="00C41C80"/>
    <w:rsid w:val="00C4299E"/>
    <w:rsid w:val="00C45796"/>
    <w:rsid w:val="00C4684C"/>
    <w:rsid w:val="00C51598"/>
    <w:rsid w:val="00C52919"/>
    <w:rsid w:val="00C60AFB"/>
    <w:rsid w:val="00C62581"/>
    <w:rsid w:val="00C659A7"/>
    <w:rsid w:val="00C66434"/>
    <w:rsid w:val="00C67011"/>
    <w:rsid w:val="00C7322C"/>
    <w:rsid w:val="00C73350"/>
    <w:rsid w:val="00C764A3"/>
    <w:rsid w:val="00CA585E"/>
    <w:rsid w:val="00CC022D"/>
    <w:rsid w:val="00CD0182"/>
    <w:rsid w:val="00CD06D0"/>
    <w:rsid w:val="00CE7D22"/>
    <w:rsid w:val="00CF3212"/>
    <w:rsid w:val="00CF4A17"/>
    <w:rsid w:val="00D01C32"/>
    <w:rsid w:val="00D107A3"/>
    <w:rsid w:val="00D256FF"/>
    <w:rsid w:val="00D41FB9"/>
    <w:rsid w:val="00D64C21"/>
    <w:rsid w:val="00D71338"/>
    <w:rsid w:val="00D91581"/>
    <w:rsid w:val="00D91C1A"/>
    <w:rsid w:val="00D965D8"/>
    <w:rsid w:val="00DB0F0A"/>
    <w:rsid w:val="00DC13B8"/>
    <w:rsid w:val="00DD0C8E"/>
    <w:rsid w:val="00DD1C9F"/>
    <w:rsid w:val="00DD7487"/>
    <w:rsid w:val="00DD7645"/>
    <w:rsid w:val="00DE1B06"/>
    <w:rsid w:val="00DF1BB2"/>
    <w:rsid w:val="00E024D1"/>
    <w:rsid w:val="00E05837"/>
    <w:rsid w:val="00E1597C"/>
    <w:rsid w:val="00E1797B"/>
    <w:rsid w:val="00E23559"/>
    <w:rsid w:val="00E260A5"/>
    <w:rsid w:val="00E27246"/>
    <w:rsid w:val="00E27990"/>
    <w:rsid w:val="00E27F08"/>
    <w:rsid w:val="00E34933"/>
    <w:rsid w:val="00E40B47"/>
    <w:rsid w:val="00E51282"/>
    <w:rsid w:val="00E56053"/>
    <w:rsid w:val="00E637B7"/>
    <w:rsid w:val="00E65787"/>
    <w:rsid w:val="00E713EC"/>
    <w:rsid w:val="00E87419"/>
    <w:rsid w:val="00E91812"/>
    <w:rsid w:val="00E91931"/>
    <w:rsid w:val="00E91993"/>
    <w:rsid w:val="00E91D33"/>
    <w:rsid w:val="00E9665B"/>
    <w:rsid w:val="00EA4027"/>
    <w:rsid w:val="00EB1453"/>
    <w:rsid w:val="00EB1725"/>
    <w:rsid w:val="00EB5BF7"/>
    <w:rsid w:val="00EB5CDE"/>
    <w:rsid w:val="00ED673E"/>
    <w:rsid w:val="00EE33B1"/>
    <w:rsid w:val="00EE4E58"/>
    <w:rsid w:val="00EE78B2"/>
    <w:rsid w:val="00EF5737"/>
    <w:rsid w:val="00F00A85"/>
    <w:rsid w:val="00F07578"/>
    <w:rsid w:val="00F16980"/>
    <w:rsid w:val="00F22D9F"/>
    <w:rsid w:val="00F35CCE"/>
    <w:rsid w:val="00F365FE"/>
    <w:rsid w:val="00F437E5"/>
    <w:rsid w:val="00F5192F"/>
    <w:rsid w:val="00F540A0"/>
    <w:rsid w:val="00F604D7"/>
    <w:rsid w:val="00F62408"/>
    <w:rsid w:val="00F64FE3"/>
    <w:rsid w:val="00F65EFE"/>
    <w:rsid w:val="00F67691"/>
    <w:rsid w:val="00F739D1"/>
    <w:rsid w:val="00F766B3"/>
    <w:rsid w:val="00F77924"/>
    <w:rsid w:val="00F821BD"/>
    <w:rsid w:val="00F84FCA"/>
    <w:rsid w:val="00F86C6E"/>
    <w:rsid w:val="00F86C8F"/>
    <w:rsid w:val="00F90456"/>
    <w:rsid w:val="00FA41BF"/>
    <w:rsid w:val="00FA66E9"/>
    <w:rsid w:val="00FB2901"/>
    <w:rsid w:val="00FB3CAD"/>
    <w:rsid w:val="00FB4E65"/>
    <w:rsid w:val="00FB6612"/>
    <w:rsid w:val="00FB6A55"/>
    <w:rsid w:val="00FD7272"/>
    <w:rsid w:val="00FE1AEB"/>
    <w:rsid w:val="00FE2B37"/>
    <w:rsid w:val="00FE398C"/>
    <w:rsid w:val="00FE6AFE"/>
    <w:rsid w:val="0491478C"/>
    <w:rsid w:val="10DEF6C7"/>
    <w:rsid w:val="13982D5C"/>
    <w:rsid w:val="139F3BE3"/>
    <w:rsid w:val="16BF5375"/>
    <w:rsid w:val="53B104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1BF2"/>
  <w15:chartTrackingRefBased/>
  <w15:docId w15:val="{CFABE984-8227-48B2-A56D-E6083071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376"/>
  </w:style>
  <w:style w:type="paragraph" w:styleId="Heading1">
    <w:name w:val="heading 1"/>
    <w:basedOn w:val="Normal"/>
    <w:next w:val="Normal"/>
    <w:link w:val="Heading1Char"/>
    <w:uiPriority w:val="9"/>
    <w:qFormat/>
    <w:rsid w:val="00453376"/>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3376"/>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53376"/>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53376"/>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53376"/>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53376"/>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337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37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376"/>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6E"/>
    <w:pPr>
      <w:ind w:left="720"/>
      <w:contextualSpacing/>
    </w:pPr>
  </w:style>
  <w:style w:type="paragraph" w:styleId="Title">
    <w:name w:val="Title"/>
    <w:basedOn w:val="Normal"/>
    <w:next w:val="Normal"/>
    <w:link w:val="TitleChar"/>
    <w:uiPriority w:val="10"/>
    <w:qFormat/>
    <w:rsid w:val="004533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3376"/>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BF4A2C"/>
    <w:rPr>
      <w:color w:val="0563C1" w:themeColor="hyperlink"/>
      <w:u w:val="single"/>
    </w:rPr>
  </w:style>
  <w:style w:type="character" w:styleId="UnresolvedMention">
    <w:name w:val="Unresolved Mention"/>
    <w:basedOn w:val="DefaultParagraphFont"/>
    <w:uiPriority w:val="99"/>
    <w:semiHidden/>
    <w:unhideWhenUsed/>
    <w:rsid w:val="00BF4A2C"/>
    <w:rPr>
      <w:color w:val="605E5C"/>
      <w:shd w:val="clear" w:color="auto" w:fill="E1DFDD"/>
    </w:rPr>
  </w:style>
  <w:style w:type="table" w:styleId="TableGrid">
    <w:name w:val="Table Grid"/>
    <w:basedOn w:val="TableNormal"/>
    <w:uiPriority w:val="39"/>
    <w:rsid w:val="001C7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33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533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533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33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533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533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33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33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3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337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533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3376"/>
    <w:rPr>
      <w:color w:val="5A5A5A" w:themeColor="text1" w:themeTint="A5"/>
      <w:spacing w:val="10"/>
    </w:rPr>
  </w:style>
  <w:style w:type="character" w:styleId="Strong">
    <w:name w:val="Strong"/>
    <w:basedOn w:val="DefaultParagraphFont"/>
    <w:uiPriority w:val="22"/>
    <w:qFormat/>
    <w:rsid w:val="00453376"/>
    <w:rPr>
      <w:b/>
      <w:bCs/>
      <w:color w:val="000000" w:themeColor="text1"/>
    </w:rPr>
  </w:style>
  <w:style w:type="character" w:styleId="Emphasis">
    <w:name w:val="Emphasis"/>
    <w:basedOn w:val="DefaultParagraphFont"/>
    <w:uiPriority w:val="20"/>
    <w:qFormat/>
    <w:rsid w:val="00453376"/>
    <w:rPr>
      <w:i/>
      <w:iCs/>
      <w:color w:val="auto"/>
    </w:rPr>
  </w:style>
  <w:style w:type="paragraph" w:styleId="NoSpacing">
    <w:name w:val="No Spacing"/>
    <w:uiPriority w:val="1"/>
    <w:qFormat/>
    <w:rsid w:val="00453376"/>
    <w:pPr>
      <w:spacing w:after="0" w:line="240" w:lineRule="auto"/>
    </w:pPr>
  </w:style>
  <w:style w:type="paragraph" w:styleId="Quote">
    <w:name w:val="Quote"/>
    <w:basedOn w:val="Normal"/>
    <w:next w:val="Normal"/>
    <w:link w:val="QuoteChar"/>
    <w:uiPriority w:val="29"/>
    <w:qFormat/>
    <w:rsid w:val="00453376"/>
    <w:pPr>
      <w:spacing w:before="160"/>
      <w:ind w:left="720" w:right="720"/>
    </w:pPr>
    <w:rPr>
      <w:i/>
      <w:iCs/>
      <w:color w:val="000000" w:themeColor="text1"/>
    </w:rPr>
  </w:style>
  <w:style w:type="character" w:customStyle="1" w:styleId="QuoteChar">
    <w:name w:val="Quote Char"/>
    <w:basedOn w:val="DefaultParagraphFont"/>
    <w:link w:val="Quote"/>
    <w:uiPriority w:val="29"/>
    <w:rsid w:val="00453376"/>
    <w:rPr>
      <w:i/>
      <w:iCs/>
      <w:color w:val="000000" w:themeColor="text1"/>
    </w:rPr>
  </w:style>
  <w:style w:type="paragraph" w:styleId="IntenseQuote">
    <w:name w:val="Intense Quote"/>
    <w:basedOn w:val="Normal"/>
    <w:next w:val="Normal"/>
    <w:link w:val="IntenseQuoteChar"/>
    <w:uiPriority w:val="30"/>
    <w:qFormat/>
    <w:rsid w:val="004533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3376"/>
    <w:rPr>
      <w:color w:val="000000" w:themeColor="text1"/>
      <w:shd w:val="clear" w:color="auto" w:fill="F2F2F2" w:themeFill="background1" w:themeFillShade="F2"/>
    </w:rPr>
  </w:style>
  <w:style w:type="character" w:styleId="SubtleEmphasis">
    <w:name w:val="Subtle Emphasis"/>
    <w:basedOn w:val="DefaultParagraphFont"/>
    <w:uiPriority w:val="19"/>
    <w:qFormat/>
    <w:rsid w:val="00453376"/>
    <w:rPr>
      <w:i/>
      <w:iCs/>
      <w:color w:val="404040" w:themeColor="text1" w:themeTint="BF"/>
    </w:rPr>
  </w:style>
  <w:style w:type="character" w:styleId="IntenseEmphasis">
    <w:name w:val="Intense Emphasis"/>
    <w:basedOn w:val="DefaultParagraphFont"/>
    <w:uiPriority w:val="21"/>
    <w:qFormat/>
    <w:rsid w:val="00453376"/>
    <w:rPr>
      <w:b/>
      <w:bCs/>
      <w:i/>
      <w:iCs/>
      <w:caps/>
    </w:rPr>
  </w:style>
  <w:style w:type="character" w:styleId="SubtleReference">
    <w:name w:val="Subtle Reference"/>
    <w:basedOn w:val="DefaultParagraphFont"/>
    <w:uiPriority w:val="31"/>
    <w:qFormat/>
    <w:rsid w:val="004533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3376"/>
    <w:rPr>
      <w:b/>
      <w:bCs/>
      <w:smallCaps/>
      <w:u w:val="single"/>
    </w:rPr>
  </w:style>
  <w:style w:type="character" w:styleId="BookTitle">
    <w:name w:val="Book Title"/>
    <w:basedOn w:val="DefaultParagraphFont"/>
    <w:uiPriority w:val="33"/>
    <w:qFormat/>
    <w:rsid w:val="00453376"/>
    <w:rPr>
      <w:b w:val="0"/>
      <w:bCs w:val="0"/>
      <w:smallCaps/>
      <w:spacing w:val="5"/>
    </w:rPr>
  </w:style>
  <w:style w:type="paragraph" w:styleId="TOCHeading">
    <w:name w:val="TOC Heading"/>
    <w:basedOn w:val="Heading1"/>
    <w:next w:val="Normal"/>
    <w:uiPriority w:val="39"/>
    <w:semiHidden/>
    <w:unhideWhenUsed/>
    <w:qFormat/>
    <w:rsid w:val="00453376"/>
    <w:pPr>
      <w:outlineLvl w:val="9"/>
    </w:pPr>
  </w:style>
  <w:style w:type="paragraph" w:styleId="NormalWeb">
    <w:name w:val="Normal (Web)"/>
    <w:basedOn w:val="Normal"/>
    <w:uiPriority w:val="99"/>
    <w:semiHidden/>
    <w:unhideWhenUsed/>
    <w:rsid w:val="0051319D"/>
    <w:rPr>
      <w:rFonts w:ascii="Times New Roman" w:hAnsi="Times New Roman" w:cs="Times New Roman"/>
      <w:sz w:val="24"/>
      <w:szCs w:val="24"/>
    </w:rPr>
  </w:style>
  <w:style w:type="table" w:styleId="GridTable2-Accent1">
    <w:name w:val="Grid Table 2 Accent 1"/>
    <w:basedOn w:val="TableNormal"/>
    <w:uiPriority w:val="47"/>
    <w:rsid w:val="00485B1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2E79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79E1"/>
    <w:rPr>
      <w:sz w:val="20"/>
      <w:szCs w:val="20"/>
    </w:rPr>
  </w:style>
  <w:style w:type="character" w:styleId="FootnoteReference">
    <w:name w:val="footnote reference"/>
    <w:basedOn w:val="DefaultParagraphFont"/>
    <w:uiPriority w:val="99"/>
    <w:semiHidden/>
    <w:unhideWhenUsed/>
    <w:rsid w:val="002E79E1"/>
    <w:rPr>
      <w:vertAlign w:val="superscript"/>
    </w:rPr>
  </w:style>
  <w:style w:type="table" w:styleId="PlainTable2">
    <w:name w:val="Plain Table 2"/>
    <w:basedOn w:val="TableNormal"/>
    <w:uiPriority w:val="42"/>
    <w:rsid w:val="00955C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0044">
      <w:bodyDiv w:val="1"/>
      <w:marLeft w:val="0"/>
      <w:marRight w:val="0"/>
      <w:marTop w:val="0"/>
      <w:marBottom w:val="0"/>
      <w:divBdr>
        <w:top w:val="none" w:sz="0" w:space="0" w:color="auto"/>
        <w:left w:val="none" w:sz="0" w:space="0" w:color="auto"/>
        <w:bottom w:val="none" w:sz="0" w:space="0" w:color="auto"/>
        <w:right w:val="none" w:sz="0" w:space="0" w:color="auto"/>
      </w:divBdr>
    </w:div>
    <w:div w:id="299000765">
      <w:bodyDiv w:val="1"/>
      <w:marLeft w:val="0"/>
      <w:marRight w:val="0"/>
      <w:marTop w:val="0"/>
      <w:marBottom w:val="0"/>
      <w:divBdr>
        <w:top w:val="none" w:sz="0" w:space="0" w:color="auto"/>
        <w:left w:val="none" w:sz="0" w:space="0" w:color="auto"/>
        <w:bottom w:val="none" w:sz="0" w:space="0" w:color="auto"/>
        <w:right w:val="none" w:sz="0" w:space="0" w:color="auto"/>
      </w:divBdr>
    </w:div>
    <w:div w:id="333999298">
      <w:bodyDiv w:val="1"/>
      <w:marLeft w:val="0"/>
      <w:marRight w:val="0"/>
      <w:marTop w:val="0"/>
      <w:marBottom w:val="0"/>
      <w:divBdr>
        <w:top w:val="none" w:sz="0" w:space="0" w:color="auto"/>
        <w:left w:val="none" w:sz="0" w:space="0" w:color="auto"/>
        <w:bottom w:val="none" w:sz="0" w:space="0" w:color="auto"/>
        <w:right w:val="none" w:sz="0" w:space="0" w:color="auto"/>
      </w:divBdr>
    </w:div>
    <w:div w:id="391536714">
      <w:bodyDiv w:val="1"/>
      <w:marLeft w:val="0"/>
      <w:marRight w:val="0"/>
      <w:marTop w:val="0"/>
      <w:marBottom w:val="0"/>
      <w:divBdr>
        <w:top w:val="none" w:sz="0" w:space="0" w:color="auto"/>
        <w:left w:val="none" w:sz="0" w:space="0" w:color="auto"/>
        <w:bottom w:val="none" w:sz="0" w:space="0" w:color="auto"/>
        <w:right w:val="none" w:sz="0" w:space="0" w:color="auto"/>
      </w:divBdr>
    </w:div>
    <w:div w:id="543375587">
      <w:bodyDiv w:val="1"/>
      <w:marLeft w:val="0"/>
      <w:marRight w:val="0"/>
      <w:marTop w:val="0"/>
      <w:marBottom w:val="0"/>
      <w:divBdr>
        <w:top w:val="none" w:sz="0" w:space="0" w:color="auto"/>
        <w:left w:val="none" w:sz="0" w:space="0" w:color="auto"/>
        <w:bottom w:val="none" w:sz="0" w:space="0" w:color="auto"/>
        <w:right w:val="none" w:sz="0" w:space="0" w:color="auto"/>
      </w:divBdr>
    </w:div>
    <w:div w:id="569927692">
      <w:bodyDiv w:val="1"/>
      <w:marLeft w:val="0"/>
      <w:marRight w:val="0"/>
      <w:marTop w:val="0"/>
      <w:marBottom w:val="0"/>
      <w:divBdr>
        <w:top w:val="none" w:sz="0" w:space="0" w:color="auto"/>
        <w:left w:val="none" w:sz="0" w:space="0" w:color="auto"/>
        <w:bottom w:val="none" w:sz="0" w:space="0" w:color="auto"/>
        <w:right w:val="none" w:sz="0" w:space="0" w:color="auto"/>
      </w:divBdr>
    </w:div>
    <w:div w:id="573705960">
      <w:bodyDiv w:val="1"/>
      <w:marLeft w:val="0"/>
      <w:marRight w:val="0"/>
      <w:marTop w:val="0"/>
      <w:marBottom w:val="0"/>
      <w:divBdr>
        <w:top w:val="none" w:sz="0" w:space="0" w:color="auto"/>
        <w:left w:val="none" w:sz="0" w:space="0" w:color="auto"/>
        <w:bottom w:val="none" w:sz="0" w:space="0" w:color="auto"/>
        <w:right w:val="none" w:sz="0" w:space="0" w:color="auto"/>
      </w:divBdr>
    </w:div>
    <w:div w:id="636378911">
      <w:bodyDiv w:val="1"/>
      <w:marLeft w:val="0"/>
      <w:marRight w:val="0"/>
      <w:marTop w:val="0"/>
      <w:marBottom w:val="0"/>
      <w:divBdr>
        <w:top w:val="none" w:sz="0" w:space="0" w:color="auto"/>
        <w:left w:val="none" w:sz="0" w:space="0" w:color="auto"/>
        <w:bottom w:val="none" w:sz="0" w:space="0" w:color="auto"/>
        <w:right w:val="none" w:sz="0" w:space="0" w:color="auto"/>
      </w:divBdr>
    </w:div>
    <w:div w:id="776754844">
      <w:bodyDiv w:val="1"/>
      <w:marLeft w:val="0"/>
      <w:marRight w:val="0"/>
      <w:marTop w:val="0"/>
      <w:marBottom w:val="0"/>
      <w:divBdr>
        <w:top w:val="none" w:sz="0" w:space="0" w:color="auto"/>
        <w:left w:val="none" w:sz="0" w:space="0" w:color="auto"/>
        <w:bottom w:val="none" w:sz="0" w:space="0" w:color="auto"/>
        <w:right w:val="none" w:sz="0" w:space="0" w:color="auto"/>
      </w:divBdr>
    </w:div>
    <w:div w:id="845443900">
      <w:bodyDiv w:val="1"/>
      <w:marLeft w:val="0"/>
      <w:marRight w:val="0"/>
      <w:marTop w:val="0"/>
      <w:marBottom w:val="0"/>
      <w:divBdr>
        <w:top w:val="none" w:sz="0" w:space="0" w:color="auto"/>
        <w:left w:val="none" w:sz="0" w:space="0" w:color="auto"/>
        <w:bottom w:val="none" w:sz="0" w:space="0" w:color="auto"/>
        <w:right w:val="none" w:sz="0" w:space="0" w:color="auto"/>
      </w:divBdr>
    </w:div>
    <w:div w:id="955016125">
      <w:bodyDiv w:val="1"/>
      <w:marLeft w:val="0"/>
      <w:marRight w:val="0"/>
      <w:marTop w:val="0"/>
      <w:marBottom w:val="0"/>
      <w:divBdr>
        <w:top w:val="none" w:sz="0" w:space="0" w:color="auto"/>
        <w:left w:val="none" w:sz="0" w:space="0" w:color="auto"/>
        <w:bottom w:val="none" w:sz="0" w:space="0" w:color="auto"/>
        <w:right w:val="none" w:sz="0" w:space="0" w:color="auto"/>
      </w:divBdr>
    </w:div>
    <w:div w:id="971247263">
      <w:bodyDiv w:val="1"/>
      <w:marLeft w:val="0"/>
      <w:marRight w:val="0"/>
      <w:marTop w:val="0"/>
      <w:marBottom w:val="0"/>
      <w:divBdr>
        <w:top w:val="none" w:sz="0" w:space="0" w:color="auto"/>
        <w:left w:val="none" w:sz="0" w:space="0" w:color="auto"/>
        <w:bottom w:val="none" w:sz="0" w:space="0" w:color="auto"/>
        <w:right w:val="none" w:sz="0" w:space="0" w:color="auto"/>
      </w:divBdr>
    </w:div>
    <w:div w:id="1032461218">
      <w:bodyDiv w:val="1"/>
      <w:marLeft w:val="0"/>
      <w:marRight w:val="0"/>
      <w:marTop w:val="0"/>
      <w:marBottom w:val="0"/>
      <w:divBdr>
        <w:top w:val="none" w:sz="0" w:space="0" w:color="auto"/>
        <w:left w:val="none" w:sz="0" w:space="0" w:color="auto"/>
        <w:bottom w:val="none" w:sz="0" w:space="0" w:color="auto"/>
        <w:right w:val="none" w:sz="0" w:space="0" w:color="auto"/>
      </w:divBdr>
    </w:div>
    <w:div w:id="1126048029">
      <w:bodyDiv w:val="1"/>
      <w:marLeft w:val="0"/>
      <w:marRight w:val="0"/>
      <w:marTop w:val="0"/>
      <w:marBottom w:val="0"/>
      <w:divBdr>
        <w:top w:val="none" w:sz="0" w:space="0" w:color="auto"/>
        <w:left w:val="none" w:sz="0" w:space="0" w:color="auto"/>
        <w:bottom w:val="none" w:sz="0" w:space="0" w:color="auto"/>
        <w:right w:val="none" w:sz="0" w:space="0" w:color="auto"/>
      </w:divBdr>
    </w:div>
    <w:div w:id="1131896616">
      <w:bodyDiv w:val="1"/>
      <w:marLeft w:val="0"/>
      <w:marRight w:val="0"/>
      <w:marTop w:val="0"/>
      <w:marBottom w:val="0"/>
      <w:divBdr>
        <w:top w:val="none" w:sz="0" w:space="0" w:color="auto"/>
        <w:left w:val="none" w:sz="0" w:space="0" w:color="auto"/>
        <w:bottom w:val="none" w:sz="0" w:space="0" w:color="auto"/>
        <w:right w:val="none" w:sz="0" w:space="0" w:color="auto"/>
      </w:divBdr>
    </w:div>
    <w:div w:id="1180120566">
      <w:bodyDiv w:val="1"/>
      <w:marLeft w:val="0"/>
      <w:marRight w:val="0"/>
      <w:marTop w:val="0"/>
      <w:marBottom w:val="0"/>
      <w:divBdr>
        <w:top w:val="none" w:sz="0" w:space="0" w:color="auto"/>
        <w:left w:val="none" w:sz="0" w:space="0" w:color="auto"/>
        <w:bottom w:val="none" w:sz="0" w:space="0" w:color="auto"/>
        <w:right w:val="none" w:sz="0" w:space="0" w:color="auto"/>
      </w:divBdr>
    </w:div>
    <w:div w:id="1279534026">
      <w:bodyDiv w:val="1"/>
      <w:marLeft w:val="0"/>
      <w:marRight w:val="0"/>
      <w:marTop w:val="0"/>
      <w:marBottom w:val="0"/>
      <w:divBdr>
        <w:top w:val="none" w:sz="0" w:space="0" w:color="auto"/>
        <w:left w:val="none" w:sz="0" w:space="0" w:color="auto"/>
        <w:bottom w:val="none" w:sz="0" w:space="0" w:color="auto"/>
        <w:right w:val="none" w:sz="0" w:space="0" w:color="auto"/>
      </w:divBdr>
      <w:divsChild>
        <w:div w:id="518155927">
          <w:marLeft w:val="0"/>
          <w:marRight w:val="0"/>
          <w:marTop w:val="0"/>
          <w:marBottom w:val="0"/>
          <w:divBdr>
            <w:top w:val="none" w:sz="0" w:space="0" w:color="auto"/>
            <w:left w:val="none" w:sz="0" w:space="0" w:color="auto"/>
            <w:bottom w:val="none" w:sz="0" w:space="0" w:color="auto"/>
            <w:right w:val="none" w:sz="0" w:space="0" w:color="auto"/>
          </w:divBdr>
          <w:divsChild>
            <w:div w:id="1012221194">
              <w:marLeft w:val="0"/>
              <w:marRight w:val="0"/>
              <w:marTop w:val="0"/>
              <w:marBottom w:val="0"/>
              <w:divBdr>
                <w:top w:val="none" w:sz="0" w:space="0" w:color="auto"/>
                <w:left w:val="none" w:sz="0" w:space="0" w:color="auto"/>
                <w:bottom w:val="none" w:sz="0" w:space="0" w:color="auto"/>
                <w:right w:val="none" w:sz="0" w:space="0" w:color="auto"/>
              </w:divBdr>
              <w:divsChild>
                <w:div w:id="254436627">
                  <w:marLeft w:val="0"/>
                  <w:marRight w:val="0"/>
                  <w:marTop w:val="0"/>
                  <w:marBottom w:val="0"/>
                  <w:divBdr>
                    <w:top w:val="none" w:sz="0" w:space="0" w:color="auto"/>
                    <w:left w:val="none" w:sz="0" w:space="0" w:color="auto"/>
                    <w:bottom w:val="none" w:sz="0" w:space="0" w:color="auto"/>
                    <w:right w:val="none" w:sz="0" w:space="0" w:color="auto"/>
                  </w:divBdr>
                  <w:divsChild>
                    <w:div w:id="1734623474">
                      <w:marLeft w:val="0"/>
                      <w:marRight w:val="0"/>
                      <w:marTop w:val="0"/>
                      <w:marBottom w:val="0"/>
                      <w:divBdr>
                        <w:top w:val="none" w:sz="0" w:space="0" w:color="auto"/>
                        <w:left w:val="none" w:sz="0" w:space="0" w:color="auto"/>
                        <w:bottom w:val="none" w:sz="0" w:space="0" w:color="auto"/>
                        <w:right w:val="none" w:sz="0" w:space="0" w:color="auto"/>
                      </w:divBdr>
                      <w:divsChild>
                        <w:div w:id="848104551">
                          <w:marLeft w:val="0"/>
                          <w:marRight w:val="0"/>
                          <w:marTop w:val="0"/>
                          <w:marBottom w:val="0"/>
                          <w:divBdr>
                            <w:top w:val="none" w:sz="0" w:space="0" w:color="auto"/>
                            <w:left w:val="none" w:sz="0" w:space="0" w:color="auto"/>
                            <w:bottom w:val="none" w:sz="0" w:space="0" w:color="auto"/>
                            <w:right w:val="none" w:sz="0" w:space="0" w:color="auto"/>
                          </w:divBdr>
                          <w:divsChild>
                            <w:div w:id="10609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34272">
          <w:marLeft w:val="0"/>
          <w:marRight w:val="0"/>
          <w:marTop w:val="0"/>
          <w:marBottom w:val="0"/>
          <w:divBdr>
            <w:top w:val="none" w:sz="0" w:space="0" w:color="auto"/>
            <w:left w:val="none" w:sz="0" w:space="0" w:color="auto"/>
            <w:bottom w:val="none" w:sz="0" w:space="0" w:color="auto"/>
            <w:right w:val="none" w:sz="0" w:space="0" w:color="auto"/>
          </w:divBdr>
          <w:divsChild>
            <w:div w:id="690840163">
              <w:marLeft w:val="0"/>
              <w:marRight w:val="0"/>
              <w:marTop w:val="0"/>
              <w:marBottom w:val="0"/>
              <w:divBdr>
                <w:top w:val="none" w:sz="0" w:space="0" w:color="auto"/>
                <w:left w:val="none" w:sz="0" w:space="0" w:color="auto"/>
                <w:bottom w:val="none" w:sz="0" w:space="0" w:color="auto"/>
                <w:right w:val="none" w:sz="0" w:space="0" w:color="auto"/>
              </w:divBdr>
              <w:divsChild>
                <w:div w:id="993948681">
                  <w:marLeft w:val="0"/>
                  <w:marRight w:val="0"/>
                  <w:marTop w:val="0"/>
                  <w:marBottom w:val="0"/>
                  <w:divBdr>
                    <w:top w:val="none" w:sz="0" w:space="0" w:color="auto"/>
                    <w:left w:val="none" w:sz="0" w:space="0" w:color="auto"/>
                    <w:bottom w:val="none" w:sz="0" w:space="0" w:color="auto"/>
                    <w:right w:val="none" w:sz="0" w:space="0" w:color="auto"/>
                  </w:divBdr>
                  <w:divsChild>
                    <w:div w:id="219825428">
                      <w:marLeft w:val="0"/>
                      <w:marRight w:val="0"/>
                      <w:marTop w:val="0"/>
                      <w:marBottom w:val="0"/>
                      <w:divBdr>
                        <w:top w:val="none" w:sz="0" w:space="0" w:color="auto"/>
                        <w:left w:val="none" w:sz="0" w:space="0" w:color="auto"/>
                        <w:bottom w:val="none" w:sz="0" w:space="0" w:color="auto"/>
                        <w:right w:val="none" w:sz="0" w:space="0" w:color="auto"/>
                      </w:divBdr>
                      <w:divsChild>
                        <w:div w:id="498348699">
                          <w:marLeft w:val="0"/>
                          <w:marRight w:val="0"/>
                          <w:marTop w:val="0"/>
                          <w:marBottom w:val="0"/>
                          <w:divBdr>
                            <w:top w:val="none" w:sz="0" w:space="0" w:color="auto"/>
                            <w:left w:val="none" w:sz="0" w:space="0" w:color="auto"/>
                            <w:bottom w:val="none" w:sz="0" w:space="0" w:color="auto"/>
                            <w:right w:val="none" w:sz="0" w:space="0" w:color="auto"/>
                          </w:divBdr>
                          <w:divsChild>
                            <w:div w:id="10817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51479">
      <w:bodyDiv w:val="1"/>
      <w:marLeft w:val="0"/>
      <w:marRight w:val="0"/>
      <w:marTop w:val="0"/>
      <w:marBottom w:val="0"/>
      <w:divBdr>
        <w:top w:val="none" w:sz="0" w:space="0" w:color="auto"/>
        <w:left w:val="none" w:sz="0" w:space="0" w:color="auto"/>
        <w:bottom w:val="none" w:sz="0" w:space="0" w:color="auto"/>
        <w:right w:val="none" w:sz="0" w:space="0" w:color="auto"/>
      </w:divBdr>
    </w:div>
    <w:div w:id="1342242907">
      <w:bodyDiv w:val="1"/>
      <w:marLeft w:val="0"/>
      <w:marRight w:val="0"/>
      <w:marTop w:val="0"/>
      <w:marBottom w:val="0"/>
      <w:divBdr>
        <w:top w:val="none" w:sz="0" w:space="0" w:color="auto"/>
        <w:left w:val="none" w:sz="0" w:space="0" w:color="auto"/>
        <w:bottom w:val="none" w:sz="0" w:space="0" w:color="auto"/>
        <w:right w:val="none" w:sz="0" w:space="0" w:color="auto"/>
      </w:divBdr>
    </w:div>
    <w:div w:id="1343505596">
      <w:bodyDiv w:val="1"/>
      <w:marLeft w:val="0"/>
      <w:marRight w:val="0"/>
      <w:marTop w:val="0"/>
      <w:marBottom w:val="0"/>
      <w:divBdr>
        <w:top w:val="none" w:sz="0" w:space="0" w:color="auto"/>
        <w:left w:val="none" w:sz="0" w:space="0" w:color="auto"/>
        <w:bottom w:val="none" w:sz="0" w:space="0" w:color="auto"/>
        <w:right w:val="none" w:sz="0" w:space="0" w:color="auto"/>
      </w:divBdr>
    </w:div>
    <w:div w:id="1352603747">
      <w:bodyDiv w:val="1"/>
      <w:marLeft w:val="0"/>
      <w:marRight w:val="0"/>
      <w:marTop w:val="0"/>
      <w:marBottom w:val="0"/>
      <w:divBdr>
        <w:top w:val="none" w:sz="0" w:space="0" w:color="auto"/>
        <w:left w:val="none" w:sz="0" w:space="0" w:color="auto"/>
        <w:bottom w:val="none" w:sz="0" w:space="0" w:color="auto"/>
        <w:right w:val="none" w:sz="0" w:space="0" w:color="auto"/>
      </w:divBdr>
    </w:div>
    <w:div w:id="1456681395">
      <w:bodyDiv w:val="1"/>
      <w:marLeft w:val="0"/>
      <w:marRight w:val="0"/>
      <w:marTop w:val="0"/>
      <w:marBottom w:val="0"/>
      <w:divBdr>
        <w:top w:val="none" w:sz="0" w:space="0" w:color="auto"/>
        <w:left w:val="none" w:sz="0" w:space="0" w:color="auto"/>
        <w:bottom w:val="none" w:sz="0" w:space="0" w:color="auto"/>
        <w:right w:val="none" w:sz="0" w:space="0" w:color="auto"/>
      </w:divBdr>
    </w:div>
    <w:div w:id="1460144606">
      <w:bodyDiv w:val="1"/>
      <w:marLeft w:val="0"/>
      <w:marRight w:val="0"/>
      <w:marTop w:val="0"/>
      <w:marBottom w:val="0"/>
      <w:divBdr>
        <w:top w:val="none" w:sz="0" w:space="0" w:color="auto"/>
        <w:left w:val="none" w:sz="0" w:space="0" w:color="auto"/>
        <w:bottom w:val="none" w:sz="0" w:space="0" w:color="auto"/>
        <w:right w:val="none" w:sz="0" w:space="0" w:color="auto"/>
      </w:divBdr>
      <w:divsChild>
        <w:div w:id="2061443113">
          <w:marLeft w:val="0"/>
          <w:marRight w:val="0"/>
          <w:marTop w:val="0"/>
          <w:marBottom w:val="0"/>
          <w:divBdr>
            <w:top w:val="none" w:sz="0" w:space="0" w:color="auto"/>
            <w:left w:val="none" w:sz="0" w:space="0" w:color="auto"/>
            <w:bottom w:val="none" w:sz="0" w:space="0" w:color="auto"/>
            <w:right w:val="none" w:sz="0" w:space="0" w:color="auto"/>
          </w:divBdr>
          <w:divsChild>
            <w:div w:id="467355693">
              <w:marLeft w:val="0"/>
              <w:marRight w:val="0"/>
              <w:marTop w:val="0"/>
              <w:marBottom w:val="0"/>
              <w:divBdr>
                <w:top w:val="none" w:sz="0" w:space="0" w:color="auto"/>
                <w:left w:val="none" w:sz="0" w:space="0" w:color="auto"/>
                <w:bottom w:val="none" w:sz="0" w:space="0" w:color="auto"/>
                <w:right w:val="none" w:sz="0" w:space="0" w:color="auto"/>
              </w:divBdr>
              <w:divsChild>
                <w:div w:id="441147366">
                  <w:marLeft w:val="0"/>
                  <w:marRight w:val="0"/>
                  <w:marTop w:val="0"/>
                  <w:marBottom w:val="0"/>
                  <w:divBdr>
                    <w:top w:val="none" w:sz="0" w:space="0" w:color="auto"/>
                    <w:left w:val="none" w:sz="0" w:space="0" w:color="auto"/>
                    <w:bottom w:val="none" w:sz="0" w:space="0" w:color="auto"/>
                    <w:right w:val="none" w:sz="0" w:space="0" w:color="auto"/>
                  </w:divBdr>
                  <w:divsChild>
                    <w:div w:id="1541168232">
                      <w:marLeft w:val="0"/>
                      <w:marRight w:val="0"/>
                      <w:marTop w:val="0"/>
                      <w:marBottom w:val="0"/>
                      <w:divBdr>
                        <w:top w:val="none" w:sz="0" w:space="0" w:color="auto"/>
                        <w:left w:val="none" w:sz="0" w:space="0" w:color="auto"/>
                        <w:bottom w:val="none" w:sz="0" w:space="0" w:color="auto"/>
                        <w:right w:val="none" w:sz="0" w:space="0" w:color="auto"/>
                      </w:divBdr>
                      <w:divsChild>
                        <w:div w:id="1464736435">
                          <w:marLeft w:val="0"/>
                          <w:marRight w:val="0"/>
                          <w:marTop w:val="0"/>
                          <w:marBottom w:val="0"/>
                          <w:divBdr>
                            <w:top w:val="none" w:sz="0" w:space="0" w:color="auto"/>
                            <w:left w:val="none" w:sz="0" w:space="0" w:color="auto"/>
                            <w:bottom w:val="none" w:sz="0" w:space="0" w:color="auto"/>
                            <w:right w:val="none" w:sz="0" w:space="0" w:color="auto"/>
                          </w:divBdr>
                          <w:divsChild>
                            <w:div w:id="1710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14673">
          <w:marLeft w:val="0"/>
          <w:marRight w:val="0"/>
          <w:marTop w:val="0"/>
          <w:marBottom w:val="0"/>
          <w:divBdr>
            <w:top w:val="none" w:sz="0" w:space="0" w:color="auto"/>
            <w:left w:val="none" w:sz="0" w:space="0" w:color="auto"/>
            <w:bottom w:val="none" w:sz="0" w:space="0" w:color="auto"/>
            <w:right w:val="none" w:sz="0" w:space="0" w:color="auto"/>
          </w:divBdr>
          <w:divsChild>
            <w:div w:id="602961953">
              <w:marLeft w:val="0"/>
              <w:marRight w:val="0"/>
              <w:marTop w:val="0"/>
              <w:marBottom w:val="0"/>
              <w:divBdr>
                <w:top w:val="none" w:sz="0" w:space="0" w:color="auto"/>
                <w:left w:val="none" w:sz="0" w:space="0" w:color="auto"/>
                <w:bottom w:val="none" w:sz="0" w:space="0" w:color="auto"/>
                <w:right w:val="none" w:sz="0" w:space="0" w:color="auto"/>
              </w:divBdr>
              <w:divsChild>
                <w:div w:id="2095934969">
                  <w:marLeft w:val="0"/>
                  <w:marRight w:val="0"/>
                  <w:marTop w:val="0"/>
                  <w:marBottom w:val="0"/>
                  <w:divBdr>
                    <w:top w:val="none" w:sz="0" w:space="0" w:color="auto"/>
                    <w:left w:val="none" w:sz="0" w:space="0" w:color="auto"/>
                    <w:bottom w:val="none" w:sz="0" w:space="0" w:color="auto"/>
                    <w:right w:val="none" w:sz="0" w:space="0" w:color="auto"/>
                  </w:divBdr>
                  <w:divsChild>
                    <w:div w:id="1608586695">
                      <w:marLeft w:val="0"/>
                      <w:marRight w:val="0"/>
                      <w:marTop w:val="0"/>
                      <w:marBottom w:val="0"/>
                      <w:divBdr>
                        <w:top w:val="none" w:sz="0" w:space="0" w:color="auto"/>
                        <w:left w:val="none" w:sz="0" w:space="0" w:color="auto"/>
                        <w:bottom w:val="none" w:sz="0" w:space="0" w:color="auto"/>
                        <w:right w:val="none" w:sz="0" w:space="0" w:color="auto"/>
                      </w:divBdr>
                      <w:divsChild>
                        <w:div w:id="1512453046">
                          <w:marLeft w:val="0"/>
                          <w:marRight w:val="0"/>
                          <w:marTop w:val="0"/>
                          <w:marBottom w:val="0"/>
                          <w:divBdr>
                            <w:top w:val="none" w:sz="0" w:space="0" w:color="auto"/>
                            <w:left w:val="none" w:sz="0" w:space="0" w:color="auto"/>
                            <w:bottom w:val="none" w:sz="0" w:space="0" w:color="auto"/>
                            <w:right w:val="none" w:sz="0" w:space="0" w:color="auto"/>
                          </w:divBdr>
                          <w:divsChild>
                            <w:div w:id="1373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458124">
      <w:bodyDiv w:val="1"/>
      <w:marLeft w:val="0"/>
      <w:marRight w:val="0"/>
      <w:marTop w:val="0"/>
      <w:marBottom w:val="0"/>
      <w:divBdr>
        <w:top w:val="none" w:sz="0" w:space="0" w:color="auto"/>
        <w:left w:val="none" w:sz="0" w:space="0" w:color="auto"/>
        <w:bottom w:val="none" w:sz="0" w:space="0" w:color="auto"/>
        <w:right w:val="none" w:sz="0" w:space="0" w:color="auto"/>
      </w:divBdr>
    </w:div>
    <w:div w:id="1740668921">
      <w:bodyDiv w:val="1"/>
      <w:marLeft w:val="0"/>
      <w:marRight w:val="0"/>
      <w:marTop w:val="0"/>
      <w:marBottom w:val="0"/>
      <w:divBdr>
        <w:top w:val="none" w:sz="0" w:space="0" w:color="auto"/>
        <w:left w:val="none" w:sz="0" w:space="0" w:color="auto"/>
        <w:bottom w:val="none" w:sz="0" w:space="0" w:color="auto"/>
        <w:right w:val="none" w:sz="0" w:space="0" w:color="auto"/>
      </w:divBdr>
      <w:divsChild>
        <w:div w:id="742066960">
          <w:marLeft w:val="360"/>
          <w:marRight w:val="0"/>
          <w:marTop w:val="200"/>
          <w:marBottom w:val="0"/>
          <w:divBdr>
            <w:top w:val="none" w:sz="0" w:space="0" w:color="auto"/>
            <w:left w:val="none" w:sz="0" w:space="0" w:color="auto"/>
            <w:bottom w:val="none" w:sz="0" w:space="0" w:color="auto"/>
            <w:right w:val="none" w:sz="0" w:space="0" w:color="auto"/>
          </w:divBdr>
        </w:div>
        <w:div w:id="1730104147">
          <w:marLeft w:val="360"/>
          <w:marRight w:val="0"/>
          <w:marTop w:val="200"/>
          <w:marBottom w:val="0"/>
          <w:divBdr>
            <w:top w:val="none" w:sz="0" w:space="0" w:color="auto"/>
            <w:left w:val="none" w:sz="0" w:space="0" w:color="auto"/>
            <w:bottom w:val="none" w:sz="0" w:space="0" w:color="auto"/>
            <w:right w:val="none" w:sz="0" w:space="0" w:color="auto"/>
          </w:divBdr>
        </w:div>
        <w:div w:id="1957442361">
          <w:marLeft w:val="360"/>
          <w:marRight w:val="0"/>
          <w:marTop w:val="200"/>
          <w:marBottom w:val="0"/>
          <w:divBdr>
            <w:top w:val="none" w:sz="0" w:space="0" w:color="auto"/>
            <w:left w:val="none" w:sz="0" w:space="0" w:color="auto"/>
            <w:bottom w:val="none" w:sz="0" w:space="0" w:color="auto"/>
            <w:right w:val="none" w:sz="0" w:space="0" w:color="auto"/>
          </w:divBdr>
        </w:div>
        <w:div w:id="682979045">
          <w:marLeft w:val="360"/>
          <w:marRight w:val="0"/>
          <w:marTop w:val="200"/>
          <w:marBottom w:val="0"/>
          <w:divBdr>
            <w:top w:val="none" w:sz="0" w:space="0" w:color="auto"/>
            <w:left w:val="none" w:sz="0" w:space="0" w:color="auto"/>
            <w:bottom w:val="none" w:sz="0" w:space="0" w:color="auto"/>
            <w:right w:val="none" w:sz="0" w:space="0" w:color="auto"/>
          </w:divBdr>
        </w:div>
        <w:div w:id="840698690">
          <w:marLeft w:val="360"/>
          <w:marRight w:val="0"/>
          <w:marTop w:val="200"/>
          <w:marBottom w:val="0"/>
          <w:divBdr>
            <w:top w:val="none" w:sz="0" w:space="0" w:color="auto"/>
            <w:left w:val="none" w:sz="0" w:space="0" w:color="auto"/>
            <w:bottom w:val="none" w:sz="0" w:space="0" w:color="auto"/>
            <w:right w:val="none" w:sz="0" w:space="0" w:color="auto"/>
          </w:divBdr>
        </w:div>
      </w:divsChild>
    </w:div>
    <w:div w:id="1803112666">
      <w:bodyDiv w:val="1"/>
      <w:marLeft w:val="0"/>
      <w:marRight w:val="0"/>
      <w:marTop w:val="0"/>
      <w:marBottom w:val="0"/>
      <w:divBdr>
        <w:top w:val="none" w:sz="0" w:space="0" w:color="auto"/>
        <w:left w:val="none" w:sz="0" w:space="0" w:color="auto"/>
        <w:bottom w:val="none" w:sz="0" w:space="0" w:color="auto"/>
        <w:right w:val="none" w:sz="0" w:space="0" w:color="auto"/>
      </w:divBdr>
    </w:div>
    <w:div w:id="18205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ources.vam.wfp.org/data-analysis/quantitative/food-security/reduced-coping-strategies-inde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ources.vam.wfp.org/data-analysis/quantitative/food-security/food-consumption-sco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wfp.org/api/documents/WFP-0000134704/download/" TargetMode="External"/><Relationship Id="rId5" Type="http://schemas.openxmlformats.org/officeDocument/2006/relationships/numbering" Target="numbering.xml"/><Relationship Id="rId15" Type="http://schemas.openxmlformats.org/officeDocument/2006/relationships/hyperlink" Target="https://resources.vam.wfp.org/TagView?tag=Expenditure%20analysi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ources.vam.wfp.org/data-analysis/quantitative/essential-needs/livelihood-coping-strategies-essential-n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86E02562D0D8459668932245E2E430" ma:contentTypeVersion="19" ma:contentTypeDescription="Create a new document." ma:contentTypeScope="" ma:versionID="161fb577d6069fae2d107cb500b01c33">
  <xsd:schema xmlns:xsd="http://www.w3.org/2001/XMLSchema" xmlns:xs="http://www.w3.org/2001/XMLSchema" xmlns:p="http://schemas.microsoft.com/office/2006/metadata/properties" xmlns:ns2="d6ed1506-ed24-4db5-8b65-c3ff33a2ca13" xmlns:ns3="531854f1-e893-46f2-8394-a775d63ed078" targetNamespace="http://schemas.microsoft.com/office/2006/metadata/properties" ma:root="true" ma:fieldsID="ccd22481ac459f8a8b5b9f187877ea9a" ns2:_="" ns3:_="">
    <xsd:import namespace="d6ed1506-ed24-4db5-8b65-c3ff33a2ca13"/>
    <xsd:import namespace="531854f1-e893-46f2-8394-a775d63ed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Dateofcre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d1506-ed24-4db5-8b65-c3ff33a2c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cc4dc2-1d7d-4ba2-9bc5-748c4ad50a69" ma:termSetId="09814cd3-568e-fe90-9814-8d621ff8fb84" ma:anchorId="fba54fb3-c3e1-fe81-a776-ca4b69148c4d" ma:open="true" ma:isKeyword="false">
      <xsd:complexType>
        <xsd:sequence>
          <xsd:element ref="pc:Terms" minOccurs="0" maxOccurs="1"/>
        </xsd:sequence>
      </xsd:complexType>
    </xsd:element>
    <xsd:element name="Dateofcreation" ma:index="24" nillable="true" ma:displayName="Date of creation" ma:format="DateOnly" ma:internalName="Dateofcreation">
      <xsd:simpleType>
        <xsd:restriction base="dms:DateTim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1854f1-e893-46f2-8394-a775d63ed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e74de2-d5d4-4804-981b-c4d55008014a}" ma:internalName="TaxCatchAll" ma:showField="CatchAllData" ma:web="531854f1-e893-46f2-8394-a775d63ed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d1506-ed24-4db5-8b65-c3ff33a2ca13">
      <Terms xmlns="http://schemas.microsoft.com/office/infopath/2007/PartnerControls"/>
    </lcf76f155ced4ddcb4097134ff3c332f>
    <TaxCatchAll xmlns="531854f1-e893-46f2-8394-a775d63ed078" xsi:nil="true"/>
    <Dateofcreation xmlns="d6ed1506-ed24-4db5-8b65-c3ff33a2ca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FE85-DC03-4FBE-BC0E-D62EFC7C9858}">
  <ds:schemaRefs>
    <ds:schemaRef ds:uri="http://schemas.microsoft.com/sharepoint/v3/contenttype/forms"/>
  </ds:schemaRefs>
</ds:datastoreItem>
</file>

<file path=customXml/itemProps2.xml><?xml version="1.0" encoding="utf-8"?>
<ds:datastoreItem xmlns:ds="http://schemas.openxmlformats.org/officeDocument/2006/customXml" ds:itemID="{6959A009-6A50-4481-98E4-3443C378A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d1506-ed24-4db5-8b65-c3ff33a2ca13"/>
    <ds:schemaRef ds:uri="531854f1-e893-46f2-8394-a775d63ed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862873-CB3C-4F63-A4CF-1D2AC2E48BBE}">
  <ds:schemaRefs>
    <ds:schemaRef ds:uri="http://schemas.microsoft.com/office/2006/metadata/properties"/>
    <ds:schemaRef ds:uri="http://schemas.microsoft.com/office/infopath/2007/PartnerControls"/>
    <ds:schemaRef ds:uri="d6ed1506-ed24-4db5-8b65-c3ff33a2ca13"/>
    <ds:schemaRef ds:uri="531854f1-e893-46f2-8394-a775d63ed078"/>
  </ds:schemaRefs>
</ds:datastoreItem>
</file>

<file path=customXml/itemProps4.xml><?xml version="1.0" encoding="utf-8"?>
<ds:datastoreItem xmlns:ds="http://schemas.openxmlformats.org/officeDocument/2006/customXml" ds:itemID="{65FDF035-56A1-4E1E-9C48-B1F518D9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8403</Words>
  <Characters>4791</Characters>
  <Application>Microsoft Office Word</Application>
  <DocSecurity>0</DocSecurity>
  <Lines>39</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OBI</dc:creator>
  <cp:keywords/>
  <dc:description/>
  <cp:lastModifiedBy>Oleksandr SOFRONOV</cp:lastModifiedBy>
  <cp:revision>466</cp:revision>
  <dcterms:created xsi:type="dcterms:W3CDTF">2024-12-13T09:37:00Z</dcterms:created>
  <dcterms:modified xsi:type="dcterms:W3CDTF">2025-04-23T07:56:00Z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0x0101002186E02562D0D8459668932245E2E430</vt:lpwstr>
  </property>
  <property fmtid="{D5CDD505-2E9C-101B-9397-08002B2CF9AE}" pid="3" name="MediaServiceImageTags">
    <vt:lpwstr/>
  </property>
  <property fmtid="{D5CDD505-2E9C-101B-9397-08002B2CF9AE}" pid="4" name="MSIP_Label_2a3a108f-898d-4589-9ebc-7ee3b46df9b8_Enabled">
    <vt:lpwstr>true</vt:lpwstr>
  </property>
  <property fmtid="{D5CDD505-2E9C-101B-9397-08002B2CF9AE}" pid="5" name="MSIP_Label_2a3a108f-898d-4589-9ebc-7ee3b46df9b8_SetDate">
    <vt:lpwstr>2024-12-13T09:37:16Z</vt:lpwstr>
  </property>
  <property fmtid="{D5CDD505-2E9C-101B-9397-08002B2CF9AE}" pid="6" name="MSIP_Label_2a3a108f-898d-4589-9ebc-7ee3b46df9b8_Method">
    <vt:lpwstr>Standard</vt:lpwstr>
  </property>
  <property fmtid="{D5CDD505-2E9C-101B-9397-08002B2CF9AE}" pid="7" name="MSIP_Label_2a3a108f-898d-4589-9ebc-7ee3b46df9b8_Name">
    <vt:lpwstr>Official use only</vt:lpwstr>
  </property>
  <property fmtid="{D5CDD505-2E9C-101B-9397-08002B2CF9AE}" pid="8" name="MSIP_Label_2a3a108f-898d-4589-9ebc-7ee3b46df9b8_SiteId">
    <vt:lpwstr>462ad9ae-d7d9-4206-b874-71b1e079776f</vt:lpwstr>
  </property>
  <property fmtid="{D5CDD505-2E9C-101B-9397-08002B2CF9AE}" pid="9" name="MSIP_Label_2a3a108f-898d-4589-9ebc-7ee3b46df9b8_ActionId">
    <vt:lpwstr>de914359-c290-40de-ace0-5b9e02059caa</vt:lpwstr>
  </property>
  <property fmtid="{D5CDD505-2E9C-101B-9397-08002B2CF9AE}" pid="10" name="MSIP_Label_2a3a108f-898d-4589-9ebc-7ee3b46df9b8_ContentBits">
    <vt:lpwstr>0</vt:lpwstr>
  </property>
</Properties>
</file>