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C447C"/>
          <w:sz w:val="52"/>
          <w:szCs w:val="52"/>
        </w:rPr>
        <w:t xml:space="preserve">AI Reviewer Benchmarking Report</w:t>
      </w:r>
    </w:p>
    <w:p>
      <w:pPr>
        <w:spacing w:after="40"/>
      </w:pPr>
      <w:r>
        <w:rPr>
          <w:rFonts w:ascii="Arial" w:cs="Arial" w:eastAsia="Arial" w:hAnsi="Arial"/>
          <w:b w:val="false"/>
          <w:bCs w:val="false"/>
          <w:color w:val="888780"/>
          <w:sz w:val="28"/>
          <w:szCs w:val="28"/>
        </w:rPr>
        <w:t xml:space="preserve">Submittal 043 — Section 13 3419: Metal Wall &amp; Roof Panels</w:t>
      </w:r>
    </w:p>
    <w:p>
      <w:pPr>
        <w:spacing w:after="200"/>
      </w:pPr>
      <w:r>
        <w:rPr>
          <w:rFonts w:ascii="Arial" w:cs="Arial" w:eastAsia="Arial" w:hAnsi="Arial"/>
          <w:color w:val="888780"/>
          <w:sz w:val="22"/>
          <w:szCs w:val="22"/>
        </w:rPr>
        <w:t xml:space="preserve">TCSD Bus Maintenance Facility  |  Teter, Inc.  |  March 20, 2026</w:t>
      </w:r>
    </w:p>
    <w:p>
      <w:pPr>
        <w:pStyle w:val="Heading1"/>
      </w:pPr>
      <w:r>
        <w:rPr>
          <w:rFonts w:ascii="Arial" w:cs="Arial" w:eastAsia="Arial" w:hAnsi="Arial"/>
        </w:rPr>
        <w:t xml:space="preserve">Purpose &amp; Methodology</w:t>
      </w:r>
    </w:p>
    <w:p>
      <w:pPr>
        <w:spacing w:before="0" w:after="120"/>
      </w:pPr>
      <w:r>
        <w:rPr>
          <w:rFonts w:ascii="Arial" w:cs="Arial" w:eastAsia="Arial" w:hAnsi="Arial"/>
          <w:b w:val="false"/>
          <w:bCs w:val="false"/>
          <w:color w:val="000000"/>
          <w:sz w:val="22"/>
          <w:szCs w:val="22"/>
        </w:rPr>
        <w:t xml:space="preserve">This report benchmarks four submittal reviews of Submittal 043 (Section 13 3419 — Metal Wall &amp; Roof Panels, Deferred Approval, 1st Review) for the TCSD Bus Maintenance Facility project. The objective is to evaluate AI-assisted review quality for use in BPR&amp;D's ongoing prompt engineering and review process development.</w:t>
      </w:r>
    </w:p>
    <w:p>
      <w:r>
        <w:rPr>
          <w:rFonts w:ascii="Arial" w:cs="Arial" w:eastAsia="Arial" w:hAnsi="Arial"/>
          <w:sz w:val="20"/>
          <w:szCs w:val="20"/>
        </w:rPr>
        <w:t xml:space="preserve"/>
      </w:r>
    </w:p>
    <w:p>
      <w:pPr>
        <w:spacing w:before="0" w:after="120"/>
      </w:pPr>
      <w:r>
        <w:rPr>
          <w:rFonts w:ascii="Arial" w:cs="Arial" w:eastAsia="Arial" w:hAnsi="Arial"/>
          <w:b w:val="false"/>
          <w:bCs w:val="false"/>
          <w:color w:val="000000"/>
          <w:sz w:val="22"/>
          <w:szCs w:val="22"/>
        </w:rPr>
        <w:t xml:space="preserve">The Abacus-generated review was used as the baseline reference (29 tracked deficiency items). Each AI review was scored against those 29 items. Items were classified as: Caught (fully flagged with correct spec reference), Partial (raised but incomplete or incorrectly weighted), or Missed (not addressed).</w:t>
      </w:r>
    </w:p>
    <w:p>
      <w:r>
        <w:rPr>
          <w:rFonts w:ascii="Arial" w:cs="Arial" w:eastAsia="Arial" w:hAnsi="Arial"/>
          <w:sz w:val="20"/>
          <w:szCs w:val="20"/>
        </w:rPr>
        <w:t xml:space="preserve"/>
      </w:r>
    </w:p>
    <w:p>
      <w:pPr>
        <w:pStyle w:val="Heading1"/>
      </w:pPr>
      <w:r>
        <w:rPr>
          <w:rFonts w:ascii="Arial" w:cs="Arial" w:eastAsia="Arial" w:hAnsi="Arial"/>
        </w:rP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tcPr>
          <w:p>
            <w:r>
              <w:rPr>
                <w:rFonts w:ascii="Arial" w:cs="Arial" w:eastAsia="Arial" w:hAnsi="Arial"/>
                <w:b/>
                <w:bCs/>
                <w:color w:val="0C447C"/>
                <w:sz w:val="28"/>
                <w:szCs w:val="28"/>
              </w:rPr>
              <w:t xml:space="preserve">Abacus</w:t>
            </w:r>
          </w:p>
          <w:p>
            <w:pPr>
              <w:spacing w:after="40"/>
            </w:pPr>
            <w:r>
              <w:rPr>
                <w:rFonts w:ascii="Arial" w:cs="Arial" w:eastAsia="Arial" w:hAnsi="Arial"/>
                <w:i/>
                <w:iCs/>
                <w:color w:val="185FA5"/>
                <w:sz w:val="16"/>
                <w:szCs w:val="16"/>
              </w:rPr>
              <w:t xml:space="preserve">Baseline / Gold Standard</w:t>
            </w:r>
          </w:p>
          <w:p>
            <w:r>
              <w:rPr>
                <w:rFonts w:ascii="Arial" w:cs="Arial" w:eastAsia="Arial" w:hAnsi="Arial"/>
                <w:b/>
                <w:bCs/>
                <w:color w:val="0C447C"/>
                <w:sz w:val="48"/>
                <w:szCs w:val="48"/>
              </w:rPr>
              <w:t xml:space="preserve">97 / 100</w:t>
            </w:r>
          </w:p>
          <w:p>
            <w:r>
              <w:rPr>
                <w:rFonts w:ascii="Arial" w:cs="Arial" w:eastAsia="Arial" w:hAnsi="Arial"/>
                <w:color w:val="185FA5"/>
                <w:sz w:val="18"/>
                <w:szCs w:val="18"/>
              </w:rPr>
              <w:t xml:space="preserve">29/29 items</w:t>
            </w:r>
          </w:p>
        </w:tc>
        <w:tc>
          <w:tcPr>
            <w:tcW w:type="dxa" w:w="234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85041"/>
                <w:sz w:val="28"/>
                <w:szCs w:val="28"/>
              </w:rPr>
              <w:t xml:space="preserve">Claude</w:t>
            </w:r>
          </w:p>
          <w:p>
            <w:pPr>
              <w:spacing w:after="40"/>
            </w:pPr>
            <w:r>
              <w:rPr>
                <w:rFonts w:ascii="Arial" w:cs="Arial" w:eastAsia="Arial" w:hAnsi="Arial"/>
                <w:i/>
                <w:iCs/>
                <w:color w:val="0F6E56"/>
                <w:sz w:val="16"/>
                <w:szCs w:val="16"/>
              </w:rPr>
              <w:t xml:space="preserve">Teter AI (BPR&amp;D)</w:t>
            </w:r>
          </w:p>
          <w:p>
            <w:r>
              <w:rPr>
                <w:rFonts w:ascii="Arial" w:cs="Arial" w:eastAsia="Arial" w:hAnsi="Arial"/>
                <w:b/>
                <w:bCs/>
                <w:color w:val="085041"/>
                <w:sz w:val="48"/>
                <w:szCs w:val="48"/>
              </w:rPr>
              <w:t xml:space="preserve">89 / 100</w:t>
            </w:r>
          </w:p>
          <w:p>
            <w:r>
              <w:rPr>
                <w:rFonts w:ascii="Arial" w:cs="Arial" w:eastAsia="Arial" w:hAnsi="Arial"/>
                <w:color w:val="0F6E56"/>
                <w:sz w:val="18"/>
                <w:szCs w:val="18"/>
              </w:rPr>
              <w:t xml:space="preserve">26/29 items</w:t>
            </w:r>
          </w:p>
        </w:tc>
        <w:tc>
          <w:tcPr>
            <w:tcW w:type="dxa" w:w="234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8"/>
                <w:szCs w:val="28"/>
              </w:rPr>
              <w:t xml:space="preserve">Gemini</w:t>
            </w:r>
          </w:p>
          <w:p>
            <w:pPr>
              <w:spacing w:after="40"/>
            </w:pPr>
            <w:r>
              <w:rPr>
                <w:rFonts w:ascii="Arial" w:cs="Arial" w:eastAsia="Arial" w:hAnsi="Arial"/>
                <w:i/>
                <w:iCs/>
                <w:color w:val="854F0B"/>
                <w:sz w:val="16"/>
                <w:szCs w:val="16"/>
              </w:rPr>
              <w:t xml:space="preserve">Google Gemini</w:t>
            </w:r>
          </w:p>
          <w:p>
            <w:r>
              <w:rPr>
                <w:rFonts w:ascii="Arial" w:cs="Arial" w:eastAsia="Arial" w:hAnsi="Arial"/>
                <w:b/>
                <w:bCs/>
                <w:color w:val="633806"/>
                <w:sz w:val="48"/>
                <w:szCs w:val="48"/>
              </w:rPr>
              <w:t xml:space="preserve">48 / 100</w:t>
            </w:r>
          </w:p>
          <w:p>
            <w:r>
              <w:rPr>
                <w:rFonts w:ascii="Arial" w:cs="Arial" w:eastAsia="Arial" w:hAnsi="Arial"/>
                <w:color w:val="854F0B"/>
                <w:sz w:val="18"/>
                <w:szCs w:val="18"/>
              </w:rPr>
              <w:t xml:space="preserve">9/29 items</w:t>
            </w:r>
          </w:p>
        </w:tc>
        <w:tc>
          <w:tcPr>
            <w:tcW w:type="dxa" w:w="2340"/>
            <w:tcBorders>
              <w:top w:val="single" w:color="CCCCCC" w:sz="1"/>
              <w:left w:val="single" w:color="CCCCCC" w:sz="1"/>
              <w:bottom w:val="single" w:color="CCCCCC" w:sz="1"/>
              <w:right w:val="single" w:color="CCCCCC" w:sz="1"/>
            </w:tcBorders>
            <w:shd w:fill="FCEBEB" w:val="clear"/>
            <w:tcMar>
              <w:top w:type="dxa" w:w="120"/>
              <w:left w:type="dxa" w:w="160"/>
              <w:bottom w:type="dxa" w:w="120"/>
              <w:right w:type="dxa" w:w="160"/>
            </w:tcMar>
          </w:tcPr>
          <w:p>
            <w:r>
              <w:rPr>
                <w:rFonts w:ascii="Arial" w:cs="Arial" w:eastAsia="Arial" w:hAnsi="Arial"/>
                <w:b/>
                <w:bCs/>
                <w:color w:val="791F1F"/>
                <w:sz w:val="28"/>
                <w:szCs w:val="28"/>
              </w:rPr>
              <w:t xml:space="preserve">Grok</w:t>
            </w:r>
          </w:p>
          <w:p>
            <w:pPr>
              <w:spacing w:after="40"/>
            </w:pPr>
            <w:r>
              <w:rPr>
                <w:rFonts w:ascii="Arial" w:cs="Arial" w:eastAsia="Arial" w:hAnsi="Arial"/>
                <w:i/>
                <w:iCs/>
                <w:color w:val="A32D2D"/>
                <w:sz w:val="16"/>
                <w:szCs w:val="16"/>
              </w:rPr>
              <w:t xml:space="preserve">xAI Grok</w:t>
            </w:r>
          </w:p>
          <w:p>
            <w:r>
              <w:rPr>
                <w:rFonts w:ascii="Arial" w:cs="Arial" w:eastAsia="Arial" w:hAnsi="Arial"/>
                <w:b/>
                <w:bCs/>
                <w:color w:val="791F1F"/>
                <w:sz w:val="48"/>
                <w:szCs w:val="48"/>
              </w:rPr>
              <w:t xml:space="preserve">61 / 100</w:t>
            </w:r>
          </w:p>
          <w:p>
            <w:r>
              <w:rPr>
                <w:rFonts w:ascii="Arial" w:cs="Arial" w:eastAsia="Arial" w:hAnsi="Arial"/>
                <w:color w:val="A32D2D"/>
                <w:sz w:val="18"/>
                <w:szCs w:val="18"/>
              </w:rPr>
              <w:t xml:space="preserve">14/29 items</w:t>
            </w:r>
          </w:p>
        </w:tc>
      </w:tr>
    </w:tbl>
    <w:p>
      <w:r>
        <w:rPr>
          <w:rFonts w:ascii="Arial" w:cs="Arial" w:eastAsia="Arial" w:hAnsi="Arial"/>
          <w:sz w:val="20"/>
          <w:szCs w:val="20"/>
        </w:rPr>
        <w:t xml:space="preserve"/>
      </w:r>
    </w:p>
    <w:p>
      <w:pPr>
        <w:pStyle w:val="Heading2"/>
      </w:pPr>
      <w:r>
        <w:rPr>
          <w:rFonts w:ascii="Arial" w:cs="Arial" w:eastAsia="Arial" w:hAnsi="Arial"/>
        </w:rPr>
        <w:t xml:space="preserve">Legend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tblGrid>
      <w:tr>
        <w:tc>
          <w:tcPr>
            <w:tcW w:type="dxa" w:w="168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tcPr>
          <w:p>
            <w:pPr>
              <w:jc w:val="center"/>
            </w:pPr>
            <w:r>
              <w:rPr>
                <w:rFonts w:ascii="Arial" w:cs="Arial" w:eastAsia="Arial" w:hAnsi="Arial"/>
                <w:b/>
                <w:bCs/>
                <w:color w:val="085041"/>
                <w:sz w:val="18"/>
                <w:szCs w:val="18"/>
              </w:rPr>
              <w:t xml:space="preserve">✓  Caught &amp; flagged</w:t>
            </w:r>
          </w:p>
        </w:tc>
        <w:tc>
          <w:tcPr>
            <w:tcW w:type="dxa" w:w="168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rFonts w:ascii="Arial" w:cs="Arial" w:eastAsia="Arial" w:hAnsi="Arial"/>
                <w:b/>
                <w:bCs/>
                <w:color w:val="633806"/>
                <w:sz w:val="18"/>
                <w:szCs w:val="18"/>
              </w:rPr>
              <w:t xml:space="preserve">~  Partially addressed</w:t>
            </w:r>
          </w:p>
        </w:tc>
        <w:tc>
          <w:tcPr>
            <w:tcW w:type="dxa" w:w="168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rFonts w:ascii="Arial" w:cs="Arial" w:eastAsia="Arial" w:hAnsi="Arial"/>
                <w:color w:val="888780"/>
                <w:sz w:val="18"/>
                <w:szCs w:val="18"/>
              </w:rPr>
              <w:t xml:space="preserve">—  Missed</w:t>
            </w:r>
          </w:p>
        </w:tc>
      </w:tr>
    </w:tbl>
    <w:p>
      <w:r>
        <w:rPr>
          <w:rFonts w:ascii="Arial" w:cs="Arial" w:eastAsia="Arial" w:hAnsi="Arial"/>
          <w:sz w:val="20"/>
          <w:szCs w:val="20"/>
        </w:rPr>
        <w:t xml:space="preserve"/>
      </w:r>
    </w:p>
    <w:p>
      <w:pPr>
        <w:pStyle w:val="Heading1"/>
      </w:pPr>
      <w:r>
        <w:rPr>
          <w:rFonts w:ascii="Arial" w:cs="Arial" w:eastAsia="Arial" w:hAnsi="Arial"/>
        </w:rPr>
        <w:t xml:space="preserve">Item-by-Item Comparison</w:t>
      </w:r>
    </w:p>
    <w:p>
      <w:pPr>
        <w:spacing w:before="0" w:after="160"/>
      </w:pPr>
      <w:r>
        <w:rPr>
          <w:rFonts w:ascii="Arial" w:cs="Arial" w:eastAsia="Arial" w:hAnsi="Arial"/>
          <w:b w:val="false"/>
          <w:bCs w:val="false"/>
          <w:color w:val="000000"/>
          <w:sz w:val="22"/>
          <w:szCs w:val="22"/>
        </w:rPr>
        <w:t xml:space="preserve">The table below maps all 29 tracked deficiency items across all four reviews. Critical items are highlighted in red. Section headers group items by spec area.</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3360"/>
        <w:gridCol w:w="900"/>
        <w:gridCol w:w="780"/>
        <w:gridCol w:w="780"/>
        <w:gridCol w:w="780"/>
        <w:gridCol w:w="780"/>
      </w:tblGrid>
      <w:tr>
        <w:trPr>
          <w:tblHeader/>
        </w:trPr>
        <w:tc>
          <w:tcPr>
            <w:tcW w:type="dxa" w:w="3360"/>
            <w:tcBorders>
              <w:top w:val="single" w:color="CCCCCC" w:sz="1"/>
              <w:left w:val="single" w:color="CCCCCC" w:sz="1"/>
              <w:bottom w:val="single" w:color="CCCCCC" w:sz="1"/>
              <w:right w:val="single" w:color="CCCCCC" w:sz="1"/>
            </w:tcBorders>
            <w:shd w:fill="2C2C2A"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18"/>
                <w:szCs w:val="18"/>
              </w:rPr>
              <w:t xml:space="preserve">Deficiency Item</w:t>
            </w:r>
          </w:p>
        </w:tc>
        <w:tc>
          <w:tcPr>
            <w:tcW w:type="dxa" w:w="900"/>
            <w:tcBorders>
              <w:top w:val="single" w:color="CCCCCC" w:sz="1"/>
              <w:left w:val="single" w:color="CCCCCC" w:sz="1"/>
              <w:bottom w:val="single" w:color="CCCCCC" w:sz="1"/>
              <w:right w:val="single" w:color="CCCCCC" w:sz="1"/>
            </w:tcBorders>
            <w:shd w:fill="2C2C2A"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18"/>
                <w:szCs w:val="18"/>
              </w:rPr>
              <w:t xml:space="preserve">Category</w:t>
            </w:r>
          </w:p>
        </w:tc>
        <w:tc>
          <w:tcPr>
            <w:tcW w:type="dxa" w:w="78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Abacus</w:t>
            </w:r>
          </w:p>
        </w:tc>
        <w:tc>
          <w:tcPr>
            <w:tcW w:type="dxa" w:w="7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Claude</w:t>
            </w:r>
          </w:p>
        </w:tc>
        <w:tc>
          <w:tcPr>
            <w:tcW w:type="dxa" w:w="780"/>
            <w:tcBorders>
              <w:top w:val="single" w:color="CCCCCC" w:sz="1"/>
              <w:left w:val="single" w:color="CCCCCC" w:sz="1"/>
              <w:bottom w:val="single" w:color="CCCCCC" w:sz="1"/>
              <w:right w:val="single" w:color="CCCCCC" w:sz="1"/>
            </w:tcBorders>
            <w:shd w:fill="854F0B"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Gemini</w:t>
            </w:r>
          </w:p>
        </w:tc>
        <w:tc>
          <w:tcPr>
            <w:tcW w:type="dxa" w:w="78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8"/>
                <w:szCs w:val="18"/>
              </w:rPr>
              <w:t xml:space="preserve">Grok</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Manufacturer / Qualifications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A-1  AWIP not approved manufacturer</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A-2  MBMA membership missing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A-3  AISC Category MB cert missing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A-4  Single-source requirement</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val="false"/>
                <w:bCs w:val="false"/>
                <w:color w:val="854F0B"/>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Roof Panels (SR2)</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B-2  AZ50 not permitted / 26 ga interior skin</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B-3  Coverage 40" vs. 36" required</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B-5/I-3  Roof R-28.8 vs. R-30 min</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B-6  AAMA 621 3-coat / FEVE clause conflict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B-12  CRRC cert / color-dependent SR</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B-13  UL 580 Class 90 (FM 4471 submitted)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val="false"/>
                <w:bCs w:val="false"/>
                <w:color w:val="854F0B"/>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Wall Panels (DM40)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C-1  Profile doesn't match spec (tapered rib)</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C-2  Concealed clips vs. exposed fasteners</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C-4  Wall coverage 40" vs. 36"</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C-5  Internal conflict: Sheet 1 vs Sheet 4 thickness</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C-6/I-4  Wall R-18 vs. R-19 min</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Missing Panel Types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D-1  Bus Wash Shelter roof panels absent</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D-2  Soffit panels missing / by others?</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Structural / Wind / Seismic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E-2  Seismic parameters not documented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val="false"/>
                <w:bCs w:val="false"/>
                <w:color w:val="854F0B"/>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E-4  Thermal movement not addressed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Shop Drawings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J-3  All drawings NTS — scaled details required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Shop Dwgs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J-4  Roof-mounted equipment not shown</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Shop Dwgs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Structural Engineering / PE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K-1  Structural calcs missing</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K-2/O-3  No delegated design PE / expired license</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K-3  Design certification letter absent</w:t>
            </w:r>
          </w:p>
        </w:tc>
        <w:tc>
          <w:tcPr>
            <w:tcW w:type="dxa" w:w="9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791F1F"/>
                <w:sz w:val="16"/>
                <w:szCs w:val="16"/>
              </w:rPr>
              <w:t xml:space="preserve">Critical</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7380"/>
            <w:gridSpan w:val="6"/>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rFonts w:ascii="Arial" w:cs="Arial" w:eastAsia="Arial" w:hAnsi="Arial"/>
                <w:b/>
                <w:bCs/>
                <w:color w:val="0C447C"/>
                <w:sz w:val="18"/>
                <w:szCs w:val="18"/>
              </w:rPr>
              <w:t xml:space="preserve">Warranties / Certifications / Accessories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L-1/L-2  20-yr finish &amp; weathertightness warranties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M-1/M-2  Mill certs / ASTM A755 missing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M-4  Installer qualifications missing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N-1/N-2  Physical color / panel samples required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Docs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color w:val="000000"/>
                <w:sz w:val="18"/>
                <w:szCs w:val="18"/>
              </w:rPr>
              <w:t xml:space="preserve">H-3/H-4  Gutters &amp; downspouts incomplete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C2C2A"/>
                <w:sz w:val="16"/>
                <w:szCs w:val="16"/>
              </w:rPr>
              <w:t xml:space="preserve">Shop Dwgs</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CCCCC"/>
                <w:sz w:val="20"/>
                <w:szCs w:val="20"/>
              </w:rPr>
              <w:t xml:space="preserve">—</w:t>
            </w:r>
          </w:p>
        </w:tc>
        <w:tc>
          <w:tcPr>
            <w:tcW w:type="dxa" w:w="78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val="false"/>
                <w:bCs w:val="false"/>
                <w:color w:val="854F0B"/>
                <w:sz w:val="20"/>
                <w:szCs w:val="20"/>
              </w:rPr>
              <w:t xml:space="preserve">~</w:t>
            </w:r>
          </w:p>
        </w:tc>
        <w:tc>
          <w:tcPr>
            <w:tcW w:type="dxa" w:w="78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vAlign w:val="center"/>
          </w:tcPr>
          <w:p>
            <w:pPr>
              <w:jc w:val="center"/>
            </w:pPr>
            <w:r>
              <w:rPr>
                <w:rFonts w:ascii="Arial" w:cs="Arial" w:eastAsia="Arial" w:hAnsi="Arial"/>
                <w:b/>
                <w:bCs/>
                <w:color w:val="0F6E56"/>
                <w:sz w:val="20"/>
                <w:szCs w:val="20"/>
              </w:rPr>
              <w:t xml:space="preserve">✓</w:t>
            </w:r>
          </w:p>
        </w:tc>
      </w:tr>
    </w:tbl>
    <w:p>
      <w:r>
        <w:rPr>
          <w:rFonts w:ascii="Arial" w:cs="Arial" w:eastAsia="Arial" w:hAnsi="Arial"/>
          <w:sz w:val="20"/>
          <w:szCs w:val="20"/>
        </w:rPr>
        <w:t xml:space="preserve"/>
      </w:r>
    </w:p>
    <w:p>
      <w:pPr>
        <w:pStyle w:val="Heading1"/>
      </w:pPr>
      <w:r>
        <w:rPr>
          <w:rFonts w:ascii="Arial" w:cs="Arial" w:eastAsia="Arial" w:hAnsi="Arial"/>
        </w:rPr>
        <w:t xml:space="preserve">Reviewer Analysis</w:t>
      </w:r>
    </w:p>
    <w:p>
      <w:pPr>
        <w:spacing w:before="200" w:after="80"/>
      </w:pPr>
      <w:r>
        <w:rPr>
          <w:rFonts w:ascii="Arial" w:cs="Arial" w:eastAsia="Arial" w:hAnsi="Arial"/>
          <w:b/>
          <w:bCs/>
          <w:color w:val="185FA5"/>
          <w:sz w:val="24"/>
          <w:szCs w:val="24"/>
        </w:rPr>
        <w:t xml:space="preserve">Abacus — 97/100</w:t>
      </w:r>
    </w:p>
    <w:p>
      <w:pPr>
        <w:spacing w:before="0" w:after="200"/>
      </w:pPr>
      <w:r>
        <w:rPr>
          <w:rFonts w:ascii="Arial" w:cs="Arial" w:eastAsia="Arial" w:hAnsi="Arial"/>
          <w:b w:val="false"/>
          <w:bCs w:val="false"/>
          <w:color w:val="000000"/>
          <w:sz w:val="22"/>
          <w:szCs w:val="22"/>
        </w:rPr>
        <w:t xml:space="preserve">The gold standard for this review cycle. Hit every critical item, every documentation gap, every shop drawing deficiency across all 29 tracked items. The minor deduction is for treating the UL 580 vs. FM 4471 wind-uplift issue as a hard "Revise &amp; Resubmit" when a reasonable argument exists that FM Class 1 is functionally equivalent — interpretive harshness rather than an actual miss. Near-flawless and the only review suitable for issuance as-is.</w:t>
      </w:r>
    </w:p>
    <w:p>
      <w:pPr>
        <w:spacing w:before="200" w:after="80"/>
      </w:pPr>
      <w:r>
        <w:rPr>
          <w:rFonts w:ascii="Arial" w:cs="Arial" w:eastAsia="Arial" w:hAnsi="Arial"/>
          <w:b/>
          <w:bCs/>
          <w:color w:val="0F6E56"/>
          <w:sz w:val="24"/>
          <w:szCs w:val="24"/>
        </w:rPr>
        <w:t xml:space="preserve">Claude — 89/100</w:t>
      </w:r>
    </w:p>
    <w:p>
      <w:pPr>
        <w:spacing w:before="0" w:after="200"/>
      </w:pPr>
      <w:r>
        <w:rPr>
          <w:rFonts w:ascii="Arial" w:cs="Arial" w:eastAsia="Arial" w:hAnsi="Arial"/>
          <w:b w:val="false"/>
          <w:bCs w:val="false"/>
          <w:color w:val="000000"/>
          <w:sz w:val="22"/>
          <w:szCs w:val="22"/>
        </w:rPr>
        <w:t xml:space="preserve">Solid performance with strong coverage of critical items and the best-formatted output of the three AI reviews. Three notable misses: (1) C-5 — the internal drawing conflict between Sheet 1 and Sheet 4 on DM40 panel thickness, which is actually one of the more interesting QC catches since it means the contractor's own package contradicts itself; (2) E-2/E-4 — seismic parameters and thermal movement not flagged; (3) J-3/J-4 — NTS drawings and missing roof equipment coordination on shop drawings. As a bonus, Claude uniquely caught the Bus Wash Shelter galvanized framing requirement that no other reviewer addressed. Best candidate for a first-draft review template with a QC sweep before issuing.</w:t>
      </w:r>
    </w:p>
    <w:p>
      <w:pPr>
        <w:spacing w:before="200" w:after="80"/>
      </w:pPr>
      <w:r>
        <w:rPr>
          <w:rFonts w:ascii="Arial" w:cs="Arial" w:eastAsia="Arial" w:hAnsi="Arial"/>
          <w:b/>
          <w:bCs/>
          <w:color w:val="854F0B"/>
          <w:sz w:val="24"/>
          <w:szCs w:val="24"/>
        </w:rPr>
        <w:t xml:space="preserve">Gemini — 48/100</w:t>
      </w:r>
    </w:p>
    <w:p>
      <w:pPr>
        <w:spacing w:before="0" w:after="200"/>
      </w:pPr>
      <w:r>
        <w:rPr>
          <w:rFonts w:ascii="Arial" w:cs="Arial" w:eastAsia="Arial" w:hAnsi="Arial"/>
          <w:b w:val="false"/>
          <w:bCs w:val="false"/>
          <w:color w:val="000000"/>
          <w:sz w:val="22"/>
          <w:szCs w:val="22"/>
        </w:rPr>
        <w:t xml:space="preserve">Shortest and most surface-level of the AI reviews. Only 9 of 29 items clearly addressed. Caught the big three everyone caught (PE/calcs, both R-values, warranties/qualifications), but missed essentially all wall panel technical deviations, both missing panel types (Bus Wash Shelter and soffit), the panel coverage width problem, the AWIP approval issue, and the expired PE license. The downspout color confirmation it flagged is not even a spec-compliance issue — it pulled a general note item while missing most critical deviations. Reads like a skim of the product data sheets without line-by-line comparison against the specification. Not suitable for use on a deferred approval submittal without a full independent review.</w:t>
      </w:r>
    </w:p>
    <w:p>
      <w:pPr>
        <w:spacing w:before="200" w:after="80"/>
      </w:pPr>
      <w:r>
        <w:rPr>
          <w:rFonts w:ascii="Arial" w:cs="Arial" w:eastAsia="Arial" w:hAnsi="Arial"/>
          <w:b/>
          <w:bCs/>
          <w:color w:val="A32D2D"/>
          <w:sz w:val="24"/>
          <w:szCs w:val="24"/>
        </w:rPr>
        <w:t xml:space="preserve">Grok — 61/100</w:t>
      </w:r>
    </w:p>
    <w:p>
      <w:pPr>
        <w:spacing w:before="0" w:after="200"/>
      </w:pPr>
      <w:r>
        <w:rPr>
          <w:rFonts w:ascii="Arial" w:cs="Arial" w:eastAsia="Arial" w:hAnsi="Arial"/>
          <w:b w:val="false"/>
          <w:bCs w:val="false"/>
          <w:color w:val="000000"/>
          <w:sz w:val="22"/>
          <w:szCs w:val="22"/>
        </w:rPr>
        <w:t xml:space="preserve">Took a broader, more narrative/managerial approach. Caught the major structural and PE documentation items and the missing component issues, but completely skipped the wall panel section — C-1 through C-6 (profile, fastener method, coverage width, R-value) all went unaddressed. Also missed AAMA/FEVE finish requirements, panel coverage widths, CRRC requirements, UL 580, AZ50 substrate issue, and seismic parameters. Strong on completeness of the documentation checklist; shallow on technical panel compliance. Best used as a PM-level summary or to draft the contractor's cover letter, not as the architect's official review.</w:t>
      </w:r>
    </w:p>
    <w:p>
      <w:pPr>
        <w:pStyle w:val="Heading1"/>
      </w:pPr>
      <w:r>
        <w:rPr>
          <w:rFonts w:ascii="Arial" w:cs="Arial" w:eastAsia="Arial" w:hAnsi="Arial"/>
        </w:rPr>
        <w:t xml:space="preserve">Recommendations for Next Review Cycle</w:t>
      </w:r>
    </w:p>
    <w:p>
      <w:pPr>
        <w:spacing w:before="0" w:after="120"/>
      </w:pPr>
      <w:r>
        <w:rPr>
          <w:rFonts w:ascii="Arial" w:cs="Arial" w:eastAsia="Arial" w:hAnsi="Arial"/>
          <w:b w:val="false"/>
          <w:bCs w:val="false"/>
          <w:color w:val="000000"/>
          <w:sz w:val="22"/>
          <w:szCs w:val="22"/>
        </w:rPr>
        <w:t xml:space="preserve">Based on this benchmarking exercise, the following adjustments are recommended for the BPR&amp;D review prompt and process:</w:t>
      </w:r>
    </w:p>
    <w:p>
      <w:r>
        <w:rPr>
          <w:rFonts w:ascii="Arial" w:cs="Arial" w:eastAsia="Arial" w:hAnsi="Arial"/>
          <w:sz w:val="20"/>
          <w:szCs w:val="20"/>
        </w:rPr>
        <w:t xml:space="preserve"/>
      </w:r>
    </w:p>
    <w:p>
      <w:pPr>
        <w:pStyle w:val="ListParagraph"/>
        <w:numPr>
          <w:ilvl w:val="0"/>
          <w:numId w:val="2"/>
        </w:numPr>
      </w:pPr>
      <w:r>
        <w:rPr>
          <w:rFonts w:ascii="Arial" w:cs="Arial" w:eastAsia="Arial" w:hAnsi="Arial"/>
          <w:sz w:val="22"/>
          <w:szCs w:val="22"/>
        </w:rPr>
        <w:t xml:space="preserve">Prompt: Require explicit line-by-line comparison against each spec section (§1.5, §1.6, §2.1, §2.5, §2.6, §2.7, §2.9). Current prompts allow reviewers to stop at high-level findings.</w:t>
      </w:r>
    </w:p>
    <w:p>
      <w:pPr>
        <w:pStyle w:val="ListParagraph"/>
        <w:numPr>
          <w:ilvl w:val="0"/>
          <w:numId w:val="2"/>
        </w:numPr>
      </w:pPr>
      <w:r>
        <w:rPr>
          <w:rFonts w:ascii="Arial" w:cs="Arial" w:eastAsia="Arial" w:hAnsi="Arial"/>
          <w:sz w:val="22"/>
          <w:szCs w:val="22"/>
        </w:rPr>
        <w:t xml:space="preserve">Prompt: Add specific instruction to flag internal drawing conflicts (Sheet A vs. Sheet B discrepancies). Claude missed C-5, which is a standard QC check.</w:t>
      </w:r>
    </w:p>
    <w:p>
      <w:pPr>
        <w:pStyle w:val="ListParagraph"/>
        <w:numPr>
          <w:ilvl w:val="0"/>
          <w:numId w:val="2"/>
        </w:numPr>
      </w:pPr>
      <w:r>
        <w:rPr>
          <w:rFonts w:ascii="Arial" w:cs="Arial" w:eastAsia="Arial" w:hAnsi="Arial"/>
          <w:sz w:val="22"/>
          <w:szCs w:val="22"/>
        </w:rPr>
        <w:t xml:space="preserve">Prompt: Include explicit checklist items for seismic parameters, thermal movement, and drawing scale compliance. These were missed by 2-3 reviewers.</w:t>
      </w:r>
    </w:p>
    <w:p>
      <w:pPr>
        <w:pStyle w:val="ListParagraph"/>
        <w:numPr>
          <w:ilvl w:val="0"/>
          <w:numId w:val="2"/>
        </w:numPr>
      </w:pPr>
      <w:r>
        <w:rPr>
          <w:rFonts w:ascii="Arial" w:cs="Arial" w:eastAsia="Arial" w:hAnsi="Arial"/>
          <w:sz w:val="22"/>
          <w:szCs w:val="22"/>
        </w:rPr>
        <w:t xml:space="preserve">Process: Use Claude as the primary draft reviewer with Abacus as QC verification layer. Gemini and Grok are not suitable as sole reviewers for deferred approval submittals.</w:t>
      </w:r>
    </w:p>
    <w:p>
      <w:pPr>
        <w:pStyle w:val="ListParagraph"/>
        <w:numPr>
          <w:ilvl w:val="0"/>
          <w:numId w:val="2"/>
        </w:numPr>
      </w:pPr>
      <w:r>
        <w:rPr>
          <w:rFonts w:ascii="Arial" w:cs="Arial" w:eastAsia="Arial" w:hAnsi="Arial"/>
          <w:sz w:val="22"/>
          <w:szCs w:val="22"/>
        </w:rPr>
        <w:t xml:space="preserve">Process: Establish a structured output template (per-item table with Spec Reference, Submitted Value, Status, Comment) to force comprehensive coverage regardless of which model is used.</w:t>
      </w:r>
    </w:p>
    <w:p>
      <w:r>
        <w:rPr>
          <w:rFonts w:ascii="Arial" w:cs="Arial" w:eastAsia="Arial" w:hAnsi="Arial"/>
          <w:sz w:val="20"/>
          <w:szCs w:val="20"/>
        </w:rPr>
        <w:t xml:space="preserve"/>
      </w:r>
    </w:p>
    <w:p>
      <w:pPr>
        <w:spacing w:before="0" w:after="120"/>
      </w:pPr>
      <w:r>
        <w:rPr>
          <w:rFonts w:ascii="Arial" w:cs="Arial" w:eastAsia="Arial" w:hAnsi="Arial"/>
          <w:b w:val="false"/>
          <w:bCs w:val="false"/>
          <w:color w:val="888780"/>
          <w:sz w:val="18"/>
          <w:szCs w:val="18"/>
        </w:rPr>
        <w:t xml:space="preserve">Report generated by Claude (Sonnet 4.6) — BPR&amp;D internal use.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1"/>
      </w:pBdr>
      <w:spacing w:before="80"/>
      <w:jc w:val="right"/>
    </w:pPr>
    <w:r>
      <w:rPr>
        <w:rFonts w:ascii="Arial" w:cs="Arial" w:eastAsia="Arial" w:hAnsi="Arial"/>
        <w:color w:val="888780"/>
        <w:sz w:val="16"/>
        <w:szCs w:val="16"/>
      </w:rPr>
      <w:t xml:space="preserve">TCSD Bus Maintenance Facility  |  Project No. 23-12891.01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spacing w:after="80"/>
    </w:pPr>
    <w:r>
      <w:rPr>
        <w:rFonts w:ascii="Arial" w:cs="Arial" w:eastAsia="Arial" w:hAnsi="Arial"/>
        <w:b/>
        <w:bCs/>
        <w:color w:val="185FA5"/>
        <w:sz w:val="18"/>
        <w:szCs w:val="18"/>
      </w:rPr>
      <w:t xml:space="preserve">BPR&amp;D AI Reviewer Benchmarking</w:t>
    </w:r>
    <w:r>
      <w:rPr>
        <w:rFonts w:ascii="Arial" w:cs="Arial" w:eastAsia="Arial" w:hAnsi="Arial"/>
        <w:color w:val="888780"/>
        <w:sz w:val="18"/>
        <w:szCs w:val="18"/>
      </w:rPr>
      <w:t xml:space="preserve">   |   Submittal 043 — Section 13 3419 Metal Wall &amp; Roof Panels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85FA5" w:sz="6" w:space="1"/>
      </w:pBdr>
      <w:spacing w:before="360" w:after="200"/>
      <w:outlineLvl w:val="0"/>
    </w:pPr>
    <w:rPr>
      <w:rFonts w:ascii="Arial" w:cs="Arial" w:eastAsia="Arial" w:hAnsi="Arial"/>
      <w:b/>
      <w:bCs/>
      <w:color w:val="0C447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2C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2026-03-20T17:10:21.543Z</dcterms:created>
  <dcterms:modified xsi:type="dcterms:W3CDTF">2026-03-20T17:10:21.544Z</dcterms:modified>
</cp:coreProperties>
</file>

<file path=docProps/custom.xml><?xml version="1.0" encoding="utf-8"?>
<Properties xmlns="http://schemas.openxmlformats.org/officeDocument/2006/custom-properties" xmlns:vt="http://schemas.openxmlformats.org/officeDocument/2006/docPropsVTypes"/>
</file>