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0"/>
        </w:rPr>
        <w:t xml:space="preserve">Mesure du spectre du FBG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Mesure du spectre du FBG tel quel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Nom du fichier : FBGSpectrum dans le dossier sauce</w:t>
        <w:br w:type="textWrapping"/>
        <w:t xml:space="preserve">source utilisé: LUNA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Mesure du Spectre du FBG avec un ∆T</w:t>
        <w:br w:type="textWrapping"/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Température du four (°C)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Nom du fichier sur clé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