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proofErr w:type="spellStart"/>
            <w:r>
              <w:t>My</w:t>
            </w:r>
            <w:proofErr w:type="spellEnd"/>
            <w:r>
              <w:t xml:space="preserve"> PC </w:t>
            </w:r>
            <w:proofErr w:type="spellStart"/>
            <w:r>
              <w:t>Vuln</w:t>
            </w:r>
            <w:proofErr w:type="spellEnd"/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Thursday, June 10, 2021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06/10/2021</w:t>
            </w:r>
          </w:p>
        </w:tc>
        <w:tc>
          <w:tcPr>
            <w:tcW w:w="2410" w:type="dxa"/>
            <w:vAlign w:val="center"/>
          </w:tcPr>
          <w:p w14:paraId="27C5A3ED" w14:textId="7ABFE274" w:rsidR="00D32753" w:rsidRPr="00943482" w:rsidRDefault="00485A54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R B CH S TARUN – 19BCN7122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VIT-AP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Testing Personal Computer Vulnerabilities using WES-NG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06/08/2021 </w:t>
      </w:r>
      <w:r>
        <w:rPr>
          <w:lang w:val="en-CA"/>
        </w:rPr>
        <w:t>and</w:t>
      </w:r>
      <w:r w:rsidRPr="006F0104">
        <w:rPr>
          <w:lang w:val="en-CA"/>
        </w:rPr>
        <w:t xml:space="preserve"> 06/11/2021.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VULN-001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FINDING AND PATCHING Vuln's USING WES-NG </w:t>
            </w:r>
          </w:p>
        </w:tc>
        <w:tc>
          <w:tcPr>
            <w:tcW w:w="2660" w:type="dxa"/>
            <w:vAlign w:val="center"/>
          </w:tcPr>
          <w:p w14:paraId="498DD2CD" w14:textId="77777777" w:rsidR="00B52140" w:rsidRDefault="00455A82">
            <w:r>
              <w:t>Affected product: net framework 4.8 on windows 10 version 20H2</w:t>
            </w:r>
          </w:p>
          <w:p w14:paraId="60DCE0CE" w14:textId="77777777" w:rsidR="00B52140" w:rsidRDefault="00455A82">
            <w:r>
              <w:t>ISSUSING CNA</w:t>
            </w:r>
          </w:p>
          <w:p w14:paraId="14A932FA" w14:textId="77777777" w:rsidR="00B52140" w:rsidRDefault="00455A82">
            <w:r>
              <w:t>Impact will be: DOS - DENIAL OF SERVICE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 xml:space="preserve">FINDING AND PATCHING </w:t>
      </w:r>
      <w:proofErr w:type="spellStart"/>
      <w:r>
        <w:t>Vuln's</w:t>
      </w:r>
      <w:proofErr w:type="spellEnd"/>
      <w:r>
        <w:t xml:space="preserve"> USING WES-NG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6.3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Network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Unchanged</w:t>
            </w:r>
            <w:proofErr w:type="spellEnd"/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3A156920" w14:textId="77777777" w:rsidR="00B52140" w:rsidRDefault="00455A82">
            <w:r>
              <w:t>Affected product: net framework 4.8 on windows 10 version 20H2</w:t>
            </w:r>
          </w:p>
          <w:p w14:paraId="626ED554" w14:textId="77777777" w:rsidR="00B52140" w:rsidRDefault="00455A82">
            <w:r>
              <w:t>ISSUSING CNA</w:t>
            </w:r>
          </w:p>
          <w:p w14:paraId="50FAD626" w14:textId="77777777" w:rsidR="00B52140" w:rsidRDefault="00455A82">
            <w:r>
              <w:t>Impact will be: DOS - DENIAL OF SERVICE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41F65974" w14:textId="77777777" w:rsidR="00B52140" w:rsidRDefault="00455A82">
            <w:r>
              <w:t xml:space="preserve">WES-NG is a tool based on the output of Windows' </w:t>
            </w:r>
            <w:r>
              <w:rPr>
                <w:rStyle w:val="CodeChar"/>
              </w:rPr>
              <w:t>systeminfo</w:t>
            </w:r>
            <w:r>
              <w:t xml:space="preserve"> utility which provides the list of vulnerabilities the OS is vulnerable to, including any exploits for these vulnerabilities. Every Windows OS between Windows XP and Windows 10, including their Wi</w:t>
            </w:r>
            <w:r>
              <w:t>ndows Server counterparts, is supported.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22D29554" w14:textId="77777777" w:rsidR="00B52140" w:rsidRDefault="00455A82">
            <w:r>
              <w:t>Now Let's see the detected vulnerabilities.</w:t>
            </w:r>
          </w:p>
          <w:p w14:paraId="668253F3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2657475"/>
                  <wp:effectExtent l="0" t="0" r="0" b="0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BEBFB" w14:textId="029F256C" w:rsidR="00D32753" w:rsidRPr="007F6E75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5.PNG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03B7775C" w14:textId="77777777" w:rsidR="00B52140" w:rsidRDefault="00455A82">
            <w:r>
              <w:t>The vulnerability detected is not patchable as the exact version of windows is not detected.</w:t>
            </w:r>
          </w:p>
          <w:p w14:paraId="306AAE9C" w14:textId="77777777" w:rsidR="00B52140" w:rsidRDefault="00455A82">
            <w:r>
              <w:t>https://www.catalog.update.microsoft.com/Search.aspx?q=KB4601050</w:t>
            </w:r>
          </w:p>
          <w:p w14:paraId="094815F5" w14:textId="6E83EC81" w:rsidR="00A64C8C" w:rsidRPr="007F6E75" w:rsidRDefault="00A64C8C" w:rsidP="00A64C8C">
            <w:pPr>
              <w:jc w:val="center"/>
              <w:rPr>
                <w:lang w:val="en-CA"/>
              </w:rPr>
            </w:pPr>
            <w:r w:rsidRPr="00EF57C3">
              <w:rPr>
                <w:noProof/>
                <w:lang w:val="en-CA"/>
              </w:rPr>
              <w:lastRenderedPageBreak/>
              <w:drawing>
                <wp:inline distT="0" distB="0" distL="0" distR="0">
                  <wp:extent cx="5715000" cy="1543050"/>
                  <wp:effectExtent l="0" t="0" r="0" b="0"/>
                  <wp:docPr id="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image.png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7B95444" w14:textId="77777777" w:rsidR="00B52140" w:rsidRDefault="00455A82">
            <w:r>
              <w:t>Windows just need to release the patch for all the versions of their systems, so as of now it still remains un-patchable but as the risk is low its acceptable as of now.</w:t>
            </w:r>
            <w:r>
              <w:br/>
              <w:t>Impact will be denial of service.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>
                  <wp:extent cx="5715000" cy="2657475"/>
                  <wp:effectExtent l="0" t="0" r="0" b="0"/>
                  <wp:docPr id="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5.PNG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https://github.com/bitsadmin/wesng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bookmarkEnd w:id="10"/>
    </w:p>
    <w:sectPr w:rsidR="00D32753" w:rsidRPr="00D32753" w:rsidSect="00A954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6160" w14:textId="77777777" w:rsidR="00455A82" w:rsidRDefault="00455A82">
      <w:pPr>
        <w:spacing w:line="240" w:lineRule="auto"/>
      </w:pPr>
      <w:r>
        <w:separator/>
      </w:r>
    </w:p>
  </w:endnote>
  <w:endnote w:type="continuationSeparator" w:id="0">
    <w:p w14:paraId="7D5579BA" w14:textId="77777777" w:rsidR="00455A82" w:rsidRDefault="0045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64F5" w14:textId="77777777" w:rsidR="00455A82" w:rsidRDefault="00455A82">
      <w:pPr>
        <w:spacing w:line="240" w:lineRule="auto"/>
      </w:pPr>
      <w:r>
        <w:separator/>
      </w:r>
    </w:p>
  </w:footnote>
  <w:footnote w:type="continuationSeparator" w:id="0">
    <w:p w14:paraId="31187028" w14:textId="77777777" w:rsidR="00455A82" w:rsidRDefault="00455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05DE" w14:textId="1C743766" w:rsidR="004C6481" w:rsidRDefault="00267786" w:rsidP="00464FDD">
    <w:pPr>
      <w:pStyle w:val="Header"/>
      <w:tabs>
        <w:tab w:val="clear" w:pos="4320"/>
      </w:tabs>
    </w:pPr>
    <w:r>
      <w:rPr>
        <w:noProof/>
      </w:rPr>
      <w:drawing>
        <wp:inline distT="0" distB="0" distL="0" distR="0">
          <wp:extent cx="352425" cy="352425"/>
          <wp:effectExtent l="0" t="0" r="0" b="0"/>
          <wp:docPr id="5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455A82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455A82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5A82"/>
    <w:rsid w:val="00457E68"/>
    <w:rsid w:val="00464FDD"/>
    <w:rsid w:val="00485A54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2140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C72CE-E91B-438E-B82D-110569294D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1B1A0-B8E9-433A-8BCE-EB218B1A3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9FFCFC-F482-4356-941F-CB57D996F6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Reddi Tarun</cp:lastModifiedBy>
  <cp:revision>11</cp:revision>
  <dcterms:created xsi:type="dcterms:W3CDTF">2020-10-28T09:01:00Z</dcterms:created>
  <dcterms:modified xsi:type="dcterms:W3CDTF">2021-06-10T11:56:00Z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