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MedTok – Week 7 Progress Report</w:t>
      </w:r>
      <w:r>
        <w:rPr>
          <w:sz w:val="25"/>
        </w:rPr>
        <w:br/>
        <w:t>Validation on linked MIMIC-IV multimodal data</w:t>
      </w:r>
      <w:r>
        <w:rPr>
          <w:sz w:val="21"/>
        </w:rPr>
        <w:br/>
        <w:t>REDOANUZZAMAN · October 17, 2026</w:t>
      </w:r>
    </w:p>
    <w:p>
      <w:pPr>
        <w:spacing w:before="200"/>
      </w:pPr>
      <w:r>
        <w:rPr>
          <w:b/>
          <w:color w:val="0F766E"/>
          <w:sz w:val="26"/>
        </w:rPr>
        <w:t>1. Goal of this week</w:t>
      </w:r>
    </w:p>
    <w:p>
      <w:r>
        <w:rPr>
          <w:i w:val="0"/>
        </w:rPr>
        <w:t>You asked me to use the MIMIC-IV multimodal data from Rafi to test and validate my method. Until now I tested on three separate public datasets (MedMNIST, PhysioNet 2012, Cataract-101), and my clinical text was synthetic. MIMIC lets me check three open questions: (1) do the tokenizers work on real hospital data, (2) does the unified protocol hold when one patient has several real modalities at once, and (3) is real clinical text handled losslessly?</w:t>
      </w:r>
    </w:p>
    <w:p>
      <w:pPr>
        <w:spacing w:before="200"/>
      </w:pPr>
      <w:r>
        <w:rPr>
          <w:b/>
          <w:color w:val="0F766E"/>
          <w:sz w:val="26"/>
        </w:rPr>
        <w:t>2. Data</w:t>
      </w:r>
    </w:p>
    <w:p>
      <w:r>
        <w:rPr>
          <w:i/>
          <w:sz w:val="20"/>
        </w:rPr>
        <w:t>Table 1. The linked demo subset (p10–p19). Join key: subject_id.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Patients (train / val / test, split by patient, stratified by label)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600 (419 / 89 / 92)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Chest X-ray images (MIMIC-CXR-JPG, all views)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Radiology reports (real free text)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12-lead ECGs (MIMIC-IV-ECG), 7 days before the X-ray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848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Lab tests kept / median results per patient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40 / 29.5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Died within 1 year of the X-ray (label)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90 (15.0 %)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Median age / male fraction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65 / 0.50</w:t>
            </w:r>
          </w:p>
        </w:tc>
      </w:tr>
    </w:tbl>
    <w:p/>
    <w:p>
      <w:r>
        <w:rPr>
          <w:i w:val="0"/>
        </w:rPr>
        <w:t>Timeline of one patient: t = 0 is seven days before the X-ray; labs and ECGs keep their real times; the X-ray and report are at t = 7 days. Nothing after the X-ray is used. The data is processed on our server only; this report contains aggregate numbers only.</w:t>
      </w:r>
    </w:p>
    <w:p>
      <w:pPr>
        <w:spacing w:before="200"/>
      </w:pPr>
      <w:r>
        <w:rPr>
          <w:b/>
          <w:color w:val="0F766E"/>
          <w:sz w:val="26"/>
        </w:rPr>
        <w:t>3. What I did</w:t>
      </w:r>
    </w:p>
    <w:p>
      <w:pPr>
        <w:pStyle w:val="ListBullet"/>
      </w:pPr>
      <w:r>
        <w:rPr>
          <w:b/>
        </w:rPr>
        <w:t>Method:</w:t>
      </w:r>
      <w:r>
        <w:t xml:space="preserve"> each modality goes through an existing tokenizer: labs → event tokens, ECG → window VQ tokens, X-ray → image VQ tokens (K = 1,024), report → byte-level BPE sub-words. All parts of a patient are written into one protocol v0.2 sequence in time order.</w:t>
      </w:r>
    </w:p>
    <w:p>
      <w:pPr>
        <w:pStyle w:val="ListBullet"/>
      </w:pPr>
      <w:r>
        <w:rPr>
          <w:b/>
        </w:rPr>
        <w:t>Addition 1 – RoutedCodec:</w:t>
      </w:r>
      <w:r>
        <w:t xml:space="preserve"> ECG and labs are both 'time series' but need different tokenizers. A small router picks the codec from the data source and stores the source in the sequence, so decoding needs no extra information.</w:t>
      </w:r>
    </w:p>
    <w:p>
      <w:pPr>
        <w:pStyle w:val="ListBullet"/>
      </w:pPr>
      <w:r>
        <w:rPr>
          <w:b/>
        </w:rPr>
        <w:t>Addition 2 – exact long gaps:</w:t>
      </w:r>
      <w:r>
        <w:t xml:space="preserve"> time-gap tokens were exact only up to 48 h (longer gaps used rounded buckets). Long gaps are now written as a chain of exact ≤ 48 h tokens. Gaps ≤ 48 h give the same tokens as before, so all earlier PhysioNet results are unchanged.</w:t>
      </w:r>
    </w:p>
    <w:p>
      <w:pPr>
        <w:pStyle w:val="ListBullet"/>
      </w:pPr>
      <w:r>
        <w:rPr>
          <w:b/>
        </w:rPr>
        <w:t>Images:</w:t>
      </w:r>
      <w:r>
        <w:t xml:space="preserve"> the MedMNIST image tokenizer was used unchanged (zero-shot), and the same design was trained on MIMIC X-rays (28 px and 64 px). All 62 unit and integration tests pass.</w:t>
      </w:r>
    </w:p>
    <w:p>
      <w:pPr>
        <w:spacing w:before="200"/>
      </w:pPr>
      <w:r>
        <w:rPr>
          <w:b/>
          <w:color w:val="0F766E"/>
          <w:sz w:val="26"/>
        </w:rPr>
        <w:t>4. Results</w:t>
      </w:r>
    </w:p>
    <w:p>
      <w:r>
        <w:rPr>
          <w:i/>
          <w:sz w:val="20"/>
        </w:rPr>
        <w:t>Table 2. Unified protocol on real linked records.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Check (all 600 patients)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Sequences passing structural validation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600 / 600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Save → load of the token shard identical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100.0 %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Report text exact after the round-trip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100.0 %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Lab observation pattern exact after the round-trip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100.0 %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Sequence length mean / max (tokens)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1,128 / 4,394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Compressed size per patient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2.3 KiB</w:t>
            </w:r>
          </w:p>
        </w:tc>
      </w:tr>
    </w:tbl>
    <w:p/>
    <w:p>
      <w:r>
        <w:rPr>
          <w:i/>
          <w:sz w:val="20"/>
        </w:rPr>
        <w:t>Table 3. Chest X-ray reconstruction. Higher PSNR/SSIM = closer to the original.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Image tokenizer (test, 163 images)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PSNR dB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SSIM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Active codes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Tokens / image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MedMNIST, zero-shot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28 px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25.39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0.935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498 / 1024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MIMIC-trained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28 px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29.18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1018 / 1024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56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MIMIC-trained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64 px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31.60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0.949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1024 / 1024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272</w:t>
            </w:r>
          </w:p>
        </w:tc>
      </w:tr>
    </w:tbl>
    <w:p/>
    <w:p>
      <w:r>
        <w:rPr>
          <w:i/>
          <w:sz w:val="20"/>
        </w:rPr>
        <w:t>Table 4. ECG and lab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ECG / labs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ECG: tokens per 10-s ECG / compression vs 100 Hz 16-bit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251 / 76×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ECG: mean lead correlation (test)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0.728 ± 0.100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ECG: PRDN % (lower = better)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83.6 ± 15.6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Labs (6 h grid): tokens per patient / pattern exact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139 / 100.0 %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Labs: test patients with a gap &gt; 48 h (affected by the fix)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6.5 %</w:t>
            </w:r>
          </w:p>
        </w:tc>
      </w:tr>
    </w:tbl>
    <w:p/>
    <w:p>
      <w:r>
        <w:rPr>
          <w:i/>
          <w:sz w:val="20"/>
        </w:rPr>
        <w:t>Table 5. Real radiology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Text tokenizer (92 test reports)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Vocabulary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Exact round-trip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Tokens / report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BPE trained on synthetic notes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972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100.0 %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379 ± 132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BPE trained on MIMIC reports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1,024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100.0 %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166 ± 71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BPE trained on MIMIC reports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4,096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100.0 %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124 ± 44</w:t>
            </w:r>
          </w:p>
        </w:tc>
      </w:tr>
    </w:tbl>
    <w:p/>
    <w:p>
      <w:r>
        <w:rPr>
          <w:i/>
          <w:sz w:val="20"/>
        </w:rPr>
        <w:t>Table 6. Death within 1 year (90 of 600). 5x repeated stratified 5-fold CV, logistic regression (L2, C=0.1, balanced class weights) on standardised log1p token counts. Chance: AUROC 0.5, AUPRC 0.15.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Input tokens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AUROC</w:t>
            </w:r>
          </w:p>
        </w:tc>
        <w:tc>
          <w:tcPr>
            <w:tcW w:type="dxa" w:w="2880"/>
            <w:shd w:val="clear" w:color="auto" w:fill="1F2A44"/>
          </w:tcPr>
          <w:p>
            <w:r/>
            <w:r>
              <w:rPr>
                <w:b/>
                <w:color w:val="FFFFFF"/>
                <w:sz w:val="19"/>
              </w:rPr>
              <w:t>AUPRC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image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0.633 ± 0.073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0.285 ± 0.069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ecg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0.578 ± 0.056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0.209 ± 0.044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labs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0.694 ± 0.060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0.346 ± 0.079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0.670 ± 0.053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0.283 ± 0.066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all (image+ecg+labs+text)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0.778 ± 0.047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0.383 ± 0.091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demographics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0.755 ± 0.070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0.377 ± 0.109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all + demographics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0.781 ± 0.047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0.386 ± 0.091</w:t>
            </w:r>
          </w:p>
        </w:tc>
      </w:tr>
    </w:tbl>
    <w:p/>
    <w:p>
      <w:pPr>
        <w:spacing w:before="200"/>
      </w:pPr>
      <w:r>
        <w:rPr>
          <w:b/>
          <w:color w:val="0F766E"/>
          <w:sz w:val="26"/>
        </w:rPr>
        <w:t>5. Key findings</w:t>
      </w:r>
    </w:p>
    <w:p>
      <w:pPr>
        <w:pStyle w:val="ListBullet"/>
      </w:pPr>
      <w:r>
        <w:rPr>
          <w:b/>
        </w:rPr>
        <w:t>The protocol works on real data:</w:t>
      </w:r>
      <w:r>
        <w:t xml:space="preserve"> all 600 patient sequences pass validation and come back exactly after saving and loading. This is the main claim of the thesis, now shown on real linked records.</w:t>
      </w:r>
    </w:p>
    <w:p>
      <w:pPr>
        <w:pStyle w:val="ListBullet"/>
      </w:pPr>
      <w:r>
        <w:rPr>
          <w:b/>
        </w:rPr>
        <w:t>Real data found a bug:</w:t>
      </w:r>
      <w:r>
        <w:t xml:space="preserve"> 6.5 % of test patients have a lab gap over 48 h; before the fix their lab times were decoded wrongly. Synthetic tests and 48-h PhysioNet stays could not show this.</w:t>
      </w:r>
    </w:p>
    <w:p>
      <w:pPr>
        <w:pStyle w:val="ListBullet"/>
      </w:pPr>
      <w:r>
        <w:rPr>
          <w:b/>
        </w:rPr>
        <w:t>Images:</w:t>
      </w:r>
      <w:r>
        <w:t xml:space="preserve"> the MedMNIST codebook reads real X-rays but uses only part of its codes and blurs more; the same design trained on MIMIC uses almost all codes and is clearly sharper. The design generalises; the codebook should be trained on in-domain images.</w:t>
      </w:r>
    </w:p>
    <w:p>
      <w:pPr>
        <w:pStyle w:val="ListBullet"/>
      </w:pPr>
      <w:r>
        <w:rPr>
          <w:b/>
        </w:rPr>
        <w:t>ECG:</w:t>
      </w:r>
      <w:r>
        <w:t xml:space="preserve"> it works with no code changes and high compression, but keeps only the rough waveform shape. This is the weakest part.</w:t>
      </w:r>
    </w:p>
    <w:p>
      <w:pPr>
        <w:pStyle w:val="ListBullet"/>
      </w:pPr>
      <w:r>
        <w:rPr>
          <w:b/>
        </w:rPr>
        <w:t>Real text:</w:t>
      </w:r>
      <w:r>
        <w:t xml:space="preserve"> lossless for every tokenizer; the synthetic-trained vocabulary needs more than twice as many tokens per report as a vocabulary trained on real reports.</w:t>
      </w:r>
    </w:p>
    <w:p>
      <w:pPr>
        <w:pStyle w:val="ListBullet"/>
      </w:pPr>
      <w:r>
        <w:rPr>
          <w:b/>
        </w:rPr>
        <w:t>Tokens are informative:</w:t>
      </w:r>
      <w:r>
        <w:t xml:space="preserve"> every modality alone is above chance and all four together are best. Age and sex alone are already strong, so I claim 'informative and combinable tokens', not a mortality model.</w:t>
      </w:r>
    </w:p>
    <w:p>
      <w:pPr>
        <w:spacing w:before="200"/>
      </w:pPr>
      <w:r>
        <w:rPr>
          <w:b/>
          <w:color w:val="0F766E"/>
          <w:sz w:val="26"/>
        </w:rPr>
        <w:t>6. Limitations</w:t>
      </w:r>
    </w:p>
    <w:p>
      <w:pPr>
        <w:pStyle w:val="ListBullet"/>
      </w:pPr>
      <w:r>
        <w:rPr>
          <w:b/>
        </w:rPr>
        <w:t>Size:</w:t>
      </w:r>
      <w:r>
        <w:t xml:space="preserve"> 600 patients from one hospital system: a validation of the method, not a clinical model.</w:t>
      </w:r>
    </w:p>
    <w:p>
      <w:pPr>
        <w:pStyle w:val="ListBullet"/>
      </w:pPr>
      <w:r>
        <w:rPr>
          <w:b/>
        </w:rPr>
        <w:t>Resolution:</w:t>
      </w:r>
      <w:r>
        <w:t xml:space="preserve"> X-rays are downsampled to 28 / 64 px, so the image metrics measure tokenizer fidelity, not diagnostic quality.</w:t>
      </w:r>
    </w:p>
    <w:p>
      <w:pPr>
        <w:pStyle w:val="ListBullet"/>
      </w:pPr>
      <w:r>
        <w:rPr>
          <w:b/>
        </w:rPr>
        <w:t>Label:</w:t>
      </w:r>
      <w:r>
        <w:t xml:space="preserve"> mortality is a convenience label; cross-validation spread is wide.</w:t>
      </w:r>
    </w:p>
    <w:p>
      <w:pPr>
        <w:pStyle w:val="ListBullet"/>
      </w:pPr>
      <w:r>
        <w:rPr>
          <w:b/>
        </w:rPr>
        <w:t>Data use:</w:t>
      </w:r>
      <w:r>
        <w:t xml:space="preserve"> all processing stays on our server; models trained on MIMIC are not shared.</w:t>
      </w:r>
    </w:p>
    <w:p>
      <w:pPr>
        <w:spacing w:before="200"/>
      </w:pPr>
      <w:r>
        <w:rPr>
          <w:b/>
          <w:color w:val="0F766E"/>
          <w:sz w:val="26"/>
        </w:rPr>
        <w:t>7. Next steps</w:t>
      </w:r>
    </w:p>
    <w:p>
      <w:pPr>
        <w:pStyle w:val="ListBullet"/>
      </w:pPr>
      <w:r>
        <w:rPr>
          <w:b/>
        </w:rPr>
        <w:t>Improve the ECG tokenizer:</w:t>
      </w:r>
      <w:r>
        <w:t xml:space="preserve"> more codes per window or a convolutional encoder.</w:t>
      </w:r>
    </w:p>
    <w:p>
      <w:pPr>
        <w:pStyle w:val="ListBullet"/>
      </w:pPr>
      <w:r>
        <w:rPr>
          <w:b/>
        </w:rPr>
        <w:t>Shared codebook:</w:t>
      </w:r>
      <w:r>
        <w:t xml:space="preserve"> train one image codebook on MedMNIST + MIMIC and test it on both.</w:t>
      </w:r>
    </w:p>
    <w:p>
      <w:pPr>
        <w:pStyle w:val="ListBullet"/>
      </w:pPr>
      <w:r>
        <w:rPr>
          <w:b/>
        </w:rPr>
        <w:t>Thesis:</w:t>
      </w:r>
      <w:r>
        <w:t xml:space="preserve"> write the MIMIC validation chapter of the thesis.</w:t>
      </w:r>
    </w:p>
    <w:p>
      <w:pPr>
        <w:spacing w:before="200"/>
      </w:pPr>
      <w:r>
        <w:rPr>
          <w:b/>
          <w:color w:val="0F766E"/>
          <w:sz w:val="26"/>
        </w:rPr>
        <w:t>8. Questions for you (please write your answer under each question)</w:t>
      </w:r>
    </w:p>
    <w:p>
      <w:r>
        <w:rPr>
          <w:b/>
        </w:rPr>
        <w:t xml:space="preserve">Q1. </w:t>
      </w:r>
      <w:r>
        <w:t>Is this MIMIC validation enough for the thesis, or should I use more MIMIC data (for example, more patients)?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Q2. </w:t>
      </w:r>
      <w:r>
        <w:t>Is death within 1 year a good downstream task, or do you prefer another label (for example, findings from the report, or in-hospital mortality)?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Q3. </w:t>
      </w:r>
      <w:r>
        <w:t>Should the MIMIC results go in the main text of the thesis or in the appendix?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Q4. </w:t>
      </w:r>
      <w:r>
        <w:t>The ECG tokenizer is the weakest part. Should I improve it now, or report it as a limitation?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Q5. </w:t>
      </w:r>
      <w:r>
        <w:t>Should I try one shared image codebook for MedMNIST + MIMIC, or keep separate codebooks?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Q6. </w:t>
      </w:r>
      <w:r>
        <w:t>Is it acceptable to show only aggregate numbers (no MIMIC images) in the thesis and the defence slides?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>
      <w:r>
        <w:rPr>
          <w:b/>
        </w:rPr>
        <w:t xml:space="preserve">Q7. </w:t>
      </w:r>
      <w:r>
        <w:t>Do you need the code or the results in another format?</w:t>
      </w:r>
    </w:p>
    <w:p>
      <w:r>
        <w:rPr>
          <w:color w:val="64748B"/>
        </w:rPr>
        <w:t>Your answer: __________________________________________________________</w:t>
        <w:br/>
        <w:t>______________________________________________________________________</w:t>
        <w:br/>
        <w:t>______________________________________________________________________</w:t>
      </w:r>
    </w:p>
    <w:p/>
    <w:p>
      <w:pPr>
        <w:jc w:val="left"/>
      </w:pPr>
      <w:r>
        <w:rPr>
          <w:i/>
          <w:sz w:val="18"/>
        </w:rPr>
        <w:t>Source of all numbers: reports/mimic/MIMIC_RESULTS.md and mimic_metrics.json, generated by python -m medical_tokenizer.mimic_validate. Code: github.com/REDOANUZZAMAN/medtok (docs/mimic_validation.md).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