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5E31D8"/>
          <w:sz w:val="22"/>
        </w:rPr>
        <w:t>FINAL PROJECT REPORT</w:t>
      </w:r>
    </w:p>
    <w:p>
      <w:pPr>
        <w:spacing w:before="200" w:after="40"/>
        <w:jc w:val="center"/>
      </w:pPr>
      <w:r>
        <w:rPr>
          <w:rFonts w:ascii="Arial" w:hAnsi="Arial"/>
          <w:b/>
          <w:color w:val="381A89"/>
          <w:sz w:val="80"/>
        </w:rPr>
        <w:t>VeriDoc</w:t>
      </w:r>
    </w:p>
    <w:p>
      <w:pPr>
        <w:spacing w:after="80"/>
        <w:jc w:val="center"/>
      </w:pPr>
      <w:r>
        <w:rPr>
          <w:rFonts w:ascii="Arial" w:hAnsi="Arial"/>
          <w:b/>
          <w:sz w:val="32"/>
        </w:rPr>
        <w:t>Insurance Document Authenticity, Fraud Detection</w:t>
        <w:br/>
        <w:t>and Trusted-Source Verification</w:t>
      </w:r>
    </w:p>
    <w:p>
      <w:pPr>
        <w:spacing w:after="520"/>
        <w:jc w:val="center"/>
      </w:pPr>
      <w:r>
        <w:rPr>
          <w:i/>
          <w:color w:val="55516B"/>
          <w:sz w:val="24"/>
        </w:rPr>
        <w:t>A decision-support platform that measures documentary evidence</w:t>
        <w:br/>
        <w:t>and hands the decision to a named human investigator</w:t>
      </w:r>
    </w:p>
    <w:p>
      <w:pPr>
        <w:jc w:val="center"/>
      </w:pPr>
      <w:r>
        <w:rPr>
          <w:color w:val="5E31D8"/>
          <w:sz w:val="22"/>
        </w:rPr>
        <w:t>◆</w:t>
      </w:r>
    </w:p>
    <w:tbl>
      <w:tblPr>
        <w:tblW w:type="auto" w:w="0"/>
        <w:jc w:val="center"/>
        <w:tblLook w:firstColumn="1" w:firstRow="1" w:lastColumn="0" w:lastRow="0" w:noHBand="0" w:noVBand="1" w:val="04A0"/>
      </w:tblPr>
      <w:tblGrid>
        <w:gridCol w:w="4592"/>
        <w:gridCol w:w="4592"/>
      </w:tblGrid>
      <w:tr>
        <w:tc>
          <w:tcPr>
            <w:tcW w:type="dxa" w:w="2835"/>
          </w:tcPr>
          <w:p>
            <w:pPr>
              <w:spacing w:after="100"/>
              <w:jc w:val="right"/>
            </w:pPr>
            <w:r>
              <w:rPr>
                <w:rFonts w:ascii="Arial" w:hAnsi="Arial"/>
                <w:color w:val="55516B"/>
                <w:sz w:val="19"/>
              </w:rPr>
              <w:t>Author</w:t>
            </w:r>
          </w:p>
        </w:tc>
        <w:tc>
          <w:tcPr>
            <w:tcW w:type="dxa" w:w="4876"/>
          </w:tcPr>
          <w:p>
            <w:pPr>
              <w:spacing w:after="100"/>
            </w:pPr>
            <w:r>
              <w:rPr>
                <w:rFonts w:ascii="Arial" w:hAnsi="Arial"/>
                <w:b/>
                <w:sz w:val="21"/>
              </w:rPr>
              <w:t>REDOANUZZAMAN</w:t>
            </w:r>
          </w:p>
        </w:tc>
      </w:tr>
      <w:tr>
        <w:tc>
          <w:tcPr>
            <w:tcW w:type="dxa" w:w="2835"/>
          </w:tcPr>
          <w:p>
            <w:pPr>
              <w:spacing w:after="100"/>
              <w:jc w:val="right"/>
            </w:pPr>
            <w:r>
              <w:rPr>
                <w:rFonts w:ascii="Arial" w:hAnsi="Arial"/>
                <w:color w:val="55516B"/>
                <w:sz w:val="19"/>
              </w:rPr>
              <w:t>Programme</w:t>
            </w:r>
          </w:p>
        </w:tc>
        <w:tc>
          <w:tcPr>
            <w:tcW w:type="dxa" w:w="4876"/>
          </w:tcPr>
          <w:p>
            <w:pPr>
              <w:spacing w:after="100"/>
            </w:pPr>
            <w:r>
              <w:rPr>
                <w:rFonts w:ascii="Arial" w:hAnsi="Arial"/>
                <w:b/>
                <w:sz w:val="21"/>
              </w:rPr>
              <w:t>⟨programme / course code⟩</w:t>
            </w:r>
          </w:p>
        </w:tc>
      </w:tr>
      <w:tr>
        <w:tc>
          <w:tcPr>
            <w:tcW w:type="dxa" w:w="2835"/>
          </w:tcPr>
          <w:p>
            <w:pPr>
              <w:spacing w:after="100"/>
              <w:jc w:val="right"/>
            </w:pPr>
            <w:r>
              <w:rPr>
                <w:rFonts w:ascii="Arial" w:hAnsi="Arial"/>
                <w:color w:val="55516B"/>
                <w:sz w:val="19"/>
              </w:rPr>
              <w:t>Institution</w:t>
            </w:r>
          </w:p>
        </w:tc>
        <w:tc>
          <w:tcPr>
            <w:tcW w:type="dxa" w:w="4876"/>
          </w:tcPr>
          <w:p>
            <w:pPr>
              <w:spacing w:after="100"/>
            </w:pPr>
            <w:r>
              <w:rPr>
                <w:rFonts w:ascii="Arial" w:hAnsi="Arial"/>
                <w:b/>
                <w:sz w:val="21"/>
              </w:rPr>
              <w:t>⟨institution / department⟩</w:t>
            </w:r>
          </w:p>
        </w:tc>
      </w:tr>
      <w:tr>
        <w:tc>
          <w:tcPr>
            <w:tcW w:type="dxa" w:w="2835"/>
          </w:tcPr>
          <w:p>
            <w:pPr>
              <w:spacing w:after="100"/>
              <w:jc w:val="right"/>
            </w:pPr>
            <w:r>
              <w:rPr>
                <w:rFonts w:ascii="Arial" w:hAnsi="Arial"/>
                <w:color w:val="55516B"/>
                <w:sz w:val="19"/>
              </w:rPr>
              <w:t>Supervisor</w:t>
            </w:r>
          </w:p>
        </w:tc>
        <w:tc>
          <w:tcPr>
            <w:tcW w:type="dxa" w:w="4876"/>
          </w:tcPr>
          <w:p>
            <w:pPr>
              <w:spacing w:after="100"/>
            </w:pPr>
            <w:r>
              <w:rPr>
                <w:rFonts w:ascii="Arial" w:hAnsi="Arial"/>
                <w:b/>
                <w:sz w:val="21"/>
              </w:rPr>
              <w:t>⟨supervisor⟩</w:t>
            </w:r>
          </w:p>
        </w:tc>
      </w:tr>
      <w:tr>
        <w:tc>
          <w:tcPr>
            <w:tcW w:type="dxa" w:w="2835"/>
          </w:tcPr>
          <w:p>
            <w:pPr>
              <w:spacing w:after="100"/>
              <w:jc w:val="right"/>
            </w:pPr>
            <w:r>
              <w:rPr>
                <w:rFonts w:ascii="Arial" w:hAnsi="Arial"/>
                <w:color w:val="55516B"/>
                <w:sz w:val="19"/>
              </w:rPr>
              <w:t>Platform version</w:t>
            </w:r>
          </w:p>
        </w:tc>
        <w:tc>
          <w:tcPr>
            <w:tcW w:type="dxa" w:w="4876"/>
          </w:tcPr>
          <w:p>
            <w:pPr>
              <w:spacing w:after="100"/>
            </w:pPr>
            <w:r>
              <w:rPr>
                <w:rFonts w:ascii="Arial" w:hAnsi="Arial"/>
                <w:b/>
                <w:sz w:val="21"/>
              </w:rPr>
              <w:t>Platform 1.4.0 · rules 2026.09.1</w:t>
            </w:r>
          </w:p>
        </w:tc>
      </w:tr>
      <w:tr>
        <w:tc>
          <w:tcPr>
            <w:tcW w:type="dxa" w:w="2835"/>
          </w:tcPr>
          <w:p>
            <w:pPr>
              <w:spacing w:after="100"/>
              <w:jc w:val="right"/>
            </w:pPr>
            <w:r>
              <w:rPr>
                <w:rFonts w:ascii="Arial" w:hAnsi="Arial"/>
                <w:color w:val="55516B"/>
                <w:sz w:val="19"/>
              </w:rPr>
              <w:t>Date of submission</w:t>
            </w:r>
          </w:p>
        </w:tc>
        <w:tc>
          <w:tcPr>
            <w:tcW w:type="dxa" w:w="4876"/>
          </w:tcPr>
          <w:p>
            <w:pPr>
              <w:spacing w:after="100"/>
            </w:pPr>
            <w:r>
              <w:rPr>
                <w:rFonts w:ascii="Arial" w:hAnsi="Arial"/>
                <w:b/>
                <w:sz w:val="21"/>
              </w:rPr>
              <w:t>18 September 2026</w:t>
            </w:r>
          </w:p>
        </w:tc>
      </w:tr>
    </w:tbl>
    <w:p/>
    <w:p>
      <w:pPr>
        <w:jc w:val="center"/>
      </w:pPr>
      <w:r>
        <w:rPr>
          <w:color w:val="55516B"/>
          <w:sz w:val="19"/>
        </w:rPr>
        <w:t>The deployed system referenced throughout this report is available at https://veridoc.rmaikr.top</w:t>
      </w:r>
    </w:p>
    <w:p>
      <w:r>
        <w:br w:type="page"/>
      </w:r>
    </w:p>
    <w:p>
      <w:pPr>
        <w:pStyle w:val="Heading1"/>
      </w:pPr>
      <w:r>
        <w:t>Abstract</w:t>
      </w:r>
    </w:p>
    <w:p>
      <w:pPr>
        <w:spacing w:after="160"/>
        <w:jc w:val="both"/>
      </w:pPr>
      <w:r>
        <w:t xml:space="preserve">Insurance claims are settled on the strength of documents — hospital invoices, prescriptions, identity papers, repair estimates and payment advices — that an insurer receives as files rather than as originals. A claims handler cannot inspect the paper, cannot see the software that produced the file, and has neither the time nor the instruments to compare a bundle of documents field by field against each other and against the claim record. This report presents </w:t>
      </w:r>
      <w:r>
        <w:rPr>
          <w:b/>
        </w:rPr>
        <w:t>VeriDoc</w:t>
      </w:r>
      <w:r>
        <w:t>, a decision-support platform for insurance document examination that closes that gap without replacing the examiner.</w:t>
      </w:r>
    </w:p>
    <w:p>
      <w:pPr>
        <w:spacing w:after="160"/>
        <w:jc w:val="both"/>
      </w:pPr>
      <w:r>
        <w:t>VeriDoc ingests a claim document and runs it through a fourteen-stage analysis pipeline that combines six independent families of evidence: structural and metadata forensics on the file itself, pixel-level image forensics, typography analysis, schema-driven optical character recognition and field extraction, twenty deterministic internal-consistency rules, field-by-field cross-document comparison across the claim bundle, a synthetic-media (AI-generated content) indicator, and lookups against trusted external registries. Each signal is recorded with the value measured, a calibrated confidence, the region of the page it refers to, and the detector and model version that produced it. A transparent, saturating risk model combines the signals into a 0–100 triage ranking and one of three bands — Low Concern, Review Recommended, High Concern.</w:t>
      </w:r>
    </w:p>
    <w:p>
      <w:pPr>
        <w:spacing w:after="160"/>
        <w:jc w:val="both"/>
      </w:pPr>
      <w:r>
        <w:t>The implemented system comprises 18,725 lines of Python across 110 modules and 11,077 lines of TypeScript across 81 modules, over a 25-table PostgreSQL schema. It is verified by 174 automated tests, all passing, which execute against a real PostgreSQL database and real object storage rather than against mocks, and by a scripted walkthrough that exercises all twenty product requirements against a live instance. The platform is deployed and running in production behind a reverse proxy with TLS.</w:t>
      </w:r>
    </w:p>
    <w:p>
      <w:pPr>
        <w:spacing w:after="160"/>
        <w:jc w:val="both"/>
      </w:pPr>
      <w:r>
        <w:t xml:space="preserve">The central design commitment, and the contribution this report argues for, is </w:t>
      </w:r>
      <w:r>
        <w:rPr>
          <w:i/>
        </w:rPr>
        <w:t>epistemic restraint</w:t>
      </w:r>
      <w:r>
        <w:t>. No code path in the platform can output a verdict that a document is genuine or fraudulent. Every detector's limitations and benign explanations are documented in the product itself, not only in this report; deterministic rules report the checks they passed as well as those they failed; a bundled demonstration provider can never be presented as a real external confirmation; and the server refuses to let a claim be approved while a high-severity finding remains unadjudicated. The machine measures; the human decides, in writing, on the record.</w:t>
      </w:r>
    </w:p>
    <w:p>
      <w:pPr>
        <w:pStyle w:val="Heading2"/>
      </w:pPr>
      <w:r>
        <w:t>Keywords</w:t>
      </w:r>
    </w:p>
    <w:p>
      <w:pPr>
        <w:spacing w:after="160"/>
        <w:jc w:val="both"/>
      </w:pPr>
      <w:r>
        <w:t>document forensics; insurance fraud detection; optical character recognition; information extraction; explainable decision support; human-in-the-loop systems; audit trail integrity; accessible data visualisation.</w:t>
      </w:r>
    </w:p>
    <w:p>
      <w:r>
        <w:br w:type="page"/>
      </w:r>
    </w:p>
    <w:p>
      <w:pPr>
        <w:pStyle w:val="Heading1"/>
      </w:pPr>
      <w:r>
        <w:t>Table of Contents</w:t>
      </w:r>
    </w:p>
    <w:p>
      <w:pPr>
        <w:tabs>
          <w:tab w:pos="9071" w:val="right" w:leader="dot"/>
        </w:tabs>
        <w:spacing w:after="60" w:line="276" w:lineRule="auto"/>
        <w:ind w:left="0"/>
      </w:pPr>
      <w:r>
        <w:rPr>
          <w:rFonts w:ascii="Arial" w:hAnsi="Arial"/>
          <w:b/>
          <w:sz w:val="21"/>
        </w:rPr>
        <w:t>Abstract</w:t>
      </w:r>
      <w:r>
        <w:rPr>
          <w:rFonts w:ascii="Arial" w:hAnsi="Arial"/>
          <w:b/>
          <w:sz w:val="21"/>
        </w:rPr>
        <w:tab/>
        <w:t>2</w:t>
      </w:r>
    </w:p>
    <w:p>
      <w:pPr>
        <w:tabs>
          <w:tab w:pos="9071" w:val="right" w:leader="dot"/>
        </w:tabs>
        <w:spacing w:after="60" w:line="276" w:lineRule="auto"/>
        <w:ind w:left="0"/>
      </w:pPr>
      <w:r>
        <w:rPr>
          <w:rFonts w:ascii="Arial" w:hAnsi="Arial"/>
          <w:b/>
          <w:sz w:val="21"/>
        </w:rPr>
        <w:t>Table of Contents</w:t>
      </w:r>
      <w:r>
        <w:rPr>
          <w:rFonts w:ascii="Arial" w:hAnsi="Arial"/>
          <w:b/>
          <w:sz w:val="21"/>
        </w:rPr>
        <w:tab/>
        <w:t>3</w:t>
      </w:r>
    </w:p>
    <w:p>
      <w:pPr>
        <w:tabs>
          <w:tab w:pos="9071" w:val="right" w:leader="dot"/>
        </w:tabs>
        <w:spacing w:after="60" w:line="276" w:lineRule="auto"/>
        <w:ind w:left="0"/>
      </w:pPr>
      <w:r>
        <w:rPr>
          <w:rFonts w:ascii="Arial" w:hAnsi="Arial"/>
          <w:b/>
          <w:sz w:val="21"/>
        </w:rPr>
        <w:t>List of Figures</w:t>
      </w:r>
      <w:r>
        <w:rPr>
          <w:rFonts w:ascii="Arial" w:hAnsi="Arial"/>
          <w:b/>
          <w:sz w:val="21"/>
        </w:rPr>
        <w:tab/>
        <w:t>3</w:t>
      </w:r>
    </w:p>
    <w:p>
      <w:pPr>
        <w:tabs>
          <w:tab w:pos="9071" w:val="right" w:leader="dot"/>
        </w:tabs>
        <w:spacing w:after="60" w:line="276" w:lineRule="auto"/>
        <w:ind w:left="0"/>
      </w:pPr>
      <w:r>
        <w:rPr>
          <w:rFonts w:ascii="Arial" w:hAnsi="Arial"/>
          <w:b/>
          <w:sz w:val="21"/>
        </w:rPr>
        <w:t>List of Tables</w:t>
      </w:r>
      <w:r>
        <w:rPr>
          <w:rFonts w:ascii="Arial" w:hAnsi="Arial"/>
          <w:b/>
          <w:sz w:val="21"/>
        </w:rPr>
        <w:tab/>
        <w:t>3</w:t>
      </w:r>
    </w:p>
    <w:p>
      <w:pPr>
        <w:tabs>
          <w:tab w:pos="9071" w:val="right" w:leader="dot"/>
        </w:tabs>
        <w:spacing w:after="60" w:line="276" w:lineRule="auto"/>
        <w:ind w:left="0"/>
      </w:pPr>
      <w:r>
        <w:rPr>
          <w:rFonts w:ascii="Arial" w:hAnsi="Arial"/>
          <w:b/>
          <w:sz w:val="21"/>
        </w:rPr>
        <w:t>1  Introduction</w:t>
      </w:r>
      <w:r>
        <w:rPr>
          <w:rFonts w:ascii="Arial" w:hAnsi="Arial"/>
          <w:b/>
          <w:sz w:val="21"/>
        </w:rPr>
        <w:tab/>
        <w:t>7</w:t>
      </w:r>
    </w:p>
    <w:p>
      <w:pPr>
        <w:tabs>
          <w:tab w:pos="9071" w:val="right" w:leader="dot"/>
        </w:tabs>
        <w:spacing w:after="60" w:line="276" w:lineRule="auto"/>
        <w:ind w:left="340"/>
      </w:pPr>
      <w:r>
        <w:rPr>
          <w:rFonts w:ascii="Arial" w:hAnsi="Arial"/>
          <w:b w:val="0"/>
          <w:sz w:val="20"/>
        </w:rPr>
        <w:t>1.1  Background</w:t>
      </w:r>
      <w:r>
        <w:rPr>
          <w:rFonts w:ascii="Arial" w:hAnsi="Arial"/>
          <w:b w:val="0"/>
          <w:sz w:val="20"/>
        </w:rPr>
        <w:tab/>
        <w:t>7</w:t>
      </w:r>
    </w:p>
    <w:p>
      <w:pPr>
        <w:tabs>
          <w:tab w:pos="9071" w:val="right" w:leader="dot"/>
        </w:tabs>
        <w:spacing w:after="60" w:line="276" w:lineRule="auto"/>
        <w:ind w:left="340"/>
      </w:pPr>
      <w:r>
        <w:rPr>
          <w:rFonts w:ascii="Arial" w:hAnsi="Arial"/>
          <w:b w:val="0"/>
          <w:sz w:val="20"/>
        </w:rPr>
        <w:t>1.2  Problem statement</w:t>
      </w:r>
      <w:r>
        <w:rPr>
          <w:rFonts w:ascii="Arial" w:hAnsi="Arial"/>
          <w:b w:val="0"/>
          <w:sz w:val="20"/>
        </w:rPr>
        <w:tab/>
        <w:t>7</w:t>
      </w:r>
    </w:p>
    <w:p>
      <w:pPr>
        <w:tabs>
          <w:tab w:pos="9071" w:val="right" w:leader="dot"/>
        </w:tabs>
        <w:spacing w:after="60" w:line="276" w:lineRule="auto"/>
        <w:ind w:left="340"/>
      </w:pPr>
      <w:r>
        <w:rPr>
          <w:rFonts w:ascii="Arial" w:hAnsi="Arial"/>
          <w:b w:val="0"/>
          <w:sz w:val="20"/>
        </w:rPr>
        <w:t>1.3  Why decision support rather than decision making</w:t>
      </w:r>
      <w:r>
        <w:rPr>
          <w:rFonts w:ascii="Arial" w:hAnsi="Arial"/>
          <w:b w:val="0"/>
          <w:sz w:val="20"/>
        </w:rPr>
        <w:tab/>
        <w:t>8</w:t>
      </w:r>
    </w:p>
    <w:p>
      <w:pPr>
        <w:tabs>
          <w:tab w:pos="9071" w:val="right" w:leader="dot"/>
        </w:tabs>
        <w:spacing w:after="60" w:line="276" w:lineRule="auto"/>
        <w:ind w:left="340"/>
      </w:pPr>
      <w:r>
        <w:rPr>
          <w:rFonts w:ascii="Arial" w:hAnsi="Arial"/>
          <w:b w:val="0"/>
          <w:sz w:val="20"/>
        </w:rPr>
        <w:t>1.4  Structure of this report</w:t>
      </w:r>
      <w:r>
        <w:rPr>
          <w:rFonts w:ascii="Arial" w:hAnsi="Arial"/>
          <w:b w:val="0"/>
          <w:sz w:val="20"/>
        </w:rPr>
        <w:tab/>
        <w:t>8</w:t>
      </w:r>
    </w:p>
    <w:p>
      <w:pPr>
        <w:tabs>
          <w:tab w:pos="9071" w:val="right" w:leader="dot"/>
        </w:tabs>
        <w:spacing w:after="60" w:line="276" w:lineRule="auto"/>
        <w:ind w:left="0"/>
      </w:pPr>
      <w:r>
        <w:rPr>
          <w:rFonts w:ascii="Arial" w:hAnsi="Arial"/>
          <w:b/>
          <w:sz w:val="21"/>
        </w:rPr>
        <w:t>2  Aim, Objectives and Scope</w:t>
      </w:r>
      <w:r>
        <w:rPr>
          <w:rFonts w:ascii="Arial" w:hAnsi="Arial"/>
          <w:b/>
          <w:sz w:val="21"/>
        </w:rPr>
        <w:tab/>
        <w:t>9</w:t>
      </w:r>
    </w:p>
    <w:p>
      <w:pPr>
        <w:tabs>
          <w:tab w:pos="9071" w:val="right" w:leader="dot"/>
        </w:tabs>
        <w:spacing w:after="60" w:line="276" w:lineRule="auto"/>
        <w:ind w:left="340"/>
      </w:pPr>
      <w:r>
        <w:rPr>
          <w:rFonts w:ascii="Arial" w:hAnsi="Arial"/>
          <w:b w:val="0"/>
          <w:sz w:val="20"/>
        </w:rPr>
        <w:t>2.1  Aim</w:t>
      </w:r>
      <w:r>
        <w:rPr>
          <w:rFonts w:ascii="Arial" w:hAnsi="Arial"/>
          <w:b w:val="0"/>
          <w:sz w:val="20"/>
        </w:rPr>
        <w:tab/>
        <w:t>9</w:t>
      </w:r>
    </w:p>
    <w:p>
      <w:pPr>
        <w:tabs>
          <w:tab w:pos="9071" w:val="right" w:leader="dot"/>
        </w:tabs>
        <w:spacing w:after="60" w:line="276" w:lineRule="auto"/>
        <w:ind w:left="340"/>
      </w:pPr>
      <w:r>
        <w:rPr>
          <w:rFonts w:ascii="Arial" w:hAnsi="Arial"/>
          <w:b w:val="0"/>
          <w:sz w:val="20"/>
        </w:rPr>
        <w:t>2.2  Objectives</w:t>
      </w:r>
      <w:r>
        <w:rPr>
          <w:rFonts w:ascii="Arial" w:hAnsi="Arial"/>
          <w:b w:val="0"/>
          <w:sz w:val="20"/>
        </w:rPr>
        <w:tab/>
        <w:t>9</w:t>
      </w:r>
    </w:p>
    <w:p>
      <w:pPr>
        <w:tabs>
          <w:tab w:pos="9071" w:val="right" w:leader="dot"/>
        </w:tabs>
        <w:spacing w:after="60" w:line="276" w:lineRule="auto"/>
        <w:ind w:left="340"/>
      </w:pPr>
      <w:r>
        <w:rPr>
          <w:rFonts w:ascii="Arial" w:hAnsi="Arial"/>
          <w:b w:val="0"/>
          <w:sz w:val="20"/>
        </w:rPr>
        <w:t>2.3  Scope and exclusions</w:t>
      </w:r>
      <w:r>
        <w:rPr>
          <w:rFonts w:ascii="Arial" w:hAnsi="Arial"/>
          <w:b w:val="0"/>
          <w:sz w:val="20"/>
        </w:rPr>
        <w:tab/>
        <w:t>10</w:t>
      </w:r>
    </w:p>
    <w:p>
      <w:pPr>
        <w:tabs>
          <w:tab w:pos="9071" w:val="right" w:leader="dot"/>
        </w:tabs>
        <w:spacing w:after="60" w:line="276" w:lineRule="auto"/>
        <w:ind w:left="340"/>
      </w:pPr>
      <w:r>
        <w:rPr>
          <w:rFonts w:ascii="Arial" w:hAnsi="Arial"/>
          <w:b w:val="0"/>
          <w:sz w:val="20"/>
        </w:rPr>
        <w:t>2.4  Deliverables</w:t>
      </w:r>
      <w:r>
        <w:rPr>
          <w:rFonts w:ascii="Arial" w:hAnsi="Arial"/>
          <w:b w:val="0"/>
          <w:sz w:val="20"/>
        </w:rPr>
        <w:tab/>
        <w:t>11</w:t>
      </w:r>
    </w:p>
    <w:p>
      <w:pPr>
        <w:tabs>
          <w:tab w:pos="9071" w:val="right" w:leader="dot"/>
        </w:tabs>
        <w:spacing w:after="60" w:line="276" w:lineRule="auto"/>
        <w:ind w:left="0"/>
      </w:pPr>
      <w:r>
        <w:rPr>
          <w:rFonts w:ascii="Arial" w:hAnsi="Arial"/>
          <w:b/>
          <w:sz w:val="21"/>
        </w:rPr>
        <w:t>3  Review of Existing Approaches</w:t>
      </w:r>
      <w:r>
        <w:rPr>
          <w:rFonts w:ascii="Arial" w:hAnsi="Arial"/>
          <w:b/>
          <w:sz w:val="21"/>
        </w:rPr>
        <w:tab/>
        <w:t>12</w:t>
      </w:r>
    </w:p>
    <w:p>
      <w:pPr>
        <w:tabs>
          <w:tab w:pos="9071" w:val="right" w:leader="dot"/>
        </w:tabs>
        <w:spacing w:after="60" w:line="276" w:lineRule="auto"/>
        <w:ind w:left="340"/>
      </w:pPr>
      <w:r>
        <w:rPr>
          <w:rFonts w:ascii="Arial" w:hAnsi="Arial"/>
          <w:b w:val="0"/>
          <w:sz w:val="20"/>
        </w:rPr>
        <w:t>3.1  Manual examination by a claims handler</w:t>
      </w:r>
      <w:r>
        <w:rPr>
          <w:rFonts w:ascii="Arial" w:hAnsi="Arial"/>
          <w:b w:val="0"/>
          <w:sz w:val="20"/>
        </w:rPr>
        <w:tab/>
        <w:t>12</w:t>
      </w:r>
    </w:p>
    <w:p>
      <w:pPr>
        <w:tabs>
          <w:tab w:pos="9071" w:val="right" w:leader="dot"/>
        </w:tabs>
        <w:spacing w:after="60" w:line="276" w:lineRule="auto"/>
        <w:ind w:left="340"/>
      </w:pPr>
      <w:r>
        <w:rPr>
          <w:rFonts w:ascii="Arial" w:hAnsi="Arial"/>
          <w:b w:val="0"/>
          <w:sz w:val="20"/>
        </w:rPr>
        <w:t>3.2  Rule-only claim management systems</w:t>
      </w:r>
      <w:r>
        <w:rPr>
          <w:rFonts w:ascii="Arial" w:hAnsi="Arial"/>
          <w:b w:val="0"/>
          <w:sz w:val="20"/>
        </w:rPr>
        <w:tab/>
        <w:t>12</w:t>
      </w:r>
    </w:p>
    <w:p>
      <w:pPr>
        <w:tabs>
          <w:tab w:pos="9071" w:val="right" w:leader="dot"/>
        </w:tabs>
        <w:spacing w:after="60" w:line="276" w:lineRule="auto"/>
        <w:ind w:left="340"/>
      </w:pPr>
      <w:r>
        <w:rPr>
          <w:rFonts w:ascii="Arial" w:hAnsi="Arial"/>
          <w:b w:val="0"/>
          <w:sz w:val="20"/>
        </w:rPr>
        <w:t>3.3  Statistical fraud scoring on claim metadata</w:t>
      </w:r>
      <w:r>
        <w:rPr>
          <w:rFonts w:ascii="Arial" w:hAnsi="Arial"/>
          <w:b w:val="0"/>
          <w:sz w:val="20"/>
        </w:rPr>
        <w:tab/>
        <w:t>12</w:t>
      </w:r>
    </w:p>
    <w:p>
      <w:pPr>
        <w:tabs>
          <w:tab w:pos="9071" w:val="right" w:leader="dot"/>
        </w:tabs>
        <w:spacing w:after="60" w:line="276" w:lineRule="auto"/>
        <w:ind w:left="340"/>
      </w:pPr>
      <w:r>
        <w:rPr>
          <w:rFonts w:ascii="Arial" w:hAnsi="Arial"/>
          <w:b w:val="0"/>
          <w:sz w:val="20"/>
        </w:rPr>
        <w:t>3.4  Standalone image-forensics research tools</w:t>
      </w:r>
      <w:r>
        <w:rPr>
          <w:rFonts w:ascii="Arial" w:hAnsi="Arial"/>
          <w:b w:val="0"/>
          <w:sz w:val="20"/>
        </w:rPr>
        <w:tab/>
        <w:t>13</w:t>
      </w:r>
    </w:p>
    <w:p>
      <w:pPr>
        <w:tabs>
          <w:tab w:pos="9071" w:val="right" w:leader="dot"/>
        </w:tabs>
        <w:spacing w:after="60" w:line="276" w:lineRule="auto"/>
        <w:ind w:left="340"/>
      </w:pPr>
      <w:r>
        <w:rPr>
          <w:rFonts w:ascii="Arial" w:hAnsi="Arial"/>
          <w:b w:val="0"/>
          <w:sz w:val="20"/>
        </w:rPr>
        <w:t>3.5  Commercial document-verification services</w:t>
      </w:r>
      <w:r>
        <w:rPr>
          <w:rFonts w:ascii="Arial" w:hAnsi="Arial"/>
          <w:b w:val="0"/>
          <w:sz w:val="20"/>
        </w:rPr>
        <w:tab/>
        <w:t>13</w:t>
      </w:r>
    </w:p>
    <w:p>
      <w:pPr>
        <w:tabs>
          <w:tab w:pos="9071" w:val="right" w:leader="dot"/>
        </w:tabs>
        <w:spacing w:after="60" w:line="276" w:lineRule="auto"/>
        <w:ind w:left="340"/>
      </w:pPr>
      <w:r>
        <w:rPr>
          <w:rFonts w:ascii="Arial" w:hAnsi="Arial"/>
          <w:b w:val="0"/>
          <w:sz w:val="20"/>
        </w:rPr>
        <w:t>3.6  Gap analysis</w:t>
      </w:r>
      <w:r>
        <w:rPr>
          <w:rFonts w:ascii="Arial" w:hAnsi="Arial"/>
          <w:b w:val="0"/>
          <w:sz w:val="20"/>
        </w:rPr>
        <w:tab/>
        <w:t>13</w:t>
      </w:r>
    </w:p>
    <w:p>
      <w:pPr>
        <w:tabs>
          <w:tab w:pos="9071" w:val="right" w:leader="dot"/>
        </w:tabs>
        <w:spacing w:after="60" w:line="276" w:lineRule="auto"/>
        <w:ind w:left="0"/>
      </w:pPr>
      <w:r>
        <w:rPr>
          <w:rFonts w:ascii="Arial" w:hAnsi="Arial"/>
          <w:b/>
          <w:sz w:val="21"/>
        </w:rPr>
        <w:t>4  Methodology</w:t>
      </w:r>
      <w:r>
        <w:rPr>
          <w:rFonts w:ascii="Arial" w:hAnsi="Arial"/>
          <w:b/>
          <w:sz w:val="21"/>
        </w:rPr>
        <w:tab/>
        <w:t>15</w:t>
      </w:r>
    </w:p>
    <w:p>
      <w:pPr>
        <w:tabs>
          <w:tab w:pos="9071" w:val="right" w:leader="dot"/>
        </w:tabs>
        <w:spacing w:after="60" w:line="276" w:lineRule="auto"/>
        <w:ind w:left="340"/>
      </w:pPr>
      <w:r>
        <w:rPr>
          <w:rFonts w:ascii="Arial" w:hAnsi="Arial"/>
          <w:b w:val="0"/>
          <w:sz w:val="20"/>
        </w:rPr>
        <w:t>4.1  Development approach</w:t>
      </w:r>
      <w:r>
        <w:rPr>
          <w:rFonts w:ascii="Arial" w:hAnsi="Arial"/>
          <w:b w:val="0"/>
          <w:sz w:val="20"/>
        </w:rPr>
        <w:tab/>
        <w:t>15</w:t>
      </w:r>
    </w:p>
    <w:p>
      <w:pPr>
        <w:tabs>
          <w:tab w:pos="9071" w:val="right" w:leader="dot"/>
        </w:tabs>
        <w:spacing w:after="60" w:line="276" w:lineRule="auto"/>
        <w:ind w:left="340"/>
      </w:pPr>
      <w:r>
        <w:rPr>
          <w:rFonts w:ascii="Arial" w:hAnsi="Arial"/>
          <w:b w:val="0"/>
          <w:sz w:val="20"/>
        </w:rPr>
        <w:t>4.2  Design principles</w:t>
      </w:r>
      <w:r>
        <w:rPr>
          <w:rFonts w:ascii="Arial" w:hAnsi="Arial"/>
          <w:b w:val="0"/>
          <w:sz w:val="20"/>
        </w:rPr>
        <w:tab/>
        <w:t>15</w:t>
      </w:r>
    </w:p>
    <w:p>
      <w:pPr>
        <w:tabs>
          <w:tab w:pos="9071" w:val="right" w:leader="dot"/>
        </w:tabs>
        <w:spacing w:after="60" w:line="276" w:lineRule="auto"/>
        <w:ind w:left="340"/>
      </w:pPr>
      <w:r>
        <w:rPr>
          <w:rFonts w:ascii="Arial" w:hAnsi="Arial"/>
          <w:b w:val="0"/>
          <w:sz w:val="20"/>
        </w:rPr>
        <w:t>4.3  The provider-interface strategy</w:t>
      </w:r>
      <w:r>
        <w:rPr>
          <w:rFonts w:ascii="Arial" w:hAnsi="Arial"/>
          <w:b w:val="0"/>
          <w:sz w:val="20"/>
        </w:rPr>
        <w:tab/>
        <w:t>16</w:t>
      </w:r>
    </w:p>
    <w:p>
      <w:pPr>
        <w:tabs>
          <w:tab w:pos="9071" w:val="right" w:leader="dot"/>
        </w:tabs>
        <w:spacing w:after="60" w:line="276" w:lineRule="auto"/>
        <w:ind w:left="340"/>
      </w:pPr>
      <w:r>
        <w:rPr>
          <w:rFonts w:ascii="Arial" w:hAnsi="Arial"/>
          <w:b w:val="0"/>
          <w:sz w:val="20"/>
        </w:rPr>
        <w:t>4.4  A generated, deterministic evaluation corpus</w:t>
      </w:r>
      <w:r>
        <w:rPr>
          <w:rFonts w:ascii="Arial" w:hAnsi="Arial"/>
          <w:b w:val="0"/>
          <w:sz w:val="20"/>
        </w:rPr>
        <w:tab/>
        <w:t>16</w:t>
      </w:r>
    </w:p>
    <w:p>
      <w:pPr>
        <w:tabs>
          <w:tab w:pos="9071" w:val="right" w:leader="dot"/>
        </w:tabs>
        <w:spacing w:after="60" w:line="276" w:lineRule="auto"/>
        <w:ind w:left="340"/>
      </w:pPr>
      <w:r>
        <w:rPr>
          <w:rFonts w:ascii="Arial" w:hAnsi="Arial"/>
          <w:b w:val="0"/>
          <w:sz w:val="20"/>
        </w:rPr>
        <w:t>4.5  Technology selection</w:t>
      </w:r>
      <w:r>
        <w:rPr>
          <w:rFonts w:ascii="Arial" w:hAnsi="Arial"/>
          <w:b w:val="0"/>
          <w:sz w:val="20"/>
        </w:rPr>
        <w:tab/>
        <w:t>17</w:t>
      </w:r>
    </w:p>
    <w:p>
      <w:pPr>
        <w:tabs>
          <w:tab w:pos="9071" w:val="right" w:leader="dot"/>
        </w:tabs>
        <w:spacing w:after="60" w:line="276" w:lineRule="auto"/>
        <w:ind w:left="0"/>
      </w:pPr>
      <w:r>
        <w:rPr>
          <w:rFonts w:ascii="Arial" w:hAnsi="Arial"/>
          <w:b/>
          <w:sz w:val="21"/>
        </w:rPr>
        <w:t>5  System Design and Architecture</w:t>
      </w:r>
      <w:r>
        <w:rPr>
          <w:rFonts w:ascii="Arial" w:hAnsi="Arial"/>
          <w:b/>
          <w:sz w:val="21"/>
        </w:rPr>
        <w:tab/>
        <w:t>19</w:t>
      </w:r>
    </w:p>
    <w:p>
      <w:pPr>
        <w:tabs>
          <w:tab w:pos="9071" w:val="right" w:leader="dot"/>
        </w:tabs>
        <w:spacing w:after="60" w:line="276" w:lineRule="auto"/>
        <w:ind w:left="340"/>
      </w:pPr>
      <w:r>
        <w:rPr>
          <w:rFonts w:ascii="Arial" w:hAnsi="Arial"/>
          <w:b w:val="0"/>
          <w:sz w:val="20"/>
        </w:rPr>
        <w:t>5.1  Overall architecture</w:t>
      </w:r>
      <w:r>
        <w:rPr>
          <w:rFonts w:ascii="Arial" w:hAnsi="Arial"/>
          <w:b w:val="0"/>
          <w:sz w:val="20"/>
        </w:rPr>
        <w:tab/>
        <w:t>19</w:t>
      </w:r>
    </w:p>
    <w:p>
      <w:pPr>
        <w:tabs>
          <w:tab w:pos="9071" w:val="right" w:leader="dot"/>
        </w:tabs>
        <w:spacing w:after="60" w:line="276" w:lineRule="auto"/>
        <w:ind w:left="340"/>
      </w:pPr>
      <w:r>
        <w:rPr>
          <w:rFonts w:ascii="Arial" w:hAnsi="Arial"/>
          <w:b w:val="0"/>
          <w:sz w:val="20"/>
        </w:rPr>
        <w:t>5.2  Component decomposition</w:t>
      </w:r>
      <w:r>
        <w:rPr>
          <w:rFonts w:ascii="Arial" w:hAnsi="Arial"/>
          <w:b w:val="0"/>
          <w:sz w:val="20"/>
        </w:rPr>
        <w:tab/>
        <w:t>19</w:t>
      </w:r>
    </w:p>
    <w:p>
      <w:pPr>
        <w:tabs>
          <w:tab w:pos="9071" w:val="right" w:leader="dot"/>
        </w:tabs>
        <w:spacing w:after="60" w:line="276" w:lineRule="auto"/>
        <w:ind w:left="340"/>
      </w:pPr>
      <w:r>
        <w:rPr>
          <w:rFonts w:ascii="Arial" w:hAnsi="Arial"/>
          <w:b w:val="0"/>
          <w:sz w:val="20"/>
        </w:rPr>
        <w:t>5.3  Data model</w:t>
      </w:r>
      <w:r>
        <w:rPr>
          <w:rFonts w:ascii="Arial" w:hAnsi="Arial"/>
          <w:b w:val="0"/>
          <w:sz w:val="20"/>
        </w:rPr>
        <w:tab/>
        <w:t>20</w:t>
      </w:r>
    </w:p>
    <w:p>
      <w:pPr>
        <w:tabs>
          <w:tab w:pos="9071" w:val="right" w:leader="dot"/>
        </w:tabs>
        <w:spacing w:after="60" w:line="276" w:lineRule="auto"/>
        <w:ind w:left="340"/>
      </w:pPr>
      <w:r>
        <w:rPr>
          <w:rFonts w:ascii="Arial" w:hAnsi="Arial"/>
          <w:b w:val="0"/>
          <w:sz w:val="20"/>
        </w:rPr>
        <w:t>5.4  The analysis pipeline</w:t>
      </w:r>
      <w:r>
        <w:rPr>
          <w:rFonts w:ascii="Arial" w:hAnsi="Arial"/>
          <w:b w:val="0"/>
          <w:sz w:val="20"/>
        </w:rPr>
        <w:tab/>
        <w:t>21</w:t>
      </w:r>
    </w:p>
    <w:p>
      <w:pPr>
        <w:tabs>
          <w:tab w:pos="9071" w:val="right" w:leader="dot"/>
        </w:tabs>
        <w:spacing w:after="60" w:line="276" w:lineRule="auto"/>
        <w:ind w:left="340"/>
      </w:pPr>
      <w:r>
        <w:rPr>
          <w:rFonts w:ascii="Arial" w:hAnsi="Arial"/>
          <w:b w:val="0"/>
          <w:sz w:val="20"/>
        </w:rPr>
        <w:t>5.5  The risk model</w:t>
      </w:r>
      <w:r>
        <w:rPr>
          <w:rFonts w:ascii="Arial" w:hAnsi="Arial"/>
          <w:b w:val="0"/>
          <w:sz w:val="20"/>
        </w:rPr>
        <w:tab/>
        <w:t>23</w:t>
      </w:r>
    </w:p>
    <w:p>
      <w:pPr>
        <w:tabs>
          <w:tab w:pos="9071" w:val="right" w:leader="dot"/>
        </w:tabs>
        <w:spacing w:after="60" w:line="276" w:lineRule="auto"/>
        <w:ind w:left="340"/>
      </w:pPr>
      <w:r>
        <w:rPr>
          <w:rFonts w:ascii="Arial" w:hAnsi="Arial"/>
          <w:b w:val="0"/>
          <w:sz w:val="20"/>
        </w:rPr>
        <w:t>5.6  Security architecture</w:t>
      </w:r>
      <w:r>
        <w:rPr>
          <w:rFonts w:ascii="Arial" w:hAnsi="Arial"/>
          <w:b w:val="0"/>
          <w:sz w:val="20"/>
        </w:rPr>
        <w:tab/>
        <w:t>25</w:t>
      </w:r>
    </w:p>
    <w:p>
      <w:pPr>
        <w:tabs>
          <w:tab w:pos="9071" w:val="right" w:leader="dot"/>
        </w:tabs>
        <w:spacing w:after="60" w:line="276" w:lineRule="auto"/>
        <w:ind w:left="340"/>
      </w:pPr>
      <w:r>
        <w:rPr>
          <w:rFonts w:ascii="Arial" w:hAnsi="Arial"/>
          <w:b w:val="0"/>
          <w:sz w:val="20"/>
        </w:rPr>
        <w:t>5.7  Console architecture</w:t>
      </w:r>
      <w:r>
        <w:rPr>
          <w:rFonts w:ascii="Arial" w:hAnsi="Arial"/>
          <w:b w:val="0"/>
          <w:sz w:val="20"/>
        </w:rPr>
        <w:tab/>
        <w:t>26</w:t>
      </w:r>
    </w:p>
    <w:p>
      <w:pPr>
        <w:tabs>
          <w:tab w:pos="9071" w:val="right" w:leader="dot"/>
        </w:tabs>
        <w:spacing w:after="60" w:line="276" w:lineRule="auto"/>
        <w:ind w:left="340"/>
      </w:pPr>
      <w:r>
        <w:rPr>
          <w:rFonts w:ascii="Arial" w:hAnsi="Arial"/>
          <w:b w:val="0"/>
          <w:sz w:val="20"/>
        </w:rPr>
        <w:t>5.8  Deployment architecture</w:t>
      </w:r>
      <w:r>
        <w:rPr>
          <w:rFonts w:ascii="Arial" w:hAnsi="Arial"/>
          <w:b w:val="0"/>
          <w:sz w:val="20"/>
        </w:rPr>
        <w:tab/>
        <w:t>27</w:t>
      </w:r>
    </w:p>
    <w:p>
      <w:pPr>
        <w:tabs>
          <w:tab w:pos="9071" w:val="right" w:leader="dot"/>
        </w:tabs>
        <w:spacing w:after="60" w:line="276" w:lineRule="auto"/>
        <w:ind w:left="0"/>
      </w:pPr>
      <w:r>
        <w:rPr>
          <w:rFonts w:ascii="Arial" w:hAnsi="Arial"/>
          <w:b/>
          <w:sz w:val="21"/>
        </w:rPr>
        <w:t>6  Implementation</w:t>
      </w:r>
      <w:r>
        <w:rPr>
          <w:rFonts w:ascii="Arial" w:hAnsi="Arial"/>
          <w:b/>
          <w:sz w:val="21"/>
        </w:rPr>
        <w:tab/>
        <w:t>28</w:t>
      </w:r>
    </w:p>
    <w:p>
      <w:pPr>
        <w:tabs>
          <w:tab w:pos="9071" w:val="right" w:leader="dot"/>
        </w:tabs>
        <w:spacing w:after="60" w:line="276" w:lineRule="auto"/>
        <w:ind w:left="340"/>
      </w:pPr>
      <w:r>
        <w:rPr>
          <w:rFonts w:ascii="Arial" w:hAnsi="Arial"/>
          <w:b w:val="0"/>
          <w:sz w:val="20"/>
        </w:rPr>
        <w:t>6.1  Ingest and validation</w:t>
      </w:r>
      <w:r>
        <w:rPr>
          <w:rFonts w:ascii="Arial" w:hAnsi="Arial"/>
          <w:b w:val="0"/>
          <w:sz w:val="20"/>
        </w:rPr>
        <w:tab/>
        <w:t>28</w:t>
      </w:r>
    </w:p>
    <w:p>
      <w:pPr>
        <w:tabs>
          <w:tab w:pos="9071" w:val="right" w:leader="dot"/>
        </w:tabs>
        <w:spacing w:after="60" w:line="276" w:lineRule="auto"/>
        <w:ind w:left="340"/>
      </w:pPr>
      <w:r>
        <w:rPr>
          <w:rFonts w:ascii="Arial" w:hAnsi="Arial"/>
          <w:b w:val="0"/>
          <w:sz w:val="20"/>
        </w:rPr>
        <w:t>6.2  Rendering, OCR and field extraction</w:t>
      </w:r>
      <w:r>
        <w:rPr>
          <w:rFonts w:ascii="Arial" w:hAnsi="Arial"/>
          <w:b w:val="0"/>
          <w:sz w:val="20"/>
        </w:rPr>
        <w:tab/>
        <w:t>28</w:t>
      </w:r>
    </w:p>
    <w:p>
      <w:pPr>
        <w:tabs>
          <w:tab w:pos="9071" w:val="right" w:leader="dot"/>
        </w:tabs>
        <w:spacing w:after="60" w:line="276" w:lineRule="auto"/>
        <w:ind w:left="340"/>
      </w:pPr>
      <w:r>
        <w:rPr>
          <w:rFonts w:ascii="Arial" w:hAnsi="Arial"/>
          <w:b w:val="0"/>
          <w:sz w:val="20"/>
        </w:rPr>
        <w:t>6.3  Forensic detectors</w:t>
      </w:r>
      <w:r>
        <w:rPr>
          <w:rFonts w:ascii="Arial" w:hAnsi="Arial"/>
          <w:b w:val="0"/>
          <w:sz w:val="20"/>
        </w:rPr>
        <w:tab/>
        <w:t>29</w:t>
      </w:r>
    </w:p>
    <w:p>
      <w:pPr>
        <w:tabs>
          <w:tab w:pos="9071" w:val="right" w:leader="dot"/>
        </w:tabs>
        <w:spacing w:after="60" w:line="276" w:lineRule="auto"/>
        <w:ind w:left="340"/>
      </w:pPr>
      <w:r>
        <w:rPr>
          <w:rFonts w:ascii="Arial" w:hAnsi="Arial"/>
          <w:b w:val="0"/>
          <w:sz w:val="20"/>
        </w:rPr>
        <w:t>6.4  Tampering correlation</w:t>
      </w:r>
      <w:r>
        <w:rPr>
          <w:rFonts w:ascii="Arial" w:hAnsi="Arial"/>
          <w:b w:val="0"/>
          <w:sz w:val="20"/>
        </w:rPr>
        <w:tab/>
        <w:t>31</w:t>
      </w:r>
    </w:p>
    <w:p>
      <w:pPr>
        <w:tabs>
          <w:tab w:pos="9071" w:val="right" w:leader="dot"/>
        </w:tabs>
        <w:spacing w:after="60" w:line="276" w:lineRule="auto"/>
        <w:ind w:left="340"/>
      </w:pPr>
      <w:r>
        <w:rPr>
          <w:rFonts w:ascii="Arial" w:hAnsi="Arial"/>
          <w:b w:val="0"/>
          <w:sz w:val="20"/>
        </w:rPr>
        <w:t>6.5  The consistency rule engine</w:t>
      </w:r>
      <w:r>
        <w:rPr>
          <w:rFonts w:ascii="Arial" w:hAnsi="Arial"/>
          <w:b w:val="0"/>
          <w:sz w:val="20"/>
        </w:rPr>
        <w:tab/>
        <w:t>31</w:t>
      </w:r>
    </w:p>
    <w:p>
      <w:pPr>
        <w:tabs>
          <w:tab w:pos="9071" w:val="right" w:leader="dot"/>
        </w:tabs>
        <w:spacing w:after="60" w:line="276" w:lineRule="auto"/>
        <w:ind w:left="340"/>
      </w:pPr>
      <w:r>
        <w:rPr>
          <w:rFonts w:ascii="Arial" w:hAnsi="Arial"/>
          <w:b w:val="0"/>
          <w:sz w:val="20"/>
        </w:rPr>
        <w:t>6.6  Cross-document comparison</w:t>
      </w:r>
      <w:r>
        <w:rPr>
          <w:rFonts w:ascii="Arial" w:hAnsi="Arial"/>
          <w:b w:val="0"/>
          <w:sz w:val="20"/>
        </w:rPr>
        <w:tab/>
        <w:t>32</w:t>
      </w:r>
    </w:p>
    <w:p>
      <w:pPr>
        <w:tabs>
          <w:tab w:pos="9071" w:val="right" w:leader="dot"/>
        </w:tabs>
        <w:spacing w:after="60" w:line="276" w:lineRule="auto"/>
        <w:ind w:left="340"/>
      </w:pPr>
      <w:r>
        <w:rPr>
          <w:rFonts w:ascii="Arial" w:hAnsi="Arial"/>
          <w:b w:val="0"/>
          <w:sz w:val="20"/>
        </w:rPr>
        <w:t>6.7  Synthetic-media analysis</w:t>
      </w:r>
      <w:r>
        <w:rPr>
          <w:rFonts w:ascii="Arial" w:hAnsi="Arial"/>
          <w:b w:val="0"/>
          <w:sz w:val="20"/>
        </w:rPr>
        <w:tab/>
        <w:t>33</w:t>
      </w:r>
    </w:p>
    <w:p>
      <w:pPr>
        <w:tabs>
          <w:tab w:pos="9071" w:val="right" w:leader="dot"/>
        </w:tabs>
        <w:spacing w:after="60" w:line="276" w:lineRule="auto"/>
        <w:ind w:left="340"/>
      </w:pPr>
      <w:r>
        <w:rPr>
          <w:rFonts w:ascii="Arial" w:hAnsi="Arial"/>
          <w:b w:val="0"/>
          <w:sz w:val="20"/>
        </w:rPr>
        <w:t>6.8  Trusted-source verification</w:t>
      </w:r>
      <w:r>
        <w:rPr>
          <w:rFonts w:ascii="Arial" w:hAnsi="Arial"/>
          <w:b w:val="0"/>
          <w:sz w:val="20"/>
        </w:rPr>
        <w:tab/>
        <w:t>33</w:t>
      </w:r>
    </w:p>
    <w:p>
      <w:pPr>
        <w:tabs>
          <w:tab w:pos="9071" w:val="right" w:leader="dot"/>
        </w:tabs>
        <w:spacing w:after="60" w:line="276" w:lineRule="auto"/>
        <w:ind w:left="340"/>
      </w:pPr>
      <w:r>
        <w:rPr>
          <w:rFonts w:ascii="Arial" w:hAnsi="Arial"/>
          <w:b w:val="0"/>
          <w:sz w:val="20"/>
        </w:rPr>
        <w:t>6.9  The risk engine</w:t>
      </w:r>
      <w:r>
        <w:rPr>
          <w:rFonts w:ascii="Arial" w:hAnsi="Arial"/>
          <w:b w:val="0"/>
          <w:sz w:val="20"/>
        </w:rPr>
        <w:tab/>
        <w:t>34</w:t>
      </w:r>
    </w:p>
    <w:p>
      <w:pPr>
        <w:tabs>
          <w:tab w:pos="9071" w:val="right" w:leader="dot"/>
        </w:tabs>
        <w:spacing w:after="60" w:line="276" w:lineRule="auto"/>
        <w:ind w:left="340"/>
      </w:pPr>
      <w:r>
        <w:rPr>
          <w:rFonts w:ascii="Arial" w:hAnsi="Arial"/>
          <w:b w:val="0"/>
          <w:sz w:val="20"/>
        </w:rPr>
        <w:t>6.10  Evidence reporting</w:t>
      </w:r>
      <w:r>
        <w:rPr>
          <w:rFonts w:ascii="Arial" w:hAnsi="Arial"/>
          <w:b w:val="0"/>
          <w:sz w:val="20"/>
        </w:rPr>
        <w:tab/>
        <w:t>34</w:t>
      </w:r>
    </w:p>
    <w:p>
      <w:pPr>
        <w:tabs>
          <w:tab w:pos="9071" w:val="right" w:leader="dot"/>
        </w:tabs>
        <w:spacing w:after="60" w:line="276" w:lineRule="auto"/>
        <w:ind w:left="340"/>
      </w:pPr>
      <w:r>
        <w:rPr>
          <w:rFonts w:ascii="Arial" w:hAnsi="Arial"/>
          <w:b w:val="0"/>
          <w:sz w:val="20"/>
        </w:rPr>
        <w:t>6.11  The investigator console</w:t>
      </w:r>
      <w:r>
        <w:rPr>
          <w:rFonts w:ascii="Arial" w:hAnsi="Arial"/>
          <w:b w:val="0"/>
          <w:sz w:val="20"/>
        </w:rPr>
        <w:tab/>
        <w:t>35</w:t>
      </w:r>
    </w:p>
    <w:p>
      <w:pPr>
        <w:tabs>
          <w:tab w:pos="9071" w:val="right" w:leader="dot"/>
        </w:tabs>
        <w:spacing w:after="60" w:line="276" w:lineRule="auto"/>
        <w:ind w:left="340"/>
      </w:pPr>
      <w:r>
        <w:rPr>
          <w:rFonts w:ascii="Arial" w:hAnsi="Arial"/>
          <w:b w:val="0"/>
          <w:sz w:val="20"/>
        </w:rPr>
        <w:t>6.12  Interface revision</w:t>
      </w:r>
      <w:r>
        <w:rPr>
          <w:rFonts w:ascii="Arial" w:hAnsi="Arial"/>
          <w:b w:val="0"/>
          <w:sz w:val="20"/>
        </w:rPr>
        <w:tab/>
        <w:t>39</w:t>
      </w:r>
    </w:p>
    <w:p>
      <w:pPr>
        <w:tabs>
          <w:tab w:pos="9071" w:val="right" w:leader="dot"/>
        </w:tabs>
        <w:spacing w:after="60" w:line="276" w:lineRule="auto"/>
        <w:ind w:left="0"/>
      </w:pPr>
      <w:r>
        <w:rPr>
          <w:rFonts w:ascii="Arial" w:hAnsi="Arial"/>
          <w:b/>
          <w:sz w:val="21"/>
        </w:rPr>
        <w:t>7  Testing and Validation</w:t>
      </w:r>
      <w:r>
        <w:rPr>
          <w:rFonts w:ascii="Arial" w:hAnsi="Arial"/>
          <w:b/>
          <w:sz w:val="21"/>
        </w:rPr>
        <w:tab/>
        <w:t>41</w:t>
      </w:r>
    </w:p>
    <w:p>
      <w:pPr>
        <w:tabs>
          <w:tab w:pos="9071" w:val="right" w:leader="dot"/>
        </w:tabs>
        <w:spacing w:after="60" w:line="276" w:lineRule="auto"/>
        <w:ind w:left="340"/>
      </w:pPr>
      <w:r>
        <w:rPr>
          <w:rFonts w:ascii="Arial" w:hAnsi="Arial"/>
          <w:b w:val="0"/>
          <w:sz w:val="20"/>
        </w:rPr>
        <w:t>7.1  Test strategy</w:t>
      </w:r>
      <w:r>
        <w:rPr>
          <w:rFonts w:ascii="Arial" w:hAnsi="Arial"/>
          <w:b w:val="0"/>
          <w:sz w:val="20"/>
        </w:rPr>
        <w:tab/>
        <w:t>41</w:t>
      </w:r>
    </w:p>
    <w:p>
      <w:pPr>
        <w:tabs>
          <w:tab w:pos="9071" w:val="right" w:leader="dot"/>
        </w:tabs>
        <w:spacing w:after="60" w:line="276" w:lineRule="auto"/>
        <w:ind w:left="340"/>
      </w:pPr>
      <w:r>
        <w:rPr>
          <w:rFonts w:ascii="Arial" w:hAnsi="Arial"/>
          <w:b w:val="0"/>
          <w:sz w:val="20"/>
        </w:rPr>
        <w:t>7.2  Automated test suite</w:t>
      </w:r>
      <w:r>
        <w:rPr>
          <w:rFonts w:ascii="Arial" w:hAnsi="Arial"/>
          <w:b w:val="0"/>
          <w:sz w:val="20"/>
        </w:rPr>
        <w:tab/>
        <w:t>41</w:t>
      </w:r>
    </w:p>
    <w:p>
      <w:pPr>
        <w:tabs>
          <w:tab w:pos="9071" w:val="right" w:leader="dot"/>
        </w:tabs>
        <w:spacing w:after="60" w:line="276" w:lineRule="auto"/>
        <w:ind w:left="340"/>
      </w:pPr>
      <w:r>
        <w:rPr>
          <w:rFonts w:ascii="Arial" w:hAnsi="Arial"/>
          <w:b w:val="0"/>
          <w:sz w:val="20"/>
        </w:rPr>
        <w:t>7.3  Requirement walkthrough</w:t>
      </w:r>
      <w:r>
        <w:rPr>
          <w:rFonts w:ascii="Arial" w:hAnsi="Arial"/>
          <w:b w:val="0"/>
          <w:sz w:val="20"/>
        </w:rPr>
        <w:tab/>
        <w:t>43</w:t>
      </w:r>
    </w:p>
    <w:p>
      <w:pPr>
        <w:tabs>
          <w:tab w:pos="9071" w:val="right" w:leader="dot"/>
        </w:tabs>
        <w:spacing w:after="60" w:line="276" w:lineRule="auto"/>
        <w:ind w:left="340"/>
      </w:pPr>
      <w:r>
        <w:rPr>
          <w:rFonts w:ascii="Arial" w:hAnsi="Arial"/>
          <w:b w:val="0"/>
          <w:sz w:val="20"/>
        </w:rPr>
        <w:t>7.4  Accessibility validation</w:t>
      </w:r>
      <w:r>
        <w:rPr>
          <w:rFonts w:ascii="Arial" w:hAnsi="Arial"/>
          <w:b w:val="0"/>
          <w:sz w:val="20"/>
        </w:rPr>
        <w:tab/>
        <w:t>43</w:t>
      </w:r>
    </w:p>
    <w:p>
      <w:pPr>
        <w:tabs>
          <w:tab w:pos="9071" w:val="right" w:leader="dot"/>
        </w:tabs>
        <w:spacing w:after="60" w:line="276" w:lineRule="auto"/>
        <w:ind w:left="340"/>
      </w:pPr>
      <w:r>
        <w:rPr>
          <w:rFonts w:ascii="Arial" w:hAnsi="Arial"/>
          <w:b w:val="0"/>
          <w:sz w:val="20"/>
        </w:rPr>
        <w:t>7.5  Static analysis and build verification</w:t>
      </w:r>
      <w:r>
        <w:rPr>
          <w:rFonts w:ascii="Arial" w:hAnsi="Arial"/>
          <w:b w:val="0"/>
          <w:sz w:val="20"/>
        </w:rPr>
        <w:tab/>
        <w:t>43</w:t>
      </w:r>
    </w:p>
    <w:p>
      <w:pPr>
        <w:tabs>
          <w:tab w:pos="9071" w:val="right" w:leader="dot"/>
        </w:tabs>
        <w:spacing w:after="60" w:line="276" w:lineRule="auto"/>
        <w:ind w:left="0"/>
      </w:pPr>
      <w:r>
        <w:rPr>
          <w:rFonts w:ascii="Arial" w:hAnsi="Arial"/>
          <w:b/>
          <w:sz w:val="21"/>
        </w:rPr>
        <w:t>8  Results and Evaluation</w:t>
      </w:r>
      <w:r>
        <w:rPr>
          <w:rFonts w:ascii="Arial" w:hAnsi="Arial"/>
          <w:b/>
          <w:sz w:val="21"/>
        </w:rPr>
        <w:tab/>
        <w:t>44</w:t>
      </w:r>
    </w:p>
    <w:p>
      <w:pPr>
        <w:tabs>
          <w:tab w:pos="9071" w:val="right" w:leader="dot"/>
        </w:tabs>
        <w:spacing w:after="60" w:line="276" w:lineRule="auto"/>
        <w:ind w:left="340"/>
      </w:pPr>
      <w:r>
        <w:rPr>
          <w:rFonts w:ascii="Arial" w:hAnsi="Arial"/>
          <w:b w:val="0"/>
          <w:sz w:val="20"/>
        </w:rPr>
        <w:t>8.1  The evaluation corpus</w:t>
      </w:r>
      <w:r>
        <w:rPr>
          <w:rFonts w:ascii="Arial" w:hAnsi="Arial"/>
          <w:b w:val="0"/>
          <w:sz w:val="20"/>
        </w:rPr>
        <w:tab/>
        <w:t>44</w:t>
      </w:r>
    </w:p>
    <w:p>
      <w:pPr>
        <w:tabs>
          <w:tab w:pos="9071" w:val="right" w:leader="dot"/>
        </w:tabs>
        <w:spacing w:after="60" w:line="276" w:lineRule="auto"/>
        <w:ind w:left="340"/>
      </w:pPr>
      <w:r>
        <w:rPr>
          <w:rFonts w:ascii="Arial" w:hAnsi="Arial"/>
          <w:b w:val="0"/>
          <w:sz w:val="20"/>
        </w:rPr>
        <w:t>8.2  Worked example</w:t>
      </w:r>
      <w:r>
        <w:rPr>
          <w:rFonts w:ascii="Arial" w:hAnsi="Arial"/>
          <w:b w:val="0"/>
          <w:sz w:val="20"/>
        </w:rPr>
        <w:tab/>
        <w:t>44</w:t>
      </w:r>
    </w:p>
    <w:p>
      <w:pPr>
        <w:tabs>
          <w:tab w:pos="9071" w:val="right" w:leader="dot"/>
        </w:tabs>
        <w:spacing w:after="60" w:line="276" w:lineRule="auto"/>
        <w:ind w:left="340"/>
      </w:pPr>
      <w:r>
        <w:rPr>
          <w:rFonts w:ascii="Arial" w:hAnsi="Arial"/>
          <w:b w:val="0"/>
          <w:sz w:val="20"/>
        </w:rPr>
        <w:t>8.3  Behaviour on clean documents</w:t>
      </w:r>
      <w:r>
        <w:rPr>
          <w:rFonts w:ascii="Arial" w:hAnsi="Arial"/>
          <w:b w:val="0"/>
          <w:sz w:val="20"/>
        </w:rPr>
        <w:tab/>
        <w:t>45</w:t>
      </w:r>
    </w:p>
    <w:p>
      <w:pPr>
        <w:tabs>
          <w:tab w:pos="9071" w:val="right" w:leader="dot"/>
        </w:tabs>
        <w:spacing w:after="60" w:line="276" w:lineRule="auto"/>
        <w:ind w:left="340"/>
      </w:pPr>
      <w:r>
        <w:rPr>
          <w:rFonts w:ascii="Arial" w:hAnsi="Arial"/>
          <w:b w:val="0"/>
          <w:sz w:val="20"/>
        </w:rPr>
        <w:t>8.4  Evaluation against the objectives</w:t>
      </w:r>
      <w:r>
        <w:rPr>
          <w:rFonts w:ascii="Arial" w:hAnsi="Arial"/>
          <w:b w:val="0"/>
          <w:sz w:val="20"/>
        </w:rPr>
        <w:tab/>
        <w:t>46</w:t>
      </w:r>
    </w:p>
    <w:p>
      <w:pPr>
        <w:tabs>
          <w:tab w:pos="9071" w:val="right" w:leader="dot"/>
        </w:tabs>
        <w:spacing w:after="60" w:line="276" w:lineRule="auto"/>
        <w:ind w:left="340"/>
      </w:pPr>
      <w:r>
        <w:rPr>
          <w:rFonts w:ascii="Arial" w:hAnsi="Arial"/>
          <w:b w:val="0"/>
          <w:sz w:val="20"/>
        </w:rPr>
        <w:t>8.5  Operational characteristics</w:t>
      </w:r>
      <w:r>
        <w:rPr>
          <w:rFonts w:ascii="Arial" w:hAnsi="Arial"/>
          <w:b w:val="0"/>
          <w:sz w:val="20"/>
        </w:rPr>
        <w:tab/>
        <w:t>47</w:t>
      </w:r>
    </w:p>
    <w:p>
      <w:pPr>
        <w:tabs>
          <w:tab w:pos="9071" w:val="right" w:leader="dot"/>
        </w:tabs>
        <w:spacing w:after="60" w:line="276" w:lineRule="auto"/>
        <w:ind w:left="0"/>
      </w:pPr>
      <w:r>
        <w:rPr>
          <w:rFonts w:ascii="Arial" w:hAnsi="Arial"/>
          <w:b/>
          <w:sz w:val="21"/>
        </w:rPr>
        <w:t>9  Limitations, Ethical and Legal Considerations</w:t>
      </w:r>
      <w:r>
        <w:rPr>
          <w:rFonts w:ascii="Arial" w:hAnsi="Arial"/>
          <w:b/>
          <w:sz w:val="21"/>
        </w:rPr>
        <w:tab/>
        <w:t>48</w:t>
      </w:r>
    </w:p>
    <w:p>
      <w:pPr>
        <w:tabs>
          <w:tab w:pos="9071" w:val="right" w:leader="dot"/>
        </w:tabs>
        <w:spacing w:after="60" w:line="276" w:lineRule="auto"/>
        <w:ind w:left="340"/>
      </w:pPr>
      <w:r>
        <w:rPr>
          <w:rFonts w:ascii="Arial" w:hAnsi="Arial"/>
          <w:b w:val="0"/>
          <w:sz w:val="20"/>
        </w:rPr>
        <w:t>9.1  What the platform cannot establish</w:t>
      </w:r>
      <w:r>
        <w:rPr>
          <w:rFonts w:ascii="Arial" w:hAnsi="Arial"/>
          <w:b w:val="0"/>
          <w:sz w:val="20"/>
        </w:rPr>
        <w:tab/>
        <w:t>48</w:t>
      </w:r>
    </w:p>
    <w:p>
      <w:pPr>
        <w:tabs>
          <w:tab w:pos="9071" w:val="right" w:leader="dot"/>
        </w:tabs>
        <w:spacing w:after="60" w:line="276" w:lineRule="auto"/>
        <w:ind w:left="340"/>
      </w:pPr>
      <w:r>
        <w:rPr>
          <w:rFonts w:ascii="Arial" w:hAnsi="Arial"/>
          <w:b w:val="0"/>
          <w:sz w:val="20"/>
        </w:rPr>
        <w:t>9.2  Detector-level limitations</w:t>
      </w:r>
      <w:r>
        <w:rPr>
          <w:rFonts w:ascii="Arial" w:hAnsi="Arial"/>
          <w:b w:val="0"/>
          <w:sz w:val="20"/>
        </w:rPr>
        <w:tab/>
        <w:t>48</w:t>
      </w:r>
    </w:p>
    <w:p>
      <w:pPr>
        <w:tabs>
          <w:tab w:pos="9071" w:val="right" w:leader="dot"/>
        </w:tabs>
        <w:spacing w:after="60" w:line="276" w:lineRule="auto"/>
        <w:ind w:left="340"/>
      </w:pPr>
      <w:r>
        <w:rPr>
          <w:rFonts w:ascii="Arial" w:hAnsi="Arial"/>
          <w:b w:val="0"/>
          <w:sz w:val="20"/>
        </w:rPr>
        <w:t>9.3  Demonstration providers</w:t>
      </w:r>
      <w:r>
        <w:rPr>
          <w:rFonts w:ascii="Arial" w:hAnsi="Arial"/>
          <w:b w:val="0"/>
          <w:sz w:val="20"/>
        </w:rPr>
        <w:tab/>
        <w:t>49</w:t>
      </w:r>
    </w:p>
    <w:p>
      <w:pPr>
        <w:tabs>
          <w:tab w:pos="9071" w:val="right" w:leader="dot"/>
        </w:tabs>
        <w:spacing w:after="60" w:line="276" w:lineRule="auto"/>
        <w:ind w:left="340"/>
      </w:pPr>
      <w:r>
        <w:rPr>
          <w:rFonts w:ascii="Arial" w:hAnsi="Arial"/>
          <w:b w:val="0"/>
          <w:sz w:val="20"/>
        </w:rPr>
        <w:t>9.4  Personal and special-category data</w:t>
      </w:r>
      <w:r>
        <w:rPr>
          <w:rFonts w:ascii="Arial" w:hAnsi="Arial"/>
          <w:b w:val="0"/>
          <w:sz w:val="20"/>
        </w:rPr>
        <w:tab/>
        <w:t>49</w:t>
      </w:r>
    </w:p>
    <w:p>
      <w:pPr>
        <w:tabs>
          <w:tab w:pos="9071" w:val="right" w:leader="dot"/>
        </w:tabs>
        <w:spacing w:after="60" w:line="276" w:lineRule="auto"/>
        <w:ind w:left="340"/>
      </w:pPr>
      <w:r>
        <w:rPr>
          <w:rFonts w:ascii="Arial" w:hAnsi="Arial"/>
          <w:b w:val="0"/>
          <w:sz w:val="20"/>
        </w:rPr>
        <w:t>9.5  Automation bias and the human in the loop</w:t>
      </w:r>
      <w:r>
        <w:rPr>
          <w:rFonts w:ascii="Arial" w:hAnsi="Arial"/>
          <w:b w:val="0"/>
          <w:sz w:val="20"/>
        </w:rPr>
        <w:tab/>
        <w:t>49</w:t>
      </w:r>
    </w:p>
    <w:p>
      <w:pPr>
        <w:tabs>
          <w:tab w:pos="9071" w:val="right" w:leader="dot"/>
        </w:tabs>
        <w:spacing w:after="60" w:line="276" w:lineRule="auto"/>
        <w:ind w:left="340"/>
      </w:pPr>
      <w:r>
        <w:rPr>
          <w:rFonts w:ascii="Arial" w:hAnsi="Arial"/>
          <w:b w:val="0"/>
          <w:sz w:val="20"/>
        </w:rPr>
        <w:t>9.6  Accessibility</w:t>
      </w:r>
      <w:r>
        <w:rPr>
          <w:rFonts w:ascii="Arial" w:hAnsi="Arial"/>
          <w:b w:val="0"/>
          <w:sz w:val="20"/>
        </w:rPr>
        <w:tab/>
        <w:t>50</w:t>
      </w:r>
    </w:p>
    <w:p>
      <w:pPr>
        <w:tabs>
          <w:tab w:pos="9071" w:val="right" w:leader="dot"/>
        </w:tabs>
        <w:spacing w:after="60" w:line="276" w:lineRule="auto"/>
        <w:ind w:left="0"/>
      </w:pPr>
      <w:r>
        <w:rPr>
          <w:rFonts w:ascii="Arial" w:hAnsi="Arial"/>
          <w:b/>
          <w:sz w:val="21"/>
        </w:rPr>
        <w:t>10  Conclusion and Future Work</w:t>
      </w:r>
      <w:r>
        <w:rPr>
          <w:rFonts w:ascii="Arial" w:hAnsi="Arial"/>
          <w:b/>
          <w:sz w:val="21"/>
        </w:rPr>
        <w:tab/>
        <w:t>51</w:t>
      </w:r>
    </w:p>
    <w:p>
      <w:pPr>
        <w:tabs>
          <w:tab w:pos="9071" w:val="right" w:leader="dot"/>
        </w:tabs>
        <w:spacing w:after="60" w:line="276" w:lineRule="auto"/>
        <w:ind w:left="340"/>
      </w:pPr>
      <w:r>
        <w:rPr>
          <w:rFonts w:ascii="Arial" w:hAnsi="Arial"/>
          <w:b w:val="0"/>
          <w:sz w:val="20"/>
        </w:rPr>
        <w:t>10.1  Conclusion</w:t>
      </w:r>
      <w:r>
        <w:rPr>
          <w:rFonts w:ascii="Arial" w:hAnsi="Arial"/>
          <w:b w:val="0"/>
          <w:sz w:val="20"/>
        </w:rPr>
        <w:tab/>
        <w:t>51</w:t>
      </w:r>
    </w:p>
    <w:p>
      <w:pPr>
        <w:tabs>
          <w:tab w:pos="9071" w:val="right" w:leader="dot"/>
        </w:tabs>
        <w:spacing w:after="60" w:line="276" w:lineRule="auto"/>
        <w:ind w:left="340"/>
      </w:pPr>
      <w:r>
        <w:rPr>
          <w:rFonts w:ascii="Arial" w:hAnsi="Arial"/>
          <w:b w:val="0"/>
          <w:sz w:val="20"/>
        </w:rPr>
        <w:t>10.2  Future work</w:t>
      </w:r>
      <w:r>
        <w:rPr>
          <w:rFonts w:ascii="Arial" w:hAnsi="Arial"/>
          <w:b w:val="0"/>
          <w:sz w:val="20"/>
        </w:rPr>
        <w:tab/>
        <w:t>51</w:t>
      </w:r>
    </w:p>
    <w:p>
      <w:pPr>
        <w:tabs>
          <w:tab w:pos="9071" w:val="right" w:leader="dot"/>
        </w:tabs>
        <w:spacing w:after="60" w:line="276" w:lineRule="auto"/>
        <w:ind w:left="0"/>
      </w:pPr>
      <w:r>
        <w:rPr>
          <w:rFonts w:ascii="Arial" w:hAnsi="Arial"/>
          <w:b/>
          <w:sz w:val="21"/>
        </w:rPr>
        <w:t>11  References</w:t>
      </w:r>
      <w:r>
        <w:rPr>
          <w:rFonts w:ascii="Arial" w:hAnsi="Arial"/>
          <w:b/>
          <w:sz w:val="21"/>
        </w:rPr>
        <w:tab/>
        <w:t>53</w:t>
      </w:r>
    </w:p>
    <w:p>
      <w:pPr>
        <w:tabs>
          <w:tab w:pos="9071" w:val="right" w:leader="dot"/>
        </w:tabs>
        <w:spacing w:after="60" w:line="276" w:lineRule="auto"/>
        <w:ind w:left="0"/>
      </w:pPr>
      <w:r>
        <w:rPr>
          <w:rFonts w:ascii="Arial" w:hAnsi="Arial"/>
          <w:b/>
          <w:sz w:val="21"/>
        </w:rPr>
        <w:t>Appendix A  Detector Catalogue</w:t>
      </w:r>
      <w:r>
        <w:rPr>
          <w:rFonts w:ascii="Arial" w:hAnsi="Arial"/>
          <w:b/>
          <w:sz w:val="21"/>
        </w:rPr>
        <w:tab/>
        <w:t>55</w:t>
      </w:r>
    </w:p>
    <w:p>
      <w:pPr>
        <w:tabs>
          <w:tab w:pos="9071" w:val="right" w:leader="dot"/>
        </w:tabs>
        <w:spacing w:after="60" w:line="276" w:lineRule="auto"/>
        <w:ind w:left="0"/>
      </w:pPr>
      <w:r>
        <w:rPr>
          <w:rFonts w:ascii="Arial" w:hAnsi="Arial"/>
          <w:b/>
          <w:sz w:val="21"/>
        </w:rPr>
        <w:t>Appendix B  Risk Weights and Ceilings</w:t>
      </w:r>
      <w:r>
        <w:rPr>
          <w:rFonts w:ascii="Arial" w:hAnsi="Arial"/>
          <w:b/>
          <w:sz w:val="21"/>
        </w:rPr>
        <w:tab/>
        <w:t>60</w:t>
      </w:r>
    </w:p>
    <w:p>
      <w:pPr>
        <w:tabs>
          <w:tab w:pos="9071" w:val="right" w:leader="dot"/>
        </w:tabs>
        <w:spacing w:after="60" w:line="276" w:lineRule="auto"/>
        <w:ind w:left="0"/>
      </w:pPr>
      <w:r>
        <w:rPr>
          <w:rFonts w:ascii="Arial" w:hAnsi="Arial"/>
          <w:b/>
          <w:sz w:val="21"/>
        </w:rPr>
        <w:t>Appendix C  API Endpoint Reference</w:t>
      </w:r>
      <w:r>
        <w:rPr>
          <w:rFonts w:ascii="Arial" w:hAnsi="Arial"/>
          <w:b/>
          <w:sz w:val="21"/>
        </w:rPr>
        <w:tab/>
        <w:t>62</w:t>
      </w:r>
    </w:p>
    <w:p>
      <w:pPr>
        <w:tabs>
          <w:tab w:pos="9071" w:val="right" w:leader="dot"/>
        </w:tabs>
        <w:spacing w:after="60" w:line="276" w:lineRule="auto"/>
        <w:ind w:left="0"/>
      </w:pPr>
      <w:r>
        <w:rPr>
          <w:rFonts w:ascii="Arial" w:hAnsi="Arial"/>
          <w:b/>
          <w:sz w:val="21"/>
        </w:rPr>
        <w:t>Appendix D  Test Inventory</w:t>
      </w:r>
      <w:r>
        <w:rPr>
          <w:rFonts w:ascii="Arial" w:hAnsi="Arial"/>
          <w:b/>
          <w:sz w:val="21"/>
        </w:rPr>
        <w:tab/>
        <w:t>65</w:t>
      </w:r>
    </w:p>
    <w:p>
      <w:pPr>
        <w:tabs>
          <w:tab w:pos="9071" w:val="right" w:leader="dot"/>
        </w:tabs>
        <w:spacing w:after="60" w:line="276" w:lineRule="auto"/>
        <w:ind w:left="0"/>
      </w:pPr>
      <w:r>
        <w:rPr>
          <w:rFonts w:ascii="Arial" w:hAnsi="Arial"/>
          <w:b/>
          <w:sz w:val="21"/>
        </w:rPr>
        <w:t>Appendix E  Data Dictionary</w:t>
      </w:r>
      <w:r>
        <w:rPr>
          <w:rFonts w:ascii="Arial" w:hAnsi="Arial"/>
          <w:b/>
          <w:sz w:val="21"/>
        </w:rPr>
        <w:tab/>
        <w:t>67</w:t>
      </w:r>
    </w:p>
    <w:p>
      <w:pPr>
        <w:tabs>
          <w:tab w:pos="9071" w:val="right" w:leader="dot"/>
        </w:tabs>
        <w:spacing w:after="60" w:line="276" w:lineRule="auto"/>
        <w:ind w:left="0"/>
      </w:pPr>
      <w:r>
        <w:rPr>
          <w:rFonts w:ascii="Arial" w:hAnsi="Arial"/>
          <w:b/>
          <w:sz w:val="21"/>
        </w:rPr>
        <w:t>Appendix F  Configuration Reference</w:t>
      </w:r>
      <w:r>
        <w:rPr>
          <w:rFonts w:ascii="Arial" w:hAnsi="Arial"/>
          <w:b/>
          <w:sz w:val="21"/>
        </w:rPr>
        <w:tab/>
        <w:t>69</w:t>
      </w:r>
    </w:p>
    <w:p>
      <w:pPr>
        <w:tabs>
          <w:tab w:pos="9071" w:val="right" w:leader="dot"/>
        </w:tabs>
        <w:spacing w:after="60" w:line="276" w:lineRule="auto"/>
        <w:ind w:left="0"/>
      </w:pPr>
      <w:r>
        <w:rPr>
          <w:rFonts w:ascii="Arial" w:hAnsi="Arial"/>
          <w:b/>
          <w:sz w:val="21"/>
        </w:rPr>
        <w:t>Appendix G  Deployment Runbook</w:t>
      </w:r>
      <w:r>
        <w:rPr>
          <w:rFonts w:ascii="Arial" w:hAnsi="Arial"/>
          <w:b/>
          <w:sz w:val="21"/>
        </w:rPr>
        <w:tab/>
        <w:t>71</w:t>
      </w:r>
    </w:p>
    <w:p>
      <w:pPr>
        <w:tabs>
          <w:tab w:pos="9071" w:val="right" w:leader="dot"/>
        </w:tabs>
        <w:spacing w:after="60" w:line="276" w:lineRule="auto"/>
        <w:ind w:left="0"/>
      </w:pPr>
      <w:r>
        <w:rPr>
          <w:rFonts w:ascii="Arial" w:hAnsi="Arial"/>
          <w:b/>
          <w:sz w:val="21"/>
        </w:rPr>
        <w:t>Appendix H  Console Screens</w:t>
      </w:r>
      <w:r>
        <w:rPr>
          <w:rFonts w:ascii="Arial" w:hAnsi="Arial"/>
          <w:b/>
          <w:sz w:val="21"/>
        </w:rPr>
        <w:tab/>
        <w:t>73</w:t>
      </w:r>
    </w:p>
    <w:p>
      <w:r>
        <w:br w:type="page"/>
      </w:r>
    </w:p>
    <w:p>
      <w:pPr>
        <w:pStyle w:val="Heading1"/>
      </w:pPr>
      <w:r>
        <w:t>List of Figures</w:t>
      </w:r>
    </w:p>
    <w:p>
      <w:pPr>
        <w:tabs>
          <w:tab w:pos="9071" w:val="right" w:leader="dot"/>
        </w:tabs>
        <w:spacing w:after="60" w:line="276" w:lineRule="auto"/>
        <w:ind w:left="0"/>
      </w:pPr>
      <w:r>
        <w:rPr>
          <w:rFonts w:ascii="Arial" w:hAnsi="Arial"/>
          <w:b w:val="0"/>
          <w:sz w:val="20"/>
        </w:rPr>
        <w:t>Figure 1  The operations dashboard. Counters are operational rather than decorative; every chart can be switched to the table of rows behind it.</w:t>
      </w:r>
      <w:r>
        <w:rPr>
          <w:rFonts w:ascii="Arial" w:hAnsi="Arial"/>
          <w:b w:val="0"/>
          <w:sz w:val="20"/>
        </w:rPr>
        <w:tab/>
        <w:t>35</w:t>
      </w:r>
    </w:p>
    <w:p>
      <w:pPr>
        <w:tabs>
          <w:tab w:pos="9071" w:val="right" w:leader="dot"/>
        </w:tabs>
        <w:spacing w:after="60" w:line="276" w:lineRule="auto"/>
        <w:ind w:left="0"/>
      </w:pPr>
      <w:r>
        <w:rPr>
          <w:rFonts w:ascii="Arial" w:hAnsi="Arial"/>
          <w:b w:val="0"/>
          <w:sz w:val="20"/>
        </w:rPr>
        <w:t>Figure 2  The document queue. The risk band is always shown with its name and its score, never as a colour alone.</w:t>
      </w:r>
      <w:r>
        <w:rPr>
          <w:rFonts w:ascii="Arial" w:hAnsi="Arial"/>
          <w:b w:val="0"/>
          <w:sz w:val="20"/>
        </w:rPr>
        <w:tab/>
        <w:t>36</w:t>
      </w:r>
    </w:p>
    <w:p>
      <w:pPr>
        <w:tabs>
          <w:tab w:pos="9071" w:val="right" w:leader="dot"/>
        </w:tabs>
        <w:spacing w:after="60" w:line="276" w:lineRule="auto"/>
        <w:ind w:left="0"/>
      </w:pPr>
      <w:r>
        <w:rPr>
          <w:rFonts w:ascii="Arial" w:hAnsi="Arial"/>
          <w:b w:val="0"/>
          <w:sz w:val="20"/>
        </w:rPr>
        <w:t>Figure 3  The investigation workstation on a document with an edited total. The printed total of $8,500.00 is boxed on the page; the subtotal of its own line items is $6,500.00; the issuer's record and the claim form both state 6,500.00.</w:t>
      </w:r>
      <w:r>
        <w:rPr>
          <w:rFonts w:ascii="Arial" w:hAnsi="Arial"/>
          <w:b w:val="0"/>
          <w:sz w:val="20"/>
        </w:rPr>
        <w:tab/>
        <w:t>37</w:t>
      </w:r>
    </w:p>
    <w:p>
      <w:pPr>
        <w:tabs>
          <w:tab w:pos="9071" w:val="right" w:leader="dot"/>
        </w:tabs>
        <w:spacing w:after="60" w:line="276" w:lineRule="auto"/>
        <w:ind w:left="0"/>
      </w:pPr>
      <w:r>
        <w:rPr>
          <w:rFonts w:ascii="Arial" w:hAnsi="Arial"/>
          <w:b w:val="0"/>
          <w:sz w:val="20"/>
        </w:rPr>
        <w:t>Figure 4  The consistency panel. Passed and not-applicable checks are displayed alongside failures, so a clean result is evidence rather than an absence.</w:t>
      </w:r>
      <w:r>
        <w:rPr>
          <w:rFonts w:ascii="Arial" w:hAnsi="Arial"/>
          <w:b w:val="0"/>
          <w:sz w:val="20"/>
        </w:rPr>
        <w:tab/>
        <w:t>38</w:t>
      </w:r>
    </w:p>
    <w:p>
      <w:pPr>
        <w:tabs>
          <w:tab w:pos="9071" w:val="right" w:leader="dot"/>
        </w:tabs>
        <w:spacing w:after="60" w:line="276" w:lineRule="auto"/>
        <w:ind w:left="0"/>
      </w:pPr>
      <w:r>
        <w:rPr>
          <w:rFonts w:ascii="Arial" w:hAnsi="Arial"/>
          <w:b w:val="0"/>
          <w:sz w:val="20"/>
        </w:rPr>
        <w:t>Figure 5  The detection-rules screen. Thresholds are configuration held in the database, not constants in code, and every change is audited.</w:t>
      </w:r>
      <w:r>
        <w:rPr>
          <w:rFonts w:ascii="Arial" w:hAnsi="Arial"/>
          <w:b w:val="0"/>
          <w:sz w:val="20"/>
        </w:rPr>
        <w:tab/>
        <w:t>39</w:t>
      </w:r>
    </w:p>
    <w:p>
      <w:pPr>
        <w:tabs>
          <w:tab w:pos="9071" w:val="right" w:leader="dot"/>
        </w:tabs>
        <w:spacing w:after="60" w:line="276" w:lineRule="auto"/>
        <w:ind w:left="0"/>
      </w:pPr>
      <w:r>
        <w:rPr>
          <w:rFonts w:ascii="Arial" w:hAnsi="Arial"/>
          <w:b w:val="0"/>
          <w:sz w:val="20"/>
        </w:rPr>
        <w:t>Figure 6  The sign-in screen as deployed. No password is displayed or pre-filled; the demonstration panel lists role names and addresses only.</w:t>
      </w:r>
      <w:r>
        <w:rPr>
          <w:rFonts w:ascii="Arial" w:hAnsi="Arial"/>
          <w:b w:val="0"/>
          <w:sz w:val="20"/>
        </w:rPr>
        <w:tab/>
        <w:t>40</w:t>
      </w:r>
    </w:p>
    <w:p>
      <w:pPr>
        <w:tabs>
          <w:tab w:pos="9071" w:val="right" w:leader="dot"/>
        </w:tabs>
        <w:spacing w:after="60" w:line="276" w:lineRule="auto"/>
        <w:ind w:left="0"/>
      </w:pPr>
      <w:r>
        <w:rPr>
          <w:rFonts w:ascii="Arial" w:hAnsi="Arial"/>
          <w:b w:val="0"/>
          <w:sz w:val="20"/>
        </w:rPr>
        <w:t>Figure 7  The claims register. A claim is the unit of investigation: its documents are compared against each other and against the claim particulars.</w:t>
      </w:r>
      <w:r>
        <w:rPr>
          <w:rFonts w:ascii="Arial" w:hAnsi="Arial"/>
          <w:b w:val="0"/>
          <w:sz w:val="20"/>
        </w:rPr>
        <w:tab/>
        <w:t>73</w:t>
      </w:r>
    </w:p>
    <w:p>
      <w:pPr>
        <w:tabs>
          <w:tab w:pos="9071" w:val="right" w:leader="dot"/>
        </w:tabs>
        <w:spacing w:after="60" w:line="276" w:lineRule="auto"/>
        <w:ind w:left="0"/>
      </w:pPr>
      <w:r>
        <w:rPr>
          <w:rFonts w:ascii="Arial" w:hAnsi="Arial"/>
          <w:b w:val="0"/>
          <w:sz w:val="20"/>
        </w:rPr>
        <w:t>Figure 8  Open investigations with the per-investigator workload panel. A high-concern claim opens a case automatically, assigned to the least-loaded investigator.</w:t>
      </w:r>
      <w:r>
        <w:rPr>
          <w:rFonts w:ascii="Arial" w:hAnsi="Arial"/>
          <w:b w:val="0"/>
          <w:sz w:val="20"/>
        </w:rPr>
        <w:tab/>
        <w:t>74</w:t>
      </w:r>
    </w:p>
    <w:p>
      <w:pPr>
        <w:tabs>
          <w:tab w:pos="9071" w:val="right" w:leader="dot"/>
        </w:tabs>
        <w:spacing w:after="60" w:line="276" w:lineRule="auto"/>
        <w:ind w:left="0"/>
      </w:pPr>
      <w:r>
        <w:rPr>
          <w:rFonts w:ascii="Arial" w:hAnsi="Arial"/>
          <w:b w:val="0"/>
          <w:sz w:val="20"/>
        </w:rPr>
        <w:t>Figure 9  Trusted-source verification: configured providers with their mode, and the request history with outcome filters. Demonstration providers are badged.</w:t>
      </w:r>
      <w:r>
        <w:rPr>
          <w:rFonts w:ascii="Arial" w:hAnsi="Arial"/>
          <w:b w:val="0"/>
          <w:sz w:val="20"/>
        </w:rPr>
        <w:tab/>
        <w:t>74</w:t>
      </w:r>
    </w:p>
    <w:p>
      <w:pPr>
        <w:tabs>
          <w:tab w:pos="9071" w:val="right" w:leader="dot"/>
        </w:tabs>
        <w:spacing w:after="60" w:line="276" w:lineRule="auto"/>
        <w:ind w:left="0"/>
      </w:pPr>
      <w:r>
        <w:rPr>
          <w:rFonts w:ascii="Arial" w:hAnsi="Arial"/>
          <w:b w:val="0"/>
          <w:sz w:val="20"/>
        </w:rPr>
        <w:t>Figure 10  The forensics panel, showing findings, the full metadata table with anomalous rows annotated, and the raw measurements — including metrics that did not fire.</w:t>
      </w:r>
      <w:r>
        <w:rPr>
          <w:rFonts w:ascii="Arial" w:hAnsi="Arial"/>
          <w:b w:val="0"/>
          <w:sz w:val="20"/>
        </w:rPr>
        <w:tab/>
        <w:t>75</w:t>
      </w:r>
    </w:p>
    <w:p>
      <w:pPr>
        <w:tabs>
          <w:tab w:pos="9071" w:val="right" w:leader="dot"/>
        </w:tabs>
        <w:spacing w:after="60" w:line="276" w:lineRule="auto"/>
        <w:ind w:left="0"/>
      </w:pPr>
      <w:r>
        <w:rPr>
          <w:rFonts w:ascii="Arial" w:hAnsi="Arial"/>
          <w:b w:val="0"/>
          <w:sz w:val="20"/>
        </w:rPr>
        <w:t>Figure 11  System settings. Band thresholds, retention, review policy and privacy policy are configuration held in the database, editable by an administrator.</w:t>
      </w:r>
      <w:r>
        <w:rPr>
          <w:rFonts w:ascii="Arial" w:hAnsi="Arial"/>
          <w:b w:val="0"/>
          <w:sz w:val="20"/>
        </w:rPr>
        <w:tab/>
        <w:t>75</w:t>
      </w:r>
    </w:p>
    <w:p>
      <w:pPr>
        <w:tabs>
          <w:tab w:pos="9071" w:val="right" w:leader="dot"/>
        </w:tabs>
        <w:spacing w:after="60" w:line="276" w:lineRule="auto"/>
        <w:ind w:left="0"/>
      </w:pPr>
      <w:r>
        <w:rPr>
          <w:rFonts w:ascii="Arial" w:hAnsi="Arial"/>
          <w:b w:val="0"/>
          <w:sz w:val="20"/>
        </w:rPr>
        <w:t>Figure 12  Provider configuration. Each provider lists the *names* of the environment variables it requires; credential values are never stored in or displayed by the platform.</w:t>
      </w:r>
      <w:r>
        <w:rPr>
          <w:rFonts w:ascii="Arial" w:hAnsi="Arial"/>
          <w:b w:val="0"/>
          <w:sz w:val="20"/>
        </w:rPr>
        <w:tab/>
        <w:t>76</w:t>
      </w:r>
    </w:p>
    <w:p>
      <w:pPr>
        <w:tabs>
          <w:tab w:pos="9071" w:val="right" w:leader="dot"/>
        </w:tabs>
        <w:spacing w:after="60" w:line="276" w:lineRule="auto"/>
        <w:ind w:left="0"/>
      </w:pPr>
      <w:r>
        <w:rPr>
          <w:rFonts w:ascii="Arial" w:hAnsi="Arial"/>
          <w:b w:val="0"/>
          <w:sz w:val="20"/>
        </w:rPr>
        <w:t>Figure 13  The audit trail with the hash chain verified at the top of the page, showing the entry and previous hashes and the before-and-after field differences.</w:t>
      </w:r>
      <w:r>
        <w:rPr>
          <w:rFonts w:ascii="Arial" w:hAnsi="Arial"/>
          <w:b w:val="0"/>
          <w:sz w:val="20"/>
        </w:rPr>
        <w:tab/>
        <w:t>76</w:t>
      </w:r>
    </w:p>
    <w:p>
      <w:pPr>
        <w:tabs>
          <w:tab w:pos="9071" w:val="right" w:leader="dot"/>
        </w:tabs>
        <w:spacing w:after="60" w:line="276" w:lineRule="auto"/>
        <w:ind w:left="0"/>
      </w:pPr>
      <w:r>
        <w:rPr>
          <w:rFonts w:ascii="Arial" w:hAnsi="Arial"/>
          <w:b w:val="0"/>
          <w:sz w:val="20"/>
        </w:rPr>
        <w:t>Figure 14  The report register. Each report records its own SHA-256 and the SHA-256 of the document it describes, together with the pipeline and rules versions in force.</w:t>
      </w:r>
      <w:r>
        <w:rPr>
          <w:rFonts w:ascii="Arial" w:hAnsi="Arial"/>
          <w:b w:val="0"/>
          <w:sz w:val="20"/>
        </w:rPr>
        <w:tab/>
        <w:t>77</w:t>
      </w:r>
    </w:p>
    <w:p/>
    <w:p>
      <w:pPr>
        <w:pStyle w:val="Heading1"/>
      </w:pPr>
      <w:r>
        <w:t>List of Tables</w:t>
      </w:r>
    </w:p>
    <w:p>
      <w:pPr>
        <w:tabs>
          <w:tab w:pos="9071" w:val="right" w:leader="dot"/>
        </w:tabs>
        <w:spacing w:after="60" w:line="276" w:lineRule="auto"/>
        <w:ind w:left="0"/>
      </w:pPr>
      <w:r>
        <w:rPr>
          <w:rFonts w:ascii="Arial" w:hAnsi="Arial"/>
          <w:b w:val="0"/>
          <w:sz w:val="20"/>
        </w:rPr>
        <w:t>Table 1  Project objectives and the sections in which each is addressed.</w:t>
      </w:r>
      <w:r>
        <w:rPr>
          <w:rFonts w:ascii="Arial" w:hAnsi="Arial"/>
          <w:b w:val="0"/>
          <w:sz w:val="20"/>
        </w:rPr>
        <w:tab/>
        <w:t>9</w:t>
      </w:r>
    </w:p>
    <w:p>
      <w:pPr>
        <w:tabs>
          <w:tab w:pos="9071" w:val="right" w:leader="dot"/>
        </w:tabs>
        <w:spacing w:after="60" w:line="276" w:lineRule="auto"/>
        <w:ind w:left="0"/>
      </w:pPr>
      <w:r>
        <w:rPr>
          <w:rFonts w:ascii="Arial" w:hAnsi="Arial"/>
          <w:b w:val="0"/>
          <w:sz w:val="20"/>
        </w:rPr>
        <w:t>Table 2  Project deliverables as submitted.</w:t>
      </w:r>
      <w:r>
        <w:rPr>
          <w:rFonts w:ascii="Arial" w:hAnsi="Arial"/>
          <w:b w:val="0"/>
          <w:sz w:val="20"/>
        </w:rPr>
        <w:tab/>
        <w:t>11</w:t>
      </w:r>
    </w:p>
    <w:p>
      <w:pPr>
        <w:tabs>
          <w:tab w:pos="9071" w:val="right" w:leader="dot"/>
        </w:tabs>
        <w:spacing w:after="60" w:line="276" w:lineRule="auto"/>
        <w:ind w:left="0"/>
      </w:pPr>
      <w:r>
        <w:rPr>
          <w:rFonts w:ascii="Arial" w:hAnsi="Arial"/>
          <w:b w:val="0"/>
          <w:sz w:val="20"/>
        </w:rPr>
        <w:t>Table 3  Capability comparison. ● full, ◐ partial, ○ absent.</w:t>
      </w:r>
      <w:r>
        <w:rPr>
          <w:rFonts w:ascii="Arial" w:hAnsi="Arial"/>
          <w:b w:val="0"/>
          <w:sz w:val="20"/>
        </w:rPr>
        <w:tab/>
        <w:t>13</w:t>
      </w:r>
    </w:p>
    <w:p>
      <w:pPr>
        <w:tabs>
          <w:tab w:pos="9071" w:val="right" w:leader="dot"/>
        </w:tabs>
        <w:spacing w:after="60" w:line="276" w:lineRule="auto"/>
        <w:ind w:left="0"/>
      </w:pPr>
      <w:r>
        <w:rPr>
          <w:rFonts w:ascii="Arial" w:hAnsi="Arial"/>
          <w:b w:val="0"/>
          <w:sz w:val="20"/>
        </w:rPr>
        <w:t>Table 4  Design principles and the mechanisms that enforce them.</w:t>
      </w:r>
      <w:r>
        <w:rPr>
          <w:rFonts w:ascii="Arial" w:hAnsi="Arial"/>
          <w:b w:val="0"/>
          <w:sz w:val="20"/>
        </w:rPr>
        <w:tab/>
        <w:t>15</w:t>
      </w:r>
    </w:p>
    <w:p>
      <w:pPr>
        <w:tabs>
          <w:tab w:pos="9071" w:val="right" w:leader="dot"/>
        </w:tabs>
        <w:spacing w:after="60" w:line="276" w:lineRule="auto"/>
        <w:ind w:left="0"/>
      </w:pPr>
      <w:r>
        <w:rPr>
          <w:rFonts w:ascii="Arial" w:hAnsi="Arial"/>
          <w:b w:val="0"/>
          <w:sz w:val="20"/>
        </w:rPr>
        <w:t>Table 5  Principal technology choices and their justification.</w:t>
      </w:r>
      <w:r>
        <w:rPr>
          <w:rFonts w:ascii="Arial" w:hAnsi="Arial"/>
          <w:b w:val="0"/>
          <w:sz w:val="20"/>
        </w:rPr>
        <w:tab/>
        <w:t>17</w:t>
      </w:r>
    </w:p>
    <w:p>
      <w:pPr>
        <w:tabs>
          <w:tab w:pos="9071" w:val="right" w:leader="dot"/>
        </w:tabs>
        <w:spacing w:after="60" w:line="276" w:lineRule="auto"/>
        <w:ind w:left="0"/>
      </w:pPr>
      <w:r>
        <w:rPr>
          <w:rFonts w:ascii="Arial" w:hAnsi="Arial"/>
          <w:b w:val="0"/>
          <w:sz w:val="20"/>
        </w:rPr>
        <w:t>Table 6  Principal backend packages and their responsibilities.</w:t>
      </w:r>
      <w:r>
        <w:rPr>
          <w:rFonts w:ascii="Arial" w:hAnsi="Arial"/>
          <w:b w:val="0"/>
          <w:sz w:val="20"/>
        </w:rPr>
        <w:tab/>
        <w:t>19</w:t>
      </w:r>
    </w:p>
    <w:p>
      <w:pPr>
        <w:tabs>
          <w:tab w:pos="9071" w:val="right" w:leader="dot"/>
        </w:tabs>
        <w:spacing w:after="60" w:line="276" w:lineRule="auto"/>
        <w:ind w:left="0"/>
      </w:pPr>
      <w:r>
        <w:rPr>
          <w:rFonts w:ascii="Arial" w:hAnsi="Arial"/>
          <w:b w:val="0"/>
          <w:sz w:val="20"/>
        </w:rPr>
        <w:t>Table 7  Schema groups. The full data dictionary is Appendix E.</w:t>
      </w:r>
      <w:r>
        <w:rPr>
          <w:rFonts w:ascii="Arial" w:hAnsi="Arial"/>
          <w:b w:val="0"/>
          <w:sz w:val="20"/>
        </w:rPr>
        <w:tab/>
        <w:t>20</w:t>
      </w:r>
    </w:p>
    <w:p>
      <w:pPr>
        <w:tabs>
          <w:tab w:pos="9071" w:val="right" w:leader="dot"/>
        </w:tabs>
        <w:spacing w:after="60" w:line="276" w:lineRule="auto"/>
        <w:ind w:left="0"/>
      </w:pPr>
      <w:r>
        <w:rPr>
          <w:rFonts w:ascii="Arial" w:hAnsi="Arial"/>
          <w:b w:val="0"/>
          <w:sz w:val="20"/>
        </w:rPr>
        <w:t>Table 8  The fourteen pipeline stages in execution order.</w:t>
      </w:r>
      <w:r>
        <w:rPr>
          <w:rFonts w:ascii="Arial" w:hAnsi="Arial"/>
          <w:b w:val="0"/>
          <w:sz w:val="20"/>
        </w:rPr>
        <w:tab/>
        <w:t>21</w:t>
      </w:r>
    </w:p>
    <w:p>
      <w:pPr>
        <w:tabs>
          <w:tab w:pos="9071" w:val="right" w:leader="dot"/>
        </w:tabs>
        <w:spacing w:after="60" w:line="276" w:lineRule="auto"/>
        <w:ind w:left="0"/>
      </w:pPr>
      <w:r>
        <w:rPr>
          <w:rFonts w:ascii="Arial" w:hAnsi="Arial"/>
          <w:b w:val="0"/>
          <w:sz w:val="20"/>
        </w:rPr>
        <w:t>Table 9  Per-category ceilings, and the reasoning for their ordering.</w:t>
      </w:r>
      <w:r>
        <w:rPr>
          <w:rFonts w:ascii="Arial" w:hAnsi="Arial"/>
          <w:b w:val="0"/>
          <w:sz w:val="20"/>
        </w:rPr>
        <w:tab/>
        <w:t>24</w:t>
      </w:r>
    </w:p>
    <w:p>
      <w:pPr>
        <w:tabs>
          <w:tab w:pos="9071" w:val="right" w:leader="dot"/>
        </w:tabs>
        <w:spacing w:after="60" w:line="276" w:lineRule="auto"/>
        <w:ind w:left="0"/>
      </w:pPr>
      <w:r>
        <w:rPr>
          <w:rFonts w:ascii="Arial" w:hAnsi="Arial"/>
          <w:b w:val="0"/>
          <w:sz w:val="20"/>
        </w:rPr>
        <w:t>Table 10  Threats and the controls that address them.</w:t>
      </w:r>
      <w:r>
        <w:rPr>
          <w:rFonts w:ascii="Arial" w:hAnsi="Arial"/>
          <w:b w:val="0"/>
          <w:sz w:val="20"/>
        </w:rPr>
        <w:tab/>
        <w:t>25</w:t>
      </w:r>
    </w:p>
    <w:p>
      <w:pPr>
        <w:tabs>
          <w:tab w:pos="9071" w:val="right" w:leader="dot"/>
        </w:tabs>
        <w:spacing w:after="60" w:line="276" w:lineRule="auto"/>
        <w:ind w:left="0"/>
      </w:pPr>
      <w:r>
        <w:rPr>
          <w:rFonts w:ascii="Arial" w:hAnsi="Arial"/>
          <w:b w:val="0"/>
          <w:sz w:val="20"/>
        </w:rPr>
        <w:t>Table 11  Role capabilities. The full permission matrix is enforced server-side on every endpoint.</w:t>
      </w:r>
      <w:r>
        <w:rPr>
          <w:rFonts w:ascii="Arial" w:hAnsi="Arial"/>
          <w:b w:val="0"/>
          <w:sz w:val="20"/>
        </w:rPr>
        <w:tab/>
        <w:t>26</w:t>
      </w:r>
    </w:p>
    <w:p>
      <w:pPr>
        <w:tabs>
          <w:tab w:pos="9071" w:val="right" w:leader="dot"/>
        </w:tabs>
        <w:spacing w:after="60" w:line="276" w:lineRule="auto"/>
        <w:ind w:left="0"/>
      </w:pPr>
      <w:r>
        <w:rPr>
          <w:rFonts w:ascii="Arial" w:hAnsi="Arial"/>
          <w:b w:val="0"/>
          <w:sz w:val="20"/>
        </w:rPr>
        <w:t>Table 12  Production services, networks and exposure.</w:t>
      </w:r>
      <w:r>
        <w:rPr>
          <w:rFonts w:ascii="Arial" w:hAnsi="Arial"/>
          <w:b w:val="0"/>
          <w:sz w:val="20"/>
        </w:rPr>
        <w:tab/>
        <w:t>27</w:t>
      </w:r>
    </w:p>
    <w:p>
      <w:pPr>
        <w:tabs>
          <w:tab w:pos="9071" w:val="right" w:leader="dot"/>
        </w:tabs>
        <w:spacing w:after="60" w:line="276" w:lineRule="auto"/>
        <w:ind w:left="0"/>
      </w:pPr>
      <w:r>
        <w:rPr>
          <w:rFonts w:ascii="Arial" w:hAnsi="Arial"/>
          <w:b w:val="0"/>
          <w:sz w:val="20"/>
        </w:rPr>
        <w:t>Table 13  The twenty consistency rules by family. Severities and weights are the seeded defaults.</w:t>
      </w:r>
      <w:r>
        <w:rPr>
          <w:rFonts w:ascii="Arial" w:hAnsi="Arial"/>
          <w:b w:val="0"/>
          <w:sz w:val="20"/>
        </w:rPr>
        <w:tab/>
        <w:t>31</w:t>
      </w:r>
    </w:p>
    <w:p>
      <w:pPr>
        <w:tabs>
          <w:tab w:pos="9071" w:val="right" w:leader="dot"/>
        </w:tabs>
        <w:spacing w:after="60" w:line="276" w:lineRule="auto"/>
        <w:ind w:left="0"/>
      </w:pPr>
      <w:r>
        <w:rPr>
          <w:rFonts w:ascii="Arial" w:hAnsi="Arial"/>
          <w:b w:val="0"/>
          <w:sz w:val="20"/>
        </w:rPr>
        <w:t>Table 14  Pairing policies. A comparison outside its policy is recorded as skipped, with the reason.</w:t>
      </w:r>
      <w:r>
        <w:rPr>
          <w:rFonts w:ascii="Arial" w:hAnsi="Arial"/>
          <w:b w:val="0"/>
          <w:sz w:val="20"/>
        </w:rPr>
        <w:tab/>
        <w:t>32</w:t>
      </w:r>
    </w:p>
    <w:p>
      <w:pPr>
        <w:tabs>
          <w:tab w:pos="9071" w:val="right" w:leader="dot"/>
        </w:tabs>
        <w:spacing w:after="60" w:line="276" w:lineRule="auto"/>
        <w:ind w:left="0"/>
      </w:pPr>
      <w:r>
        <w:rPr>
          <w:rFonts w:ascii="Arial" w:hAnsi="Arial"/>
          <w:b w:val="0"/>
          <w:sz w:val="20"/>
        </w:rPr>
        <w:t>Table 15  Verification outcome grading.</w:t>
      </w:r>
      <w:r>
        <w:rPr>
          <w:rFonts w:ascii="Arial" w:hAnsi="Arial"/>
          <w:b w:val="0"/>
          <w:sz w:val="20"/>
        </w:rPr>
        <w:tab/>
        <w:t>33</w:t>
      </w:r>
    </w:p>
    <w:p>
      <w:pPr>
        <w:tabs>
          <w:tab w:pos="9071" w:val="right" w:leader="dot"/>
        </w:tabs>
        <w:spacing w:after="60" w:line="276" w:lineRule="auto"/>
        <w:ind w:left="0"/>
      </w:pPr>
      <w:r>
        <w:rPr>
          <w:rFonts w:ascii="Arial" w:hAnsi="Arial"/>
          <w:b w:val="0"/>
          <w:sz w:val="20"/>
        </w:rPr>
        <w:t>Table 16  Test suite composition and coverage areas. Appendix D lists the assertions per file.</w:t>
      </w:r>
      <w:r>
        <w:rPr>
          <w:rFonts w:ascii="Arial" w:hAnsi="Arial"/>
          <w:b w:val="0"/>
          <w:sz w:val="20"/>
        </w:rPr>
        <w:tab/>
        <w:t>41</w:t>
      </w:r>
    </w:p>
    <w:p>
      <w:pPr>
        <w:tabs>
          <w:tab w:pos="9071" w:val="right" w:leader="dot"/>
        </w:tabs>
        <w:spacing w:after="60" w:line="276" w:lineRule="auto"/>
        <w:ind w:left="0"/>
      </w:pPr>
      <w:r>
        <w:rPr>
          <w:rFonts w:ascii="Arial" w:hAnsi="Arial"/>
          <w:b w:val="0"/>
          <w:sz w:val="20"/>
        </w:rPr>
        <w:t>Table 17  Evaluation scenarios and the evidence the platform recovers from each.</w:t>
      </w:r>
      <w:r>
        <w:rPr>
          <w:rFonts w:ascii="Arial" w:hAnsi="Arial"/>
          <w:b w:val="0"/>
          <w:sz w:val="20"/>
        </w:rPr>
        <w:tab/>
        <w:t>44</w:t>
      </w:r>
    </w:p>
    <w:p>
      <w:pPr>
        <w:tabs>
          <w:tab w:pos="9071" w:val="right" w:leader="dot"/>
        </w:tabs>
        <w:spacing w:after="60" w:line="276" w:lineRule="auto"/>
        <w:ind w:left="0"/>
      </w:pPr>
      <w:r>
        <w:rPr>
          <w:rFonts w:ascii="Arial" w:hAnsi="Arial"/>
          <w:b w:val="0"/>
          <w:sz w:val="20"/>
        </w:rPr>
        <w:t>Table 18  Principal risk contributions for DOC-2026-000004, as returned by the risk engine.</w:t>
      </w:r>
      <w:r>
        <w:rPr>
          <w:rFonts w:ascii="Arial" w:hAnsi="Arial"/>
          <w:b w:val="0"/>
          <w:sz w:val="20"/>
        </w:rPr>
        <w:tab/>
        <w:t>45</w:t>
      </w:r>
    </w:p>
    <w:p>
      <w:pPr>
        <w:tabs>
          <w:tab w:pos="9071" w:val="right" w:leader="dot"/>
        </w:tabs>
        <w:spacing w:after="60" w:line="276" w:lineRule="auto"/>
        <w:ind w:left="0"/>
      </w:pPr>
      <w:r>
        <w:rPr>
          <w:rFonts w:ascii="Arial" w:hAnsi="Arial"/>
          <w:b w:val="0"/>
          <w:sz w:val="20"/>
        </w:rPr>
        <w:t>Table 19  Objectives against outcomes.</w:t>
      </w:r>
      <w:r>
        <w:rPr>
          <w:rFonts w:ascii="Arial" w:hAnsi="Arial"/>
          <w:b w:val="0"/>
          <w:sz w:val="20"/>
        </w:rPr>
        <w:tab/>
        <w:t>46</w:t>
      </w:r>
    </w:p>
    <w:p>
      <w:pPr>
        <w:tabs>
          <w:tab w:pos="9071" w:val="right" w:leader="dot"/>
        </w:tabs>
        <w:spacing w:after="60" w:line="276" w:lineRule="auto"/>
        <w:ind w:left="0"/>
      </w:pPr>
      <w:r>
        <w:rPr>
          <w:rFonts w:ascii="Arial" w:hAnsi="Arial"/>
          <w:b w:val="0"/>
          <w:sz w:val="20"/>
        </w:rPr>
        <w:t>Table 20  Measured operational characteristics of the submitted system.</w:t>
      </w:r>
      <w:r>
        <w:rPr>
          <w:rFonts w:ascii="Arial" w:hAnsi="Arial"/>
          <w:b w:val="0"/>
          <w:sz w:val="20"/>
        </w:rPr>
        <w:tab/>
        <w:t>47</w:t>
      </w:r>
    </w:p>
    <w:p>
      <w:pPr>
        <w:tabs>
          <w:tab w:pos="9071" w:val="right" w:leader="dot"/>
        </w:tabs>
        <w:spacing w:after="60" w:line="276" w:lineRule="auto"/>
        <w:ind w:left="0"/>
      </w:pPr>
      <w:r>
        <w:rPr>
          <w:rFonts w:ascii="Arial" w:hAnsi="Arial"/>
          <w:b w:val="0"/>
          <w:sz w:val="20"/>
        </w:rPr>
        <w:t>Table 21  Signals most frequently produced by benign causes.</w:t>
      </w:r>
      <w:r>
        <w:rPr>
          <w:rFonts w:ascii="Arial" w:hAnsi="Arial"/>
          <w:b w:val="0"/>
          <w:sz w:val="20"/>
        </w:rPr>
        <w:tab/>
        <w:t>48</w:t>
      </w:r>
    </w:p>
    <w:p>
      <w:pPr>
        <w:tabs>
          <w:tab w:pos="9071" w:val="right" w:leader="dot"/>
        </w:tabs>
        <w:spacing w:after="60" w:line="276" w:lineRule="auto"/>
        <w:ind w:left="0"/>
      </w:pPr>
      <w:r>
        <w:rPr>
          <w:rFonts w:ascii="Arial" w:hAnsi="Arial"/>
          <w:b w:val="0"/>
          <w:sz w:val="20"/>
        </w:rPr>
        <w:t>Table 22  PDF metadata findings.</w:t>
      </w:r>
      <w:r>
        <w:rPr>
          <w:rFonts w:ascii="Arial" w:hAnsi="Arial"/>
          <w:b w:val="0"/>
          <w:sz w:val="20"/>
        </w:rPr>
        <w:tab/>
        <w:t>55</w:t>
      </w:r>
    </w:p>
    <w:p>
      <w:pPr>
        <w:tabs>
          <w:tab w:pos="9071" w:val="right" w:leader="dot"/>
        </w:tabs>
        <w:spacing w:after="60" w:line="276" w:lineRule="auto"/>
        <w:ind w:left="0"/>
      </w:pPr>
      <w:r>
        <w:rPr>
          <w:rFonts w:ascii="Arial" w:hAnsi="Arial"/>
          <w:b w:val="0"/>
          <w:sz w:val="20"/>
        </w:rPr>
        <w:t>Table 23  Image metadata findings.</w:t>
      </w:r>
      <w:r>
        <w:rPr>
          <w:rFonts w:ascii="Arial" w:hAnsi="Arial"/>
          <w:b w:val="0"/>
          <w:sz w:val="20"/>
        </w:rPr>
        <w:tab/>
        <w:t>55</w:t>
      </w:r>
    </w:p>
    <w:p>
      <w:pPr>
        <w:tabs>
          <w:tab w:pos="9071" w:val="right" w:leader="dot"/>
        </w:tabs>
        <w:spacing w:after="60" w:line="276" w:lineRule="auto"/>
        <w:ind w:left="0"/>
      </w:pPr>
      <w:r>
        <w:rPr>
          <w:rFonts w:ascii="Arial" w:hAnsi="Arial"/>
          <w:b w:val="0"/>
          <w:sz w:val="20"/>
        </w:rPr>
        <w:t>Table 24  Pixel-suite findings and their gating thresholds.</w:t>
      </w:r>
      <w:r>
        <w:rPr>
          <w:rFonts w:ascii="Arial" w:hAnsi="Arial"/>
          <w:b w:val="0"/>
          <w:sz w:val="20"/>
        </w:rPr>
        <w:tab/>
        <w:t>56</w:t>
      </w:r>
    </w:p>
    <w:p>
      <w:pPr>
        <w:tabs>
          <w:tab w:pos="9071" w:val="right" w:leader="dot"/>
        </w:tabs>
        <w:spacing w:after="60" w:line="276" w:lineRule="auto"/>
        <w:ind w:left="0"/>
      </w:pPr>
      <w:r>
        <w:rPr>
          <w:rFonts w:ascii="Arial" w:hAnsi="Arial"/>
          <w:b w:val="0"/>
          <w:sz w:val="20"/>
        </w:rPr>
        <w:t>Table 25  PDF structural findings.</w:t>
      </w:r>
      <w:r>
        <w:rPr>
          <w:rFonts w:ascii="Arial" w:hAnsi="Arial"/>
          <w:b w:val="0"/>
          <w:sz w:val="20"/>
        </w:rPr>
        <w:tab/>
        <w:t>56</w:t>
      </w:r>
    </w:p>
    <w:p>
      <w:pPr>
        <w:tabs>
          <w:tab w:pos="9071" w:val="right" w:leader="dot"/>
        </w:tabs>
        <w:spacing w:after="60" w:line="276" w:lineRule="auto"/>
        <w:ind w:left="0"/>
      </w:pPr>
      <w:r>
        <w:rPr>
          <w:rFonts w:ascii="Arial" w:hAnsi="Arial"/>
          <w:b w:val="0"/>
          <w:sz w:val="20"/>
        </w:rPr>
        <w:t>Table 26  Typography findings.</w:t>
      </w:r>
      <w:r>
        <w:rPr>
          <w:rFonts w:ascii="Arial" w:hAnsi="Arial"/>
          <w:b w:val="0"/>
          <w:sz w:val="20"/>
        </w:rPr>
        <w:tab/>
        <w:t>57</w:t>
      </w:r>
    </w:p>
    <w:p>
      <w:pPr>
        <w:tabs>
          <w:tab w:pos="9071" w:val="right" w:leader="dot"/>
        </w:tabs>
        <w:spacing w:after="60" w:line="276" w:lineRule="auto"/>
        <w:ind w:left="0"/>
      </w:pPr>
      <w:r>
        <w:rPr>
          <w:rFonts w:ascii="Arial" w:hAnsi="Arial"/>
          <w:b w:val="0"/>
          <w:sz w:val="20"/>
        </w:rPr>
        <w:t>Table 27  Source reliabilities used in the noisy-OR combination. The first three are high-reliability sources that may raise a region alone.</w:t>
      </w:r>
      <w:r>
        <w:rPr>
          <w:rFonts w:ascii="Arial" w:hAnsi="Arial"/>
          <w:b w:val="0"/>
          <w:sz w:val="20"/>
        </w:rPr>
        <w:tab/>
        <w:t>58</w:t>
      </w:r>
    </w:p>
    <w:p>
      <w:pPr>
        <w:tabs>
          <w:tab w:pos="9071" w:val="right" w:leader="dot"/>
        </w:tabs>
        <w:spacing w:after="60" w:line="276" w:lineRule="auto"/>
        <w:ind w:left="0"/>
      </w:pPr>
      <w:r>
        <w:rPr>
          <w:rFonts w:ascii="Arial" w:hAnsi="Arial"/>
          <w:b w:val="0"/>
          <w:sz w:val="20"/>
        </w:rPr>
        <w:t>Table 28  Synthetic-media indicators, their measurement and their published weights.</w:t>
      </w:r>
      <w:r>
        <w:rPr>
          <w:rFonts w:ascii="Arial" w:hAnsi="Arial"/>
          <w:b w:val="0"/>
          <w:sz w:val="20"/>
        </w:rPr>
        <w:tab/>
        <w:t>58</w:t>
      </w:r>
    </w:p>
    <w:p>
      <w:pPr>
        <w:tabs>
          <w:tab w:pos="9071" w:val="right" w:leader="dot"/>
        </w:tabs>
        <w:spacing w:after="60" w:line="276" w:lineRule="auto"/>
        <w:ind w:left="0"/>
      </w:pPr>
      <w:r>
        <w:rPr>
          <w:rFonts w:ascii="Arial" w:hAnsi="Arial"/>
          <w:b w:val="0"/>
          <w:sz w:val="20"/>
        </w:rPr>
        <w:t>Table 29  Likelihood bands. There is no code path that can emit a verdict.</w:t>
      </w:r>
      <w:r>
        <w:rPr>
          <w:rFonts w:ascii="Arial" w:hAnsi="Arial"/>
          <w:b w:val="0"/>
          <w:sz w:val="20"/>
        </w:rPr>
        <w:tab/>
        <w:t>58</w:t>
      </w:r>
    </w:p>
    <w:p>
      <w:pPr>
        <w:tabs>
          <w:tab w:pos="9071" w:val="right" w:leader="dot"/>
        </w:tabs>
        <w:spacing w:after="60" w:line="276" w:lineRule="auto"/>
        <w:ind w:left="0"/>
      </w:pPr>
      <w:r>
        <w:rPr>
          <w:rFonts w:ascii="Arial" w:hAnsi="Arial"/>
          <w:b w:val="0"/>
          <w:sz w:val="20"/>
        </w:rPr>
        <w:t>Table 30  Security findings.</w:t>
      </w:r>
      <w:r>
        <w:rPr>
          <w:rFonts w:ascii="Arial" w:hAnsi="Arial"/>
          <w:b w:val="0"/>
          <w:sz w:val="20"/>
        </w:rPr>
        <w:tab/>
        <w:t>59</w:t>
      </w:r>
    </w:p>
    <w:p>
      <w:pPr>
        <w:tabs>
          <w:tab w:pos="9071" w:val="right" w:leader="dot"/>
        </w:tabs>
        <w:spacing w:after="60" w:line="276" w:lineRule="auto"/>
        <w:ind w:left="0"/>
      </w:pPr>
      <w:r>
        <w:rPr>
          <w:rFonts w:ascii="Arial" w:hAnsi="Arial"/>
          <w:b w:val="0"/>
          <w:sz w:val="20"/>
        </w:rPr>
        <w:t>Table 31  Category ceilings, rule counts and the fallback weight applied when a finding code has no row of its own.</w:t>
      </w:r>
      <w:r>
        <w:rPr>
          <w:rFonts w:ascii="Arial" w:hAnsi="Arial"/>
          <w:b w:val="0"/>
          <w:sz w:val="20"/>
        </w:rPr>
        <w:tab/>
        <w:t>60</w:t>
      </w:r>
    </w:p>
    <w:p>
      <w:pPr>
        <w:tabs>
          <w:tab w:pos="9071" w:val="right" w:leader="dot"/>
        </w:tabs>
        <w:spacing w:after="60" w:line="276" w:lineRule="auto"/>
        <w:ind w:left="0"/>
      </w:pPr>
      <w:r>
        <w:rPr>
          <w:rFonts w:ascii="Arial" w:hAnsi="Arial"/>
          <w:b w:val="0"/>
          <w:sz w:val="20"/>
        </w:rPr>
        <w:t>Table 32  Highest and lowest seeded weights, illustrating the model's ordering of evidence.</w:t>
      </w:r>
      <w:r>
        <w:rPr>
          <w:rFonts w:ascii="Arial" w:hAnsi="Arial"/>
          <w:b w:val="0"/>
          <w:sz w:val="20"/>
        </w:rPr>
        <w:tab/>
        <w:t>60</w:t>
      </w:r>
    </w:p>
    <w:p>
      <w:pPr>
        <w:tabs>
          <w:tab w:pos="9071" w:val="right" w:leader="dot"/>
        </w:tabs>
        <w:spacing w:after="60" w:line="276" w:lineRule="auto"/>
        <w:ind w:left="0"/>
      </w:pPr>
      <w:r>
        <w:rPr>
          <w:rFonts w:ascii="Arial" w:hAnsi="Arial"/>
          <w:b w:val="0"/>
          <w:sz w:val="20"/>
        </w:rPr>
        <w:t>Table 33  System and authentication endpoints.</w:t>
      </w:r>
      <w:r>
        <w:rPr>
          <w:rFonts w:ascii="Arial" w:hAnsi="Arial"/>
          <w:b w:val="0"/>
          <w:sz w:val="20"/>
        </w:rPr>
        <w:tab/>
        <w:t>62</w:t>
      </w:r>
    </w:p>
    <w:p>
      <w:pPr>
        <w:tabs>
          <w:tab w:pos="9071" w:val="right" w:leader="dot"/>
        </w:tabs>
        <w:spacing w:after="60" w:line="276" w:lineRule="auto"/>
        <w:ind w:left="0"/>
      </w:pPr>
      <w:r>
        <w:rPr>
          <w:rFonts w:ascii="Arial" w:hAnsi="Arial"/>
          <w:b w:val="0"/>
          <w:sz w:val="20"/>
        </w:rPr>
        <w:t>Table 34  Claim, document and dashboard endpoints.</w:t>
      </w:r>
      <w:r>
        <w:rPr>
          <w:rFonts w:ascii="Arial" w:hAnsi="Arial"/>
          <w:b w:val="0"/>
          <w:sz w:val="20"/>
        </w:rPr>
        <w:tab/>
        <w:t>62</w:t>
      </w:r>
    </w:p>
    <w:p>
      <w:pPr>
        <w:tabs>
          <w:tab w:pos="9071" w:val="right" w:leader="dot"/>
        </w:tabs>
        <w:spacing w:after="60" w:line="276" w:lineRule="auto"/>
        <w:ind w:left="0"/>
      </w:pPr>
      <w:r>
        <w:rPr>
          <w:rFonts w:ascii="Arial" w:hAnsi="Arial"/>
          <w:b w:val="0"/>
          <w:sz w:val="20"/>
        </w:rPr>
        <w:t>Table 35  Verification, investigation, report, audit, user and administration endpoints.</w:t>
      </w:r>
      <w:r>
        <w:rPr>
          <w:rFonts w:ascii="Arial" w:hAnsi="Arial"/>
          <w:b w:val="0"/>
          <w:sz w:val="20"/>
        </w:rPr>
        <w:tab/>
        <w:t>63</w:t>
      </w:r>
    </w:p>
    <w:p>
      <w:pPr>
        <w:tabs>
          <w:tab w:pos="9071" w:val="right" w:leader="dot"/>
        </w:tabs>
        <w:spacing w:after="60" w:line="276" w:lineRule="auto"/>
        <w:ind w:left="0"/>
      </w:pPr>
      <w:r>
        <w:rPr>
          <w:rFonts w:ascii="Arial" w:hAnsi="Arial"/>
          <w:b w:val="0"/>
          <w:sz w:val="20"/>
        </w:rPr>
        <w:t>Table 36  Notable assertions per test file, emphasising the negative and wording assertions.</w:t>
      </w:r>
      <w:r>
        <w:rPr>
          <w:rFonts w:ascii="Arial" w:hAnsi="Arial"/>
          <w:b w:val="0"/>
          <w:sz w:val="20"/>
        </w:rPr>
        <w:tab/>
        <w:t>65</w:t>
      </w:r>
    </w:p>
    <w:p>
      <w:pPr>
        <w:tabs>
          <w:tab w:pos="9071" w:val="right" w:leader="dot"/>
        </w:tabs>
        <w:spacing w:after="60" w:line="276" w:lineRule="auto"/>
        <w:ind w:left="0"/>
      </w:pPr>
      <w:r>
        <w:rPr>
          <w:rFonts w:ascii="Arial" w:hAnsi="Arial"/>
          <w:b w:val="0"/>
          <w:sz w:val="20"/>
        </w:rPr>
        <w:t>Table 37  Table reference. Key columns only; every table also carries its identifier and timestamps.</w:t>
      </w:r>
      <w:r>
        <w:rPr>
          <w:rFonts w:ascii="Arial" w:hAnsi="Arial"/>
          <w:b w:val="0"/>
          <w:sz w:val="20"/>
        </w:rPr>
        <w:tab/>
        <w:t>67</w:t>
      </w:r>
    </w:p>
    <w:p>
      <w:pPr>
        <w:tabs>
          <w:tab w:pos="9071" w:val="right" w:leader="dot"/>
        </w:tabs>
        <w:spacing w:after="60" w:line="276" w:lineRule="auto"/>
        <w:ind w:left="0"/>
      </w:pPr>
      <w:r>
        <w:rPr>
          <w:rFonts w:ascii="Arial" w:hAnsi="Arial"/>
          <w:b w:val="0"/>
          <w:sz w:val="20"/>
        </w:rPr>
        <w:t>Table 38  Principal configuration variables.</w:t>
      </w:r>
      <w:r>
        <w:rPr>
          <w:rFonts w:ascii="Arial" w:hAnsi="Arial"/>
          <w:b w:val="0"/>
          <w:sz w:val="20"/>
        </w:rPr>
        <w:tab/>
        <w:t>69</w:t>
      </w:r>
    </w:p>
    <w:p>
      <w:pPr>
        <w:tabs>
          <w:tab w:pos="9071" w:val="right" w:leader="dot"/>
        </w:tabs>
        <w:spacing w:after="60" w:line="276" w:lineRule="auto"/>
        <w:ind w:left="0"/>
      </w:pPr>
      <w:r>
        <w:rPr>
          <w:rFonts w:ascii="Arial" w:hAnsi="Arial"/>
          <w:b w:val="0"/>
          <w:sz w:val="20"/>
        </w:rPr>
        <w:t>Table 39  Routine operations.</w:t>
      </w:r>
      <w:r>
        <w:rPr>
          <w:rFonts w:ascii="Arial" w:hAnsi="Arial"/>
          <w:b w:val="0"/>
          <w:sz w:val="20"/>
        </w:rPr>
        <w:tab/>
        <w:t>71</w:t>
      </w:r>
    </w:p>
    <w:p>
      <w:pPr>
        <w:tabs>
          <w:tab w:pos="9071" w:val="right" w:leader="dot"/>
        </w:tabs>
        <w:spacing w:after="60" w:line="276" w:lineRule="auto"/>
        <w:ind w:left="0"/>
      </w:pPr>
      <w:r>
        <w:rPr>
          <w:rFonts w:ascii="Arial" w:hAnsi="Arial"/>
          <w:b w:val="0"/>
          <w:sz w:val="20"/>
        </w:rPr>
        <w:t>Table 40  Expected failure modes and the system's behaviour.</w:t>
      </w:r>
      <w:r>
        <w:rPr>
          <w:rFonts w:ascii="Arial" w:hAnsi="Arial"/>
          <w:b w:val="0"/>
          <w:sz w:val="20"/>
        </w:rPr>
        <w:tab/>
        <w:t>72</w:t>
      </w:r>
    </w:p>
    <w:p>
      <w:r>
        <w:br w:type="page"/>
      </w:r>
    </w:p>
    <w:p>
      <w:pPr>
        <w:pStyle w:val="Heading1"/>
      </w:pPr>
      <w:r>
        <w:t>1  Introduction</w:t>
      </w:r>
    </w:p>
    <w:p>
      <w:pPr>
        <w:pStyle w:val="Heading2"/>
      </w:pPr>
      <w:r>
        <w:t>1.1  Background</w:t>
      </w:r>
    </w:p>
    <w:p>
      <w:pPr>
        <w:spacing w:after="160"/>
        <w:jc w:val="both"/>
      </w:pPr>
      <w:r>
        <w:t>An insurance claim is, in practice, a bundle of documents. A health claim arrives as a hospital invoice, a discharge summary, a prescription, a copy of an identity document and a completed claim form; a motor claim as a repair estimate, a vehicle registration document, a police report and a payment advice. The insurer's decision to pay, to decline or to investigate rests almost entirely on whether those documents are what they purport to be and whether they agree with each other and with the policy record.</w:t>
      </w:r>
    </w:p>
    <w:p>
      <w:pPr>
        <w:spacing w:after="160"/>
        <w:jc w:val="both"/>
      </w:pPr>
      <w:r>
        <w:t>Two changes have made that judgement materially harder. First, submission is now digital: the insurer receives a PDF or a photograph, not paper. The physical cues an experienced examiner relies on — paper stock, ink, an embossed seal, a wet signature — are simply absent. Second, the tools needed to alter a document convincingly are ubiquitous and free. A total can be re-typed in a PDF editor, a date changed in a photograph of a bill, a template downloaded and completed with plausible but fictitious particulars. Generative image models add a further category: a document that never existed in any form.</w:t>
      </w:r>
    </w:p>
    <w:p>
      <w:pPr>
        <w:spacing w:after="160"/>
        <w:jc w:val="both"/>
      </w:pPr>
      <w:r>
        <w:t xml:space="preserve">What a digital submission does provide, in compensation, is </w:t>
      </w:r>
      <w:r>
        <w:rPr>
          <w:i/>
        </w:rPr>
        <w:t>measurable structure</w:t>
      </w:r>
      <w:r>
        <w:t>. A PDF records the software that produced it, the order in which it was created and last saved, whether revisions were appended incrementally, which font resource each character was drawn from, and what raster images are embedded in it. A photograph carries camera metadata, a compression history, and a sensor-noise signature that is not uniform across a composited image. None of these is visible to a human reader, and none is conclusive on its own — but each is a real, repeatable measurement of the file in hand.</w:t>
      </w:r>
    </w:p>
    <w:p>
      <w:pPr>
        <w:pStyle w:val="Heading2"/>
      </w:pPr>
      <w:r>
        <w:t>1.2  Problem statement</w:t>
      </w:r>
    </w:p>
    <w:p>
      <w:pPr>
        <w:spacing w:after="160"/>
        <w:jc w:val="both"/>
      </w:pPr>
      <w:r>
        <w:t>The problem this project addresses is therefore not "can a machine decide whether this document is fake". It is the narrower, tractable and considerably more useful problem:</w:t>
      </w:r>
    </w:p>
    <w:tbl>
      <w:tblPr>
        <w:tblW w:type="auto" w:w="0"/>
        <w:tblLook w:firstColumn="1" w:firstRow="1" w:lastColumn="0" w:lastRow="0" w:noHBand="0" w:noVBand="1" w:val="04A0"/>
      </w:tblPr>
      <w:tblGrid>
        <w:gridCol w:w="9185"/>
      </w:tblGrid>
      <w:tr>
        <w:tc>
          <w:tcPr>
            <w:tcW w:type="dxa" w:w="9184"/>
            <w:tcBorders>
              <w:left w:val="single" w:sz="24" w:space="0" w:color="2E1C6B"/>
            </w:tcBorders>
            <w:shd w:val="clear" w:color="auto" w:fill="F7F6FB"/>
          </w:tcPr>
          <w:p>
            <w:pPr>
              <w:spacing w:after="60"/>
            </w:pPr>
            <w:r>
              <w:rPr>
                <w:rFonts w:ascii="Arial" w:hAnsi="Arial"/>
                <w:b/>
                <w:color w:val="381A89"/>
                <w:sz w:val="21"/>
              </w:rPr>
              <w:t>Problem</w:t>
            </w:r>
          </w:p>
          <w:p>
            <w:pPr>
              <w:spacing w:after="0" w:line="288" w:lineRule="auto"/>
              <w:jc w:val="both"/>
            </w:pPr>
            <w:r>
              <w:rPr>
                <w:sz w:val="21"/>
              </w:rPr>
              <w:t>Given a claim document and the claim it belongs to, produce a complete, explainable and auditable record of every measurable property that bears on the document's authenticity and its agreement with the rest of the claim — ranked so that a human investigator's limited attention is spent where it is most likely to matter, and presented so that the investigator can verify each signal against the document itself rather than trusting the system's summary.</w:t>
            </w:r>
          </w:p>
        </w:tc>
      </w:tr>
    </w:tbl>
    <w:p>
      <w:pPr>
        <w:spacing w:after="80"/>
      </w:pPr>
    </w:p>
    <w:p>
      <w:pPr>
        <w:spacing w:after="160"/>
        <w:jc w:val="both"/>
      </w:pPr>
      <w:r>
        <w:t xml:space="preserve">Four properties follow from that statement and constrain everything in the design. The output must be </w:t>
      </w:r>
      <w:r>
        <w:rPr>
          <w:b/>
        </w:rPr>
        <w:t>explainable</w:t>
      </w:r>
      <w:r>
        <w:t xml:space="preserve"> — an investigator must be able to see which pixels, which extracted value or which external record produced a signal. It must be </w:t>
      </w:r>
      <w:r>
        <w:rPr>
          <w:b/>
        </w:rPr>
        <w:t>calibrated and bounded</w:t>
      </w:r>
      <w:r>
        <w:t xml:space="preserve"> — a signal must state its own uncertainty and its benign explanations. It must be </w:t>
      </w:r>
      <w:r>
        <w:rPr>
          <w:b/>
        </w:rPr>
        <w:t>auditable</w:t>
      </w:r>
      <w:r>
        <w:t xml:space="preserve"> — who saw what, who decided what and why must survive scrutiny after the fact. And the system must be </w:t>
      </w:r>
      <w:r>
        <w:rPr>
          <w:b/>
        </w:rPr>
        <w:t>subordinate to the human</w:t>
      </w:r>
      <w:r>
        <w:t xml:space="preserve"> — no automated output may become a decision by default.</w:t>
      </w:r>
    </w:p>
    <w:p>
      <w:pPr>
        <w:pStyle w:val="Heading2"/>
      </w:pPr>
      <w:r>
        <w:t>1.3  Why decision support rather than decision making</w:t>
      </w:r>
    </w:p>
    <w:p>
      <w:pPr>
        <w:spacing w:after="160"/>
        <w:jc w:val="both"/>
      </w:pPr>
      <w:r>
        <w:t>It is technically possible to train a classifier that emits a fraud probability for a document, and commercially tempting to do so. This project deliberately does not. Three reasons, in descending order of importance:</w:t>
      </w:r>
    </w:p>
    <w:p>
      <w:pPr>
        <w:pStyle w:val="ListBullet"/>
        <w:spacing w:after="80" w:line="288" w:lineRule="auto"/>
        <w:ind w:left="397"/>
      </w:pPr>
      <w:r>
        <w:rPr>
          <w:b/>
        </w:rPr>
        <w:t>The inference is not available in the evidence.</w:t>
      </w:r>
      <w:r>
        <w:t xml:space="preserve"> Every signal the platform can measure has innocent explanations that occur frequently in legitimate claim traffic. A hospital that crops a scan in an image editor, a billing system that appends a digital signature as an incremental PDF revision, a claimant who re-saves a photo to compress it before uploading — each produces exactly the measurement that a manipulated document produces. A probability presented on top of that ambiguity does not resolve it; it conceals it.</w:t>
      </w:r>
    </w:p>
    <w:p>
      <w:pPr>
        <w:pStyle w:val="ListBullet"/>
        <w:spacing w:after="80" w:line="288" w:lineRule="auto"/>
        <w:ind w:left="397"/>
      </w:pPr>
      <w:r>
        <w:rPr>
          <w:b/>
        </w:rPr>
        <w:t>The consequences are borne by a person.</w:t>
      </w:r>
      <w:r>
        <w:t xml:space="preserve"> A declined health claim is a medical bill an individual must now pay. A system whose output is a number that a handler is institutionally encouraged to accept converts a measurement into an accusation without anyone having examined the document.</w:t>
      </w:r>
    </w:p>
    <w:p>
      <w:pPr>
        <w:pStyle w:val="ListBullet"/>
        <w:spacing w:after="80" w:line="288" w:lineRule="auto"/>
        <w:ind w:left="397"/>
      </w:pPr>
      <w:r>
        <w:rPr>
          <w:b/>
        </w:rPr>
        <w:t>A verdict destroys the audit trail.</w:t>
      </w:r>
      <w:r>
        <w:t xml:space="preserve"> If the output is "fraudulent, 0.91", there is nothing to review. If the output is "the printed total does not match the sum of its own line items, and the issuer's record states a different amount", the reviewer can check both claims, and a regulator can later check the reviewer.</w:t>
      </w:r>
    </w:p>
    <w:p>
      <w:pPr>
        <w:spacing w:after="160"/>
        <w:jc w:val="both"/>
      </w:pPr>
      <w:r>
        <w:t xml:space="preserve">The platform's risk score is therefore defined and described throughout the product as a </w:t>
      </w:r>
      <w:r>
        <w:rPr>
          <w:b/>
        </w:rPr>
        <w:t>triage ranking</w:t>
      </w:r>
      <w:r>
        <w:t xml:space="preserve"> — how much human attention this document should receive — and the interpretation note stating that it is not a probability of fraud is emitted with every assessment by the risk engine itself, not merely written into documentation.</w:t>
      </w:r>
    </w:p>
    <w:p>
      <w:pPr>
        <w:pStyle w:val="Heading2"/>
      </w:pPr>
      <w:r>
        <w:t>1.4  Structure of this report</w:t>
      </w:r>
    </w:p>
    <w:p>
      <w:pPr>
        <w:spacing w:after="160"/>
        <w:jc w:val="both"/>
      </w:pPr>
      <w:r>
        <w:t>Section 2 states the aim, objectives and scope. Section 3 reviews the approaches currently available and identifies the gap. Section 4 sets out the methodology and the design principles that govern the implementation. Section 5 presents the system design: architecture, data model, pipeline, risk model and security. Section 6 documents the implementation of each subsystem. Section 7 describes testing and validation, and Section 8 the results obtained against the evaluation corpus. Section 9 states the limitations and the ethical and legal considerations, and Section 10 concludes. Eight appendices carry the full detector catalogue, the risk weights, the API surface, the test inventory, the data dictionary, the configuration reference, the deployment runbook and the console screens.</w:t>
      </w:r>
    </w:p>
    <w:p>
      <w:r>
        <w:br w:type="page"/>
      </w:r>
    </w:p>
    <w:p>
      <w:pPr>
        <w:pStyle w:val="Heading1"/>
      </w:pPr>
      <w:r>
        <w:t>2  Aim, Objectives and Scope</w:t>
      </w:r>
    </w:p>
    <w:p>
      <w:pPr>
        <w:pStyle w:val="Heading2"/>
      </w:pPr>
      <w:r>
        <w:t>2.1  Aim</w:t>
      </w:r>
    </w:p>
    <w:p>
      <w:pPr>
        <w:spacing w:after="160"/>
        <w:jc w:val="both"/>
      </w:pPr>
      <w:r>
        <w:t>To design, implement, test and deploy a working platform that examines insurance claim documents for authenticity and internal and external consistency, presents every finding with its evidence and its uncertainty, ranks documents for human attention, and records the human decision that follows — such that the platform is genuinely useful to an investigator without ever substituting for one.</w:t>
      </w:r>
    </w:p>
    <w:p>
      <w:pPr>
        <w:pStyle w:val="Heading2"/>
      </w:pPr>
      <w:r>
        <w:t>2.2  Objectives</w:t>
      </w:r>
    </w:p>
    <w:p>
      <w:pPr>
        <w:spacing w:after="160"/>
        <w:jc w:val="both"/>
      </w:pPr>
      <w:r>
        <w:t>The aim decomposes into eleven objectives, each of which is evaluated in Section 8.4.</w:t>
      </w:r>
    </w:p>
    <w:p>
      <w:pPr>
        <w:keepNext/>
        <w:spacing w:after="60" w:before="120"/>
      </w:pPr>
      <w:r>
        <w:rPr>
          <w:rFonts w:ascii="Arial" w:hAnsi="Arial"/>
          <w:b/>
          <w:color w:val="381A89"/>
          <w:sz w:val="18"/>
        </w:rPr>
        <w:t xml:space="preserve">Table 1. </w:t>
      </w:r>
      <w:r>
        <w:rPr>
          <w:rFonts w:ascii="Arial" w:hAnsi="Arial"/>
          <w:color w:val="55516B"/>
          <w:sz w:val="18"/>
        </w:rPr>
        <w:t>Project objectives and the sections in which each is addressed.</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624"/>
            <w:shd w:val="clear" w:color="auto" w:fill="2E1C6B"/>
          </w:tcPr>
          <w:p>
            <w:pPr>
              <w:spacing w:after="20" w:before="20" w:line="252" w:lineRule="auto"/>
            </w:pPr>
            <w:r>
              <w:rPr>
                <w:rFonts w:ascii="Arial" w:hAnsi="Arial"/>
                <w:b/>
                <w:color w:val="FFFFFF"/>
                <w:sz w:val="18"/>
              </w:rPr>
              <w:t>#</w:t>
            </w:r>
          </w:p>
        </w:tc>
        <w:tc>
          <w:tcPr>
            <w:tcW w:type="dxa" w:w="6463"/>
            <w:shd w:val="clear" w:color="auto" w:fill="2E1C6B"/>
          </w:tcPr>
          <w:p>
            <w:pPr>
              <w:spacing w:after="20" w:before="20" w:line="252" w:lineRule="auto"/>
            </w:pPr>
            <w:r>
              <w:rPr>
                <w:rFonts w:ascii="Arial" w:hAnsi="Arial"/>
                <w:b/>
                <w:color w:val="FFFFFF"/>
                <w:sz w:val="18"/>
              </w:rPr>
              <w:t>Objective</w:t>
            </w:r>
          </w:p>
        </w:tc>
        <w:tc>
          <w:tcPr>
            <w:tcW w:type="dxa" w:w="1871"/>
            <w:shd w:val="clear" w:color="auto" w:fill="2E1C6B"/>
          </w:tcPr>
          <w:p>
            <w:pPr>
              <w:spacing w:after="20" w:before="20" w:line="252" w:lineRule="auto"/>
            </w:pPr>
            <w:r>
              <w:rPr>
                <w:rFonts w:ascii="Arial" w:hAnsi="Arial"/>
                <w:b/>
                <w:color w:val="FFFFFF"/>
                <w:sz w:val="18"/>
              </w:rPr>
              <w:t>Addressed in</w:t>
            </w:r>
          </w:p>
        </w:tc>
      </w:tr>
      <w:tr>
        <w:trPr>
          <w:cantSplit/>
        </w:trPr>
        <w:tc>
          <w:tcPr>
            <w:tcW w:type="dxa" w:w="624"/>
          </w:tcPr>
          <w:p>
            <w:pPr>
              <w:spacing w:after="20" w:before="20" w:line="264" w:lineRule="auto"/>
            </w:pPr>
            <w:r>
              <w:rPr>
                <w:rFonts w:ascii="Arial" w:hAnsi="Arial"/>
                <w:sz w:val="19"/>
              </w:rPr>
              <w:t>O1</w:t>
            </w:r>
          </w:p>
        </w:tc>
        <w:tc>
          <w:tcPr>
            <w:tcW w:type="dxa" w:w="6463"/>
          </w:tcPr>
          <w:p>
            <w:pPr>
              <w:spacing w:after="20" w:before="20" w:line="264" w:lineRule="auto"/>
            </w:pPr>
            <w:r>
              <w:rPr>
                <w:rFonts w:ascii="Arial" w:hAnsi="Arial"/>
                <w:sz w:val="19"/>
              </w:rPr>
              <w:t>Accept PDF and raster claim documents through a validated, hash-identified ingest path that never loses or mutates the original.</w:t>
            </w:r>
          </w:p>
        </w:tc>
        <w:tc>
          <w:tcPr>
            <w:tcW w:type="dxa" w:w="1871"/>
          </w:tcPr>
          <w:p>
            <w:pPr>
              <w:spacing w:after="20" w:before="20" w:line="264" w:lineRule="auto"/>
            </w:pPr>
            <w:r>
              <w:rPr>
                <w:rFonts w:ascii="Arial" w:hAnsi="Arial"/>
                <w:sz w:val="19"/>
              </w:rPr>
              <w:t>5.6, 6.1</w:t>
            </w:r>
          </w:p>
        </w:tc>
      </w:tr>
      <w:tr>
        <w:trPr>
          <w:cantSplit/>
        </w:trPr>
        <w:tc>
          <w:tcPr>
            <w:tcW w:type="dxa" w:w="624"/>
            <w:shd w:val="clear" w:color="auto" w:fill="F4F2FA"/>
          </w:tcPr>
          <w:p>
            <w:pPr>
              <w:spacing w:after="20" w:before="20" w:line="264" w:lineRule="auto"/>
            </w:pPr>
            <w:r>
              <w:rPr>
                <w:rFonts w:ascii="Arial" w:hAnsi="Arial"/>
                <w:sz w:val="19"/>
              </w:rPr>
              <w:t>O2</w:t>
            </w:r>
          </w:p>
        </w:tc>
        <w:tc>
          <w:tcPr>
            <w:tcW w:type="dxa" w:w="6463"/>
            <w:shd w:val="clear" w:color="auto" w:fill="F4F2FA"/>
          </w:tcPr>
          <w:p>
            <w:pPr>
              <w:spacing w:after="20" w:before="20" w:line="264" w:lineRule="auto"/>
            </w:pPr>
            <w:r>
              <w:rPr>
                <w:rFonts w:ascii="Arial" w:hAnsi="Arial"/>
                <w:sz w:val="19"/>
              </w:rPr>
              <w:t>Recover the text and the structured fields of a document, with a page coordinate for every value so that a claim can be pointed at.</w:t>
            </w:r>
          </w:p>
        </w:tc>
        <w:tc>
          <w:tcPr>
            <w:tcW w:type="dxa" w:w="1871"/>
            <w:shd w:val="clear" w:color="auto" w:fill="F4F2FA"/>
          </w:tcPr>
          <w:p>
            <w:pPr>
              <w:spacing w:after="20" w:before="20" w:line="264" w:lineRule="auto"/>
            </w:pPr>
            <w:r>
              <w:rPr>
                <w:rFonts w:ascii="Arial" w:hAnsi="Arial"/>
                <w:sz w:val="19"/>
              </w:rPr>
              <w:t>6.2</w:t>
            </w:r>
          </w:p>
        </w:tc>
      </w:tr>
      <w:tr>
        <w:trPr>
          <w:cantSplit/>
        </w:trPr>
        <w:tc>
          <w:tcPr>
            <w:tcW w:type="dxa" w:w="624"/>
          </w:tcPr>
          <w:p>
            <w:pPr>
              <w:spacing w:after="20" w:before="20" w:line="264" w:lineRule="auto"/>
            </w:pPr>
            <w:r>
              <w:rPr>
                <w:rFonts w:ascii="Arial" w:hAnsi="Arial"/>
                <w:sz w:val="19"/>
              </w:rPr>
              <w:t>O3</w:t>
            </w:r>
          </w:p>
        </w:tc>
        <w:tc>
          <w:tcPr>
            <w:tcW w:type="dxa" w:w="6463"/>
          </w:tcPr>
          <w:p>
            <w:pPr>
              <w:spacing w:after="20" w:before="20" w:line="264" w:lineRule="auto"/>
            </w:pPr>
            <w:r>
              <w:rPr>
                <w:rFonts w:ascii="Arial" w:hAnsi="Arial"/>
                <w:sz w:val="19"/>
              </w:rPr>
              <w:t>Measure the structural, metadata, pixel-level and typographic properties of the file that bear on authenticity.</w:t>
            </w:r>
          </w:p>
        </w:tc>
        <w:tc>
          <w:tcPr>
            <w:tcW w:type="dxa" w:w="1871"/>
          </w:tcPr>
          <w:p>
            <w:pPr>
              <w:spacing w:after="20" w:before="20" w:line="264" w:lineRule="auto"/>
            </w:pPr>
            <w:r>
              <w:rPr>
                <w:rFonts w:ascii="Arial" w:hAnsi="Arial"/>
                <w:sz w:val="19"/>
              </w:rPr>
              <w:t>6.3</w:t>
            </w:r>
          </w:p>
        </w:tc>
      </w:tr>
      <w:tr>
        <w:trPr>
          <w:cantSplit/>
        </w:trPr>
        <w:tc>
          <w:tcPr>
            <w:tcW w:type="dxa" w:w="624"/>
            <w:shd w:val="clear" w:color="auto" w:fill="F4F2FA"/>
          </w:tcPr>
          <w:p>
            <w:pPr>
              <w:spacing w:after="20" w:before="20" w:line="264" w:lineRule="auto"/>
            </w:pPr>
            <w:r>
              <w:rPr>
                <w:rFonts w:ascii="Arial" w:hAnsi="Arial"/>
                <w:sz w:val="19"/>
              </w:rPr>
              <w:t>O4</w:t>
            </w:r>
          </w:p>
        </w:tc>
        <w:tc>
          <w:tcPr>
            <w:tcW w:type="dxa" w:w="6463"/>
            <w:shd w:val="clear" w:color="auto" w:fill="F4F2FA"/>
          </w:tcPr>
          <w:p>
            <w:pPr>
              <w:spacing w:after="20" w:before="20" w:line="264" w:lineRule="auto"/>
            </w:pPr>
            <w:r>
              <w:rPr>
                <w:rFonts w:ascii="Arial" w:hAnsi="Arial"/>
                <w:sz w:val="19"/>
              </w:rPr>
              <w:t>Correlate independent forensic signals into region-level tampering indications, rather than reporting each noisy metric separately.</w:t>
            </w:r>
          </w:p>
        </w:tc>
        <w:tc>
          <w:tcPr>
            <w:tcW w:type="dxa" w:w="1871"/>
            <w:shd w:val="clear" w:color="auto" w:fill="F4F2FA"/>
          </w:tcPr>
          <w:p>
            <w:pPr>
              <w:spacing w:after="20" w:before="20" w:line="264" w:lineRule="auto"/>
            </w:pPr>
            <w:r>
              <w:rPr>
                <w:rFonts w:ascii="Arial" w:hAnsi="Arial"/>
                <w:sz w:val="19"/>
              </w:rPr>
              <w:t>6.4</w:t>
            </w:r>
          </w:p>
        </w:tc>
      </w:tr>
      <w:tr>
        <w:trPr>
          <w:cantSplit/>
        </w:trPr>
        <w:tc>
          <w:tcPr>
            <w:tcW w:type="dxa" w:w="624"/>
          </w:tcPr>
          <w:p>
            <w:pPr>
              <w:spacing w:after="20" w:before="20" w:line="264" w:lineRule="auto"/>
            </w:pPr>
            <w:r>
              <w:rPr>
                <w:rFonts w:ascii="Arial" w:hAnsi="Arial"/>
                <w:sz w:val="19"/>
              </w:rPr>
              <w:t>O5</w:t>
            </w:r>
          </w:p>
        </w:tc>
        <w:tc>
          <w:tcPr>
            <w:tcW w:type="dxa" w:w="6463"/>
          </w:tcPr>
          <w:p>
            <w:pPr>
              <w:spacing w:after="20" w:before="20" w:line="264" w:lineRule="auto"/>
            </w:pPr>
            <w:r>
              <w:rPr>
                <w:rFonts w:ascii="Arial" w:hAnsi="Arial"/>
                <w:sz w:val="19"/>
              </w:rPr>
              <w:t>Apply deterministic internal-consistency rules to the extracted fields and report passes as well as failures.</w:t>
            </w:r>
          </w:p>
        </w:tc>
        <w:tc>
          <w:tcPr>
            <w:tcW w:type="dxa" w:w="1871"/>
          </w:tcPr>
          <w:p>
            <w:pPr>
              <w:spacing w:after="20" w:before="20" w:line="264" w:lineRule="auto"/>
            </w:pPr>
            <w:r>
              <w:rPr>
                <w:rFonts w:ascii="Arial" w:hAnsi="Arial"/>
                <w:sz w:val="19"/>
              </w:rPr>
              <w:t>6.5</w:t>
            </w:r>
          </w:p>
        </w:tc>
      </w:tr>
      <w:tr>
        <w:trPr>
          <w:cantSplit/>
        </w:trPr>
        <w:tc>
          <w:tcPr>
            <w:tcW w:type="dxa" w:w="624"/>
            <w:shd w:val="clear" w:color="auto" w:fill="F4F2FA"/>
          </w:tcPr>
          <w:p>
            <w:pPr>
              <w:spacing w:after="20" w:before="20" w:line="264" w:lineRule="auto"/>
            </w:pPr>
            <w:r>
              <w:rPr>
                <w:rFonts w:ascii="Arial" w:hAnsi="Arial"/>
                <w:sz w:val="19"/>
              </w:rPr>
              <w:t>O6</w:t>
            </w:r>
          </w:p>
        </w:tc>
        <w:tc>
          <w:tcPr>
            <w:tcW w:type="dxa" w:w="6463"/>
            <w:shd w:val="clear" w:color="auto" w:fill="F4F2FA"/>
          </w:tcPr>
          <w:p>
            <w:pPr>
              <w:spacing w:after="20" w:before="20" w:line="264" w:lineRule="auto"/>
            </w:pPr>
            <w:r>
              <w:rPr>
                <w:rFonts w:ascii="Arial" w:hAnsi="Arial"/>
                <w:sz w:val="19"/>
              </w:rPr>
              <w:t>Compare documents field by field across a claim bundle and against the claim record, without manufacturing findings from legitimate differences.</w:t>
            </w:r>
          </w:p>
        </w:tc>
        <w:tc>
          <w:tcPr>
            <w:tcW w:type="dxa" w:w="1871"/>
            <w:shd w:val="clear" w:color="auto" w:fill="F4F2FA"/>
          </w:tcPr>
          <w:p>
            <w:pPr>
              <w:spacing w:after="20" w:before="20" w:line="264" w:lineRule="auto"/>
            </w:pPr>
            <w:r>
              <w:rPr>
                <w:rFonts w:ascii="Arial" w:hAnsi="Arial"/>
                <w:sz w:val="19"/>
              </w:rPr>
              <w:t>6.6</w:t>
            </w:r>
          </w:p>
        </w:tc>
      </w:tr>
      <w:tr>
        <w:trPr>
          <w:cantSplit/>
        </w:trPr>
        <w:tc>
          <w:tcPr>
            <w:tcW w:type="dxa" w:w="624"/>
          </w:tcPr>
          <w:p>
            <w:pPr>
              <w:spacing w:after="20" w:before="20" w:line="264" w:lineRule="auto"/>
            </w:pPr>
            <w:r>
              <w:rPr>
                <w:rFonts w:ascii="Arial" w:hAnsi="Arial"/>
                <w:sz w:val="19"/>
              </w:rPr>
              <w:t>O7</w:t>
            </w:r>
          </w:p>
        </w:tc>
        <w:tc>
          <w:tcPr>
            <w:tcW w:type="dxa" w:w="6463"/>
          </w:tcPr>
          <w:p>
            <w:pPr>
              <w:spacing w:after="20" w:before="20" w:line="264" w:lineRule="auto"/>
            </w:pPr>
            <w:r>
              <w:rPr>
                <w:rFonts w:ascii="Arial" w:hAnsi="Arial"/>
                <w:sz w:val="19"/>
              </w:rPr>
              <w:t>Provide a synthetic-media indicator behind a provider interface, labelled so that a heuristic can never be mistaken for a trained model.</w:t>
            </w:r>
          </w:p>
        </w:tc>
        <w:tc>
          <w:tcPr>
            <w:tcW w:type="dxa" w:w="1871"/>
          </w:tcPr>
          <w:p>
            <w:pPr>
              <w:spacing w:after="20" w:before="20" w:line="264" w:lineRule="auto"/>
            </w:pPr>
            <w:r>
              <w:rPr>
                <w:rFonts w:ascii="Arial" w:hAnsi="Arial"/>
                <w:sz w:val="19"/>
              </w:rPr>
              <w:t>6.7</w:t>
            </w:r>
          </w:p>
        </w:tc>
      </w:tr>
      <w:tr>
        <w:trPr>
          <w:cantSplit/>
        </w:trPr>
        <w:tc>
          <w:tcPr>
            <w:tcW w:type="dxa" w:w="624"/>
            <w:shd w:val="clear" w:color="auto" w:fill="F4F2FA"/>
          </w:tcPr>
          <w:p>
            <w:pPr>
              <w:spacing w:after="20" w:before="20" w:line="264" w:lineRule="auto"/>
            </w:pPr>
            <w:r>
              <w:rPr>
                <w:rFonts w:ascii="Arial" w:hAnsi="Arial"/>
                <w:sz w:val="19"/>
              </w:rPr>
              <w:t>O8</w:t>
            </w:r>
          </w:p>
        </w:tc>
        <w:tc>
          <w:tcPr>
            <w:tcW w:type="dxa" w:w="6463"/>
            <w:shd w:val="clear" w:color="auto" w:fill="F4F2FA"/>
          </w:tcPr>
          <w:p>
            <w:pPr>
              <w:spacing w:after="20" w:before="20" w:line="264" w:lineRule="auto"/>
            </w:pPr>
            <w:r>
              <w:rPr>
                <w:rFonts w:ascii="Arial" w:hAnsi="Arial"/>
                <w:sz w:val="19"/>
              </w:rPr>
              <w:t>Verify document particulars against trusted external registries behind one interface, grading contradiction differently from missing detail.</w:t>
            </w:r>
          </w:p>
        </w:tc>
        <w:tc>
          <w:tcPr>
            <w:tcW w:type="dxa" w:w="1871"/>
            <w:shd w:val="clear" w:color="auto" w:fill="F4F2FA"/>
          </w:tcPr>
          <w:p>
            <w:pPr>
              <w:spacing w:after="20" w:before="20" w:line="264" w:lineRule="auto"/>
            </w:pPr>
            <w:r>
              <w:rPr>
                <w:rFonts w:ascii="Arial" w:hAnsi="Arial"/>
                <w:sz w:val="19"/>
              </w:rPr>
              <w:t>6.8</w:t>
            </w:r>
          </w:p>
        </w:tc>
      </w:tr>
      <w:tr>
        <w:trPr>
          <w:cantSplit/>
        </w:trPr>
        <w:tc>
          <w:tcPr>
            <w:tcW w:type="dxa" w:w="624"/>
          </w:tcPr>
          <w:p>
            <w:pPr>
              <w:spacing w:after="20" w:before="20" w:line="264" w:lineRule="auto"/>
            </w:pPr>
            <w:r>
              <w:rPr>
                <w:rFonts w:ascii="Arial" w:hAnsi="Arial"/>
                <w:sz w:val="19"/>
              </w:rPr>
              <w:t>O9</w:t>
            </w:r>
          </w:p>
        </w:tc>
        <w:tc>
          <w:tcPr>
            <w:tcW w:type="dxa" w:w="6463"/>
          </w:tcPr>
          <w:p>
            <w:pPr>
              <w:spacing w:after="20" w:before="20" w:line="264" w:lineRule="auto"/>
            </w:pPr>
            <w:r>
              <w:rPr>
                <w:rFonts w:ascii="Arial" w:hAnsi="Arial"/>
                <w:sz w:val="19"/>
              </w:rPr>
              <w:t>Combine all signals into a transparent, configurable, bounded triage score whose every term is published with the result.</w:t>
            </w:r>
          </w:p>
        </w:tc>
        <w:tc>
          <w:tcPr>
            <w:tcW w:type="dxa" w:w="1871"/>
          </w:tcPr>
          <w:p>
            <w:pPr>
              <w:spacing w:after="20" w:before="20" w:line="264" w:lineRule="auto"/>
            </w:pPr>
            <w:r>
              <w:rPr>
                <w:rFonts w:ascii="Arial" w:hAnsi="Arial"/>
                <w:sz w:val="19"/>
              </w:rPr>
              <w:t>5.5, 6.9</w:t>
            </w:r>
          </w:p>
        </w:tc>
      </w:tr>
      <w:tr>
        <w:trPr>
          <w:cantSplit/>
        </w:trPr>
        <w:tc>
          <w:tcPr>
            <w:tcW w:type="dxa" w:w="624"/>
            <w:shd w:val="clear" w:color="auto" w:fill="F4F2FA"/>
          </w:tcPr>
          <w:p>
            <w:pPr>
              <w:spacing w:after="20" w:before="20" w:line="264" w:lineRule="auto"/>
            </w:pPr>
            <w:r>
              <w:rPr>
                <w:rFonts w:ascii="Arial" w:hAnsi="Arial"/>
                <w:sz w:val="19"/>
              </w:rPr>
              <w:t>O10</w:t>
            </w:r>
          </w:p>
        </w:tc>
        <w:tc>
          <w:tcPr>
            <w:tcW w:type="dxa" w:w="6463"/>
            <w:shd w:val="clear" w:color="auto" w:fill="F4F2FA"/>
          </w:tcPr>
          <w:p>
            <w:pPr>
              <w:spacing w:after="20" w:before="20" w:line="264" w:lineRule="auto"/>
            </w:pPr>
            <w:r>
              <w:rPr>
                <w:rFonts w:ascii="Arial" w:hAnsi="Arial"/>
                <w:sz w:val="19"/>
              </w:rPr>
              <w:t>Present the evidence to an investigator such that each finding can be verified against the document, adjudicated with a written reason, and folded back into the score.</w:t>
            </w:r>
          </w:p>
        </w:tc>
        <w:tc>
          <w:tcPr>
            <w:tcW w:type="dxa" w:w="1871"/>
            <w:shd w:val="clear" w:color="auto" w:fill="F4F2FA"/>
          </w:tcPr>
          <w:p>
            <w:pPr>
              <w:spacing w:after="20" w:before="20" w:line="264" w:lineRule="auto"/>
            </w:pPr>
            <w:r>
              <w:rPr>
                <w:rFonts w:ascii="Arial" w:hAnsi="Arial"/>
                <w:sz w:val="19"/>
              </w:rPr>
              <w:t>6.11</w:t>
            </w:r>
          </w:p>
        </w:tc>
      </w:tr>
      <w:tr>
        <w:trPr>
          <w:cantSplit/>
        </w:trPr>
        <w:tc>
          <w:tcPr>
            <w:tcW w:type="dxa" w:w="624"/>
          </w:tcPr>
          <w:p>
            <w:pPr>
              <w:spacing w:after="20" w:before="20" w:line="264" w:lineRule="auto"/>
            </w:pPr>
            <w:r>
              <w:rPr>
                <w:rFonts w:ascii="Arial" w:hAnsi="Arial"/>
                <w:sz w:val="19"/>
              </w:rPr>
              <w:t>O11</w:t>
            </w:r>
          </w:p>
        </w:tc>
        <w:tc>
          <w:tcPr>
            <w:tcW w:type="dxa" w:w="6463"/>
          </w:tcPr>
          <w:p>
            <w:pPr>
              <w:spacing w:after="20" w:before="20" w:line="264" w:lineRule="auto"/>
            </w:pPr>
            <w:r>
              <w:rPr>
                <w:rFonts w:ascii="Arial" w:hAnsi="Arial"/>
                <w:sz w:val="19"/>
              </w:rPr>
              <w:t>Make the whole process auditable, role-separated and deployable, with tamper-evident records of every action.</w:t>
            </w:r>
          </w:p>
        </w:tc>
        <w:tc>
          <w:tcPr>
            <w:tcW w:type="dxa" w:w="1871"/>
          </w:tcPr>
          <w:p>
            <w:pPr>
              <w:spacing w:after="20" w:before="20" w:line="264" w:lineRule="auto"/>
            </w:pPr>
            <w:r>
              <w:rPr>
                <w:rFonts w:ascii="Arial" w:hAnsi="Arial"/>
                <w:sz w:val="19"/>
              </w:rPr>
              <w:t>5.6, 5.8, 6.13</w:t>
            </w:r>
          </w:p>
        </w:tc>
      </w:tr>
    </w:tbl>
    <w:p>
      <w:pPr>
        <w:spacing w:after="40"/>
      </w:pPr>
    </w:p>
    <w:p>
      <w:pPr>
        <w:pStyle w:val="Heading2"/>
      </w:pPr>
      <w:r>
        <w:t>2.3  Scope and exclusions</w:t>
      </w:r>
    </w:p>
    <w:p>
      <w:pPr>
        <w:spacing w:after="160"/>
        <w:jc w:val="both"/>
      </w:pPr>
      <w:r>
        <w:rPr>
          <w:b/>
        </w:rPr>
        <w:t>In scope.</w:t>
      </w:r>
      <w:r>
        <w:t xml:space="preserve"> The following are implemented and operating in the deployed system:</w:t>
      </w:r>
    </w:p>
    <w:p>
      <w:pPr>
        <w:pStyle w:val="ListBullet"/>
        <w:spacing w:after="80" w:line="288" w:lineRule="auto"/>
        <w:ind w:left="397"/>
      </w:pPr>
      <w:r>
        <w:t xml:space="preserve">Eleven document types with declared extraction schemas plus an </w:t>
      </w:r>
      <w:r>
        <w:rPr>
          <w:rFonts w:ascii="Consolas" w:hAnsi="Consolas"/>
          <w:color w:val="381A89"/>
          <w:sz w:val="20"/>
        </w:rPr>
        <w:t>other</w:t>
      </w:r>
      <w:r>
        <w:t xml:space="preserve"> fallback: medical invoice, hospital bill, prescription, identity document, insurance certificate, claim form, vehicle document, repair estimate, receipt, police report and bank payment document.</w:t>
      </w:r>
    </w:p>
    <w:p>
      <w:pPr>
        <w:pStyle w:val="ListBullet"/>
        <w:spacing w:after="80" w:line="288" w:lineRule="auto"/>
        <w:ind w:left="397"/>
      </w:pPr>
      <w:r>
        <w:t>PDF, JPEG, PNG and TIFF inputs up to 25 MB and 60 pages.</w:t>
      </w:r>
    </w:p>
    <w:p>
      <w:pPr>
        <w:pStyle w:val="ListBullet"/>
        <w:spacing w:after="80" w:line="288" w:lineRule="auto"/>
        <w:ind w:left="397"/>
      </w:pPr>
      <w:r>
        <w:t>English-language recognition and extraction.</w:t>
      </w:r>
    </w:p>
    <w:p>
      <w:pPr>
        <w:pStyle w:val="ListBullet"/>
        <w:spacing w:after="80" w:line="288" w:lineRule="auto"/>
        <w:ind w:left="397"/>
      </w:pPr>
      <w:r>
        <w:t>Four user roles with a 33-permission matrix enforced server-side on every endpoint.</w:t>
      </w:r>
    </w:p>
    <w:p>
      <w:pPr>
        <w:pStyle w:val="ListBullet"/>
        <w:spacing w:after="80" w:line="288" w:lineRule="auto"/>
        <w:ind w:left="397"/>
      </w:pPr>
      <w:r>
        <w:t>A complete investigator console, a PDF evidence report, and a hash-chained audit trail with an integrity-verification endpoint.</w:t>
      </w:r>
    </w:p>
    <w:p>
      <w:pPr>
        <w:spacing w:after="160"/>
        <w:jc w:val="both"/>
      </w:pPr>
      <w:r>
        <w:rPr>
          <w:b/>
        </w:rPr>
        <w:t>Explicitly out of scope.</w:t>
      </w:r>
      <w:r>
        <w:t xml:space="preserve"> Each exclusion is a deliberate decision, not an omission:</w:t>
      </w:r>
    </w:p>
    <w:p>
      <w:pPr>
        <w:pStyle w:val="ListBullet"/>
        <w:spacing w:after="80" w:line="288" w:lineRule="auto"/>
        <w:ind w:left="397"/>
      </w:pPr>
      <w:r>
        <w:rPr>
          <w:b/>
        </w:rPr>
        <w:t>A fraud verdict or a fraud probability.</w:t>
      </w:r>
      <w:r>
        <w:t xml:space="preserve"> See Section 1.3.</w:t>
      </w:r>
    </w:p>
    <w:p>
      <w:pPr>
        <w:pStyle w:val="ListBullet"/>
        <w:spacing w:after="80" w:line="288" w:lineRule="auto"/>
        <w:ind w:left="397"/>
      </w:pPr>
      <w:r>
        <w:rPr>
          <w:b/>
        </w:rPr>
        <w:t>A trained synthetic-media classifier.</w:t>
      </w:r>
      <w:r>
        <w:t xml:space="preserve"> The bundled provider is a deterministic eight-feature heuristic. Training a credible detector requires a labelled corpus of document images that this project does not have, and shipping an under-evaluated model behind a confident-looking number would be worse than shipping a declared heuristic. The production seam for a real model is implemented and tested.</w:t>
      </w:r>
    </w:p>
    <w:p>
      <w:pPr>
        <w:pStyle w:val="ListBullet"/>
        <w:spacing w:after="80" w:line="288" w:lineRule="auto"/>
        <w:ind w:left="397"/>
      </w:pPr>
      <w:r>
        <w:rPr>
          <w:b/>
        </w:rPr>
        <w:t>Live connections to real insurer, hospital, government or banking registries.</w:t>
      </w:r>
      <w:r>
        <w:t xml:space="preserve"> These require commercial agreements and accredited access. The interface, the outcome grading, the payload construction and the production HTTP provider are all implemented; the bundled providers answer from a sample registry and are labelled as demonstration data at every layer.</w:t>
      </w:r>
    </w:p>
    <w:p>
      <w:pPr>
        <w:pStyle w:val="ListBullet"/>
        <w:spacing w:after="80" w:line="288" w:lineRule="auto"/>
        <w:ind w:left="397"/>
      </w:pPr>
      <w:r>
        <w:rPr>
          <w:b/>
        </w:rPr>
        <w:t>Non-Latin scripts and non-English documents</w:t>
      </w:r>
      <w:r>
        <w:t>, which would need different OCR models, different label synonym sets and different date and money conventions.</w:t>
      </w:r>
    </w:p>
    <w:p>
      <w:pPr>
        <w:pStyle w:val="ListBullet"/>
        <w:spacing w:after="80" w:line="288" w:lineRule="auto"/>
        <w:ind w:left="397"/>
      </w:pPr>
      <w:r>
        <w:rPr>
          <w:b/>
        </w:rPr>
        <w:t>Handwriting recognition</w:t>
      </w:r>
      <w:r>
        <w:t xml:space="preserve"> and signature biometrics.</w:t>
      </w:r>
    </w:p>
    <w:p>
      <w:pPr>
        <w:pStyle w:val="ListBullet"/>
        <w:spacing w:after="80" w:line="288" w:lineRule="auto"/>
        <w:ind w:left="397"/>
      </w:pPr>
      <w:r>
        <w:rPr>
          <w:b/>
        </w:rPr>
        <w:t>Claim-level behavioural fraud analytics</w:t>
      </w:r>
      <w:r>
        <w:t xml:space="preserve"> — provider billing patterns, claimant history, network analysis. These operate on claim metadata rather than on the document, and are a complementary rather than a competing capability (Section 3.3).</w:t>
      </w:r>
    </w:p>
    <w:p>
      <w:pPr>
        <w:pStyle w:val="Heading2"/>
      </w:pPr>
      <w:r>
        <w:t>2.4  Deliverables</w:t>
      </w:r>
    </w:p>
    <w:p>
      <w:pPr>
        <w:keepNext/>
        <w:spacing w:after="60" w:before="120"/>
      </w:pPr>
      <w:r>
        <w:rPr>
          <w:rFonts w:ascii="Arial" w:hAnsi="Arial"/>
          <w:b/>
          <w:color w:val="381A89"/>
          <w:sz w:val="18"/>
        </w:rPr>
        <w:t xml:space="preserve">Table 2. </w:t>
      </w:r>
      <w:r>
        <w:rPr>
          <w:rFonts w:ascii="Arial" w:hAnsi="Arial"/>
          <w:color w:val="55516B"/>
          <w:sz w:val="18"/>
        </w:rPr>
        <w:t>Project deliverables as submitted.</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2438"/>
            <w:shd w:val="clear" w:color="auto" w:fill="2E1C6B"/>
          </w:tcPr>
          <w:p>
            <w:pPr>
              <w:spacing w:after="20" w:before="20" w:line="252" w:lineRule="auto"/>
            </w:pPr>
            <w:r>
              <w:rPr>
                <w:rFonts w:ascii="Arial" w:hAnsi="Arial"/>
                <w:b/>
                <w:color w:val="FFFFFF"/>
                <w:sz w:val="18"/>
              </w:rPr>
              <w:t>Deliverable</w:t>
            </w:r>
          </w:p>
        </w:tc>
        <w:tc>
          <w:tcPr>
            <w:tcW w:type="dxa" w:w="6520"/>
            <w:shd w:val="clear" w:color="auto" w:fill="2E1C6B"/>
          </w:tcPr>
          <w:p>
            <w:pPr>
              <w:spacing w:after="20" w:before="20" w:line="252" w:lineRule="auto"/>
            </w:pPr>
            <w:r>
              <w:rPr>
                <w:rFonts w:ascii="Arial" w:hAnsi="Arial"/>
                <w:b/>
                <w:color w:val="FFFFFF"/>
                <w:sz w:val="18"/>
              </w:rPr>
              <w:t>Detail</w:t>
            </w:r>
          </w:p>
        </w:tc>
      </w:tr>
      <w:tr>
        <w:trPr>
          <w:cantSplit/>
        </w:trPr>
        <w:tc>
          <w:tcPr>
            <w:tcW w:type="dxa" w:w="2438"/>
          </w:tcPr>
          <w:p>
            <w:pPr>
              <w:spacing w:after="20" w:before="20" w:line="264" w:lineRule="auto"/>
            </w:pPr>
            <w:r>
              <w:rPr>
                <w:rFonts w:ascii="Arial" w:hAnsi="Arial"/>
                <w:sz w:val="19"/>
              </w:rPr>
              <w:t>Analysis service</w:t>
            </w:r>
          </w:p>
        </w:tc>
        <w:tc>
          <w:tcPr>
            <w:tcW w:type="dxa" w:w="6520"/>
          </w:tcPr>
          <w:p>
            <w:pPr>
              <w:spacing w:after="20" w:before="20" w:line="264" w:lineRule="auto"/>
            </w:pPr>
            <w:r>
              <w:rPr>
                <w:rFonts w:ascii="Arial" w:hAnsi="Arial"/>
                <w:sz w:val="19"/>
              </w:rPr>
              <w:t>FastAPI application, 110 Python modules, 18,725 lines; 14-stage pipeline; 58 HTTP endpoints across 12 routers.</w:t>
            </w:r>
          </w:p>
        </w:tc>
      </w:tr>
      <w:tr>
        <w:trPr>
          <w:cantSplit/>
        </w:trPr>
        <w:tc>
          <w:tcPr>
            <w:tcW w:type="dxa" w:w="2438"/>
            <w:shd w:val="clear" w:color="auto" w:fill="F4F2FA"/>
          </w:tcPr>
          <w:p>
            <w:pPr>
              <w:spacing w:after="20" w:before="20" w:line="264" w:lineRule="auto"/>
            </w:pPr>
            <w:r>
              <w:rPr>
                <w:rFonts w:ascii="Arial" w:hAnsi="Arial"/>
                <w:sz w:val="19"/>
              </w:rPr>
              <w:t>Investigator console</w:t>
            </w:r>
          </w:p>
        </w:tc>
        <w:tc>
          <w:tcPr>
            <w:tcW w:type="dxa" w:w="6520"/>
            <w:shd w:val="clear" w:color="auto" w:fill="F4F2FA"/>
          </w:tcPr>
          <w:p>
            <w:pPr>
              <w:spacing w:after="20" w:before="20" w:line="264" w:lineRule="auto"/>
            </w:pPr>
            <w:r>
              <w:rPr>
                <w:rFonts w:ascii="Arial" w:hAnsi="Arial"/>
                <w:sz w:val="19"/>
              </w:rPr>
              <w:t>Next.js 15 application, 81 TypeScript modules, 11,077 lines; 12 authenticated screens.</w:t>
            </w:r>
          </w:p>
        </w:tc>
      </w:tr>
      <w:tr>
        <w:trPr>
          <w:cantSplit/>
        </w:trPr>
        <w:tc>
          <w:tcPr>
            <w:tcW w:type="dxa" w:w="2438"/>
          </w:tcPr>
          <w:p>
            <w:pPr>
              <w:spacing w:after="20" w:before="20" w:line="264" w:lineRule="auto"/>
            </w:pPr>
            <w:r>
              <w:rPr>
                <w:rFonts w:ascii="Arial" w:hAnsi="Arial"/>
                <w:sz w:val="19"/>
              </w:rPr>
              <w:t>Database schema</w:t>
            </w:r>
          </w:p>
        </w:tc>
        <w:tc>
          <w:tcPr>
            <w:tcW w:type="dxa" w:w="6520"/>
          </w:tcPr>
          <w:p>
            <w:pPr>
              <w:spacing w:after="20" w:before="20" w:line="264" w:lineRule="auto"/>
            </w:pPr>
            <w:r>
              <w:rPr>
                <w:rFonts w:ascii="Arial" w:hAnsi="Arial"/>
                <w:sz w:val="19"/>
              </w:rPr>
              <w:t>25 PostgreSQL tables under Alembic migration control.</w:t>
            </w:r>
          </w:p>
        </w:tc>
      </w:tr>
      <w:tr>
        <w:trPr>
          <w:cantSplit/>
        </w:trPr>
        <w:tc>
          <w:tcPr>
            <w:tcW w:type="dxa" w:w="2438"/>
            <w:shd w:val="clear" w:color="auto" w:fill="F4F2FA"/>
          </w:tcPr>
          <w:p>
            <w:pPr>
              <w:spacing w:after="20" w:before="20" w:line="264" w:lineRule="auto"/>
            </w:pPr>
            <w:r>
              <w:rPr>
                <w:rFonts w:ascii="Arial" w:hAnsi="Arial"/>
                <w:sz w:val="19"/>
              </w:rPr>
              <w:t>Detection content</w:t>
            </w:r>
          </w:p>
        </w:tc>
        <w:tc>
          <w:tcPr>
            <w:tcW w:type="dxa" w:w="6520"/>
            <w:shd w:val="clear" w:color="auto" w:fill="F4F2FA"/>
          </w:tcPr>
          <w:p>
            <w:pPr>
              <w:spacing w:after="20" w:before="20" w:line="264" w:lineRule="auto"/>
            </w:pPr>
            <w:r>
              <w:rPr>
                <w:rFonts w:ascii="Arial" w:hAnsi="Arial"/>
                <w:sz w:val="19"/>
              </w:rPr>
              <w:t>99 configured detection rules (20 consistency rules plus 79 detector and verification weights), 17 provider configurations, 12 extraction schemas, 60 field specifications.</w:t>
            </w:r>
          </w:p>
        </w:tc>
      </w:tr>
      <w:tr>
        <w:trPr>
          <w:cantSplit/>
        </w:trPr>
        <w:tc>
          <w:tcPr>
            <w:tcW w:type="dxa" w:w="2438"/>
          </w:tcPr>
          <w:p>
            <w:pPr>
              <w:spacing w:after="20" w:before="20" w:line="264" w:lineRule="auto"/>
            </w:pPr>
            <w:r>
              <w:rPr>
                <w:rFonts w:ascii="Arial" w:hAnsi="Arial"/>
                <w:sz w:val="19"/>
              </w:rPr>
              <w:t>Test suite</w:t>
            </w:r>
          </w:p>
        </w:tc>
        <w:tc>
          <w:tcPr>
            <w:tcW w:type="dxa" w:w="6520"/>
          </w:tcPr>
          <w:p>
            <w:pPr>
              <w:spacing w:after="20" w:before="20" w:line="264" w:lineRule="auto"/>
            </w:pPr>
            <w:r>
              <w:rPr>
                <w:rFonts w:ascii="Arial" w:hAnsi="Arial"/>
                <w:sz w:val="19"/>
              </w:rPr>
              <w:t>174 automated tests against real PostgreSQL and real storage; a 23-check scripted requirement walkthrough.</w:t>
            </w:r>
          </w:p>
        </w:tc>
      </w:tr>
      <w:tr>
        <w:trPr>
          <w:cantSplit/>
        </w:trPr>
        <w:tc>
          <w:tcPr>
            <w:tcW w:type="dxa" w:w="2438"/>
            <w:shd w:val="clear" w:color="auto" w:fill="F4F2FA"/>
          </w:tcPr>
          <w:p>
            <w:pPr>
              <w:spacing w:after="20" w:before="20" w:line="264" w:lineRule="auto"/>
            </w:pPr>
            <w:r>
              <w:rPr>
                <w:rFonts w:ascii="Arial" w:hAnsi="Arial"/>
                <w:sz w:val="19"/>
              </w:rPr>
              <w:t>Documentation</w:t>
            </w:r>
          </w:p>
        </w:tc>
        <w:tc>
          <w:tcPr>
            <w:tcW w:type="dxa" w:w="6520"/>
            <w:shd w:val="clear" w:color="auto" w:fill="F4F2FA"/>
          </w:tcPr>
          <w:p>
            <w:pPr>
              <w:spacing w:after="20" w:before="20" w:line="264" w:lineRule="auto"/>
            </w:pPr>
            <w:r>
              <w:rPr>
                <w:rFonts w:ascii="Arial" w:hAnsi="Arial"/>
                <w:sz w:val="19"/>
              </w:rPr>
              <w:t>Seven technical documents in the repository (architecture, detection catalogue, API, deployment, dokploy, security, walkthrough) plus this report.</w:t>
            </w:r>
          </w:p>
        </w:tc>
      </w:tr>
      <w:tr>
        <w:trPr>
          <w:cantSplit/>
        </w:trPr>
        <w:tc>
          <w:tcPr>
            <w:tcW w:type="dxa" w:w="2438"/>
          </w:tcPr>
          <w:p>
            <w:pPr>
              <w:spacing w:after="20" w:before="20" w:line="264" w:lineRule="auto"/>
            </w:pPr>
            <w:r>
              <w:rPr>
                <w:rFonts w:ascii="Arial" w:hAnsi="Arial"/>
                <w:sz w:val="19"/>
              </w:rPr>
              <w:t>Deployment</w:t>
            </w:r>
          </w:p>
        </w:tc>
        <w:tc>
          <w:tcPr>
            <w:tcW w:type="dxa" w:w="6520"/>
          </w:tcPr>
          <w:p>
            <w:pPr>
              <w:spacing w:after="20" w:before="20" w:line="264" w:lineRule="auto"/>
            </w:pPr>
            <w:r>
              <w:rPr>
                <w:rFonts w:ascii="Arial" w:hAnsi="Arial"/>
                <w:sz w:val="19"/>
              </w:rPr>
              <w:t>Self-managed Docker Compose stack behind Traefik with Let's Encrypt TLS, live at https://veridoc.rmaikr.top.</w:t>
            </w:r>
          </w:p>
        </w:tc>
      </w:tr>
    </w:tbl>
    <w:p>
      <w:pPr>
        <w:spacing w:after="40"/>
      </w:pPr>
    </w:p>
    <w:p>
      <w:r>
        <w:br w:type="page"/>
      </w:r>
    </w:p>
    <w:p>
      <w:pPr>
        <w:pStyle w:val="Heading1"/>
      </w:pPr>
      <w:r>
        <w:t>3  Review of Existing Approaches</w:t>
      </w:r>
    </w:p>
    <w:p>
      <w:pPr>
        <w:spacing w:after="160"/>
        <w:jc w:val="both"/>
      </w:pPr>
      <w:r>
        <w:t>Five approaches are currently available to an insurer that wants to know whether a claim document can be relied upon. Each is reviewed below on the same four criteria: what it actually measures, whether its output is explainable to a reviewer, whether it produces an auditable record, and where it fails.</w:t>
      </w:r>
    </w:p>
    <w:p>
      <w:pPr>
        <w:pStyle w:val="Heading2"/>
      </w:pPr>
      <w:r>
        <w:t>3.1  Manual examination by a claims handler</w:t>
      </w:r>
    </w:p>
    <w:p>
      <w:pPr>
        <w:spacing w:after="160"/>
        <w:jc w:val="both"/>
      </w:pPr>
      <w:r>
        <w:t>The default. A handler reads the documents, checks the arithmetic if there is time, and forms a judgement. Its strength is contextual: an experienced handler recognises that a particular clinic's invoices always look a certain way, and notices when one does not.</w:t>
      </w:r>
    </w:p>
    <w:p>
      <w:pPr>
        <w:spacing w:after="160"/>
        <w:jc w:val="both"/>
      </w:pPr>
      <w:r>
        <w:t>Its limits are structural rather than a matter of diligence. The handler cannot read PDF object structure, cannot compare a font resource against its neighbours, and cannot measure a compression history. Cross-document comparison across a six-document bundle involves dozens of field pairs and is performed, at volume, by sampling rather than exhaustively. And the record of the examination is typically a note, not a reproducible trace — so a decision cannot be re-examined on the same evidence a year later.</w:t>
      </w:r>
    </w:p>
    <w:p>
      <w:pPr>
        <w:pStyle w:val="Heading2"/>
      </w:pPr>
      <w:r>
        <w:t>3.2  Rule-only claim management systems</w:t>
      </w:r>
    </w:p>
    <w:p>
      <w:pPr>
        <w:spacing w:after="160"/>
        <w:jc w:val="both"/>
      </w:pPr>
      <w:r>
        <w:t>Most claim platforms embed configurable business rules: an amount over a threshold, a treatment date outside the cover window, a provider not on the panel. These are deterministic, cheap, explainable and entirely appropriate — VeriDoc implements twenty of them itself (Section 6.5).</w:t>
      </w:r>
    </w:p>
    <w:p>
      <w:pPr>
        <w:spacing w:after="160"/>
        <w:jc w:val="both"/>
      </w:pPr>
      <w:r>
        <w:t xml:space="preserve">The limitation is the input, not the mechanism. Such rules operate on fields that were keyed in or supplied by an intermediary, not on fields </w:t>
      </w:r>
      <w:r>
        <w:rPr>
          <w:i/>
        </w:rPr>
        <w:t>read from the document</w:t>
      </w:r>
      <w:r>
        <w:t>. A rule engine given a total of 6,500 cannot detect that the document says 8,500, because it never saw the document. Rules also cannot reach properties that are not fields at all: no rule expresses "this number was typed in a different font from the rest of its line".</w:t>
      </w:r>
    </w:p>
    <w:p>
      <w:pPr>
        <w:pStyle w:val="Heading2"/>
      </w:pPr>
      <w:r>
        <w:t>3.3  Statistical fraud scoring on claim metadata</w:t>
      </w:r>
    </w:p>
    <w:p>
      <w:pPr>
        <w:spacing w:after="160"/>
        <w:jc w:val="both"/>
      </w:pPr>
      <w:r>
        <w:t>Established practice in the industry, and genuinely effective: a model over claim, claimant, provider and network features — claim frequency, provider billing profile, time from policy inception to first claim, geographic clustering — produces a prioritisation score for a claim. Mature deployments detect organised and repeat fraud that no document examination could reach, because the signal lives in the pattern across claims rather than in any one file.</w:t>
      </w:r>
    </w:p>
    <w:p>
      <w:pPr>
        <w:spacing w:after="160"/>
        <w:jc w:val="both"/>
      </w:pPr>
      <w:r>
        <w:t xml:space="preserve">Three limitations are relevant here. Such models are </w:t>
      </w:r>
      <w:r>
        <w:rPr>
          <w:b/>
        </w:rPr>
        <w:t>document-blind</w:t>
      </w:r>
      <w:r>
        <w:t xml:space="preserve">: a perfectly edited invoice from a first-time claimant with an unremarkable profile scores as unremarkable. They are frequently </w:t>
      </w:r>
      <w:r>
        <w:rPr>
          <w:b/>
        </w:rPr>
        <w:t>not explainable</w:t>
      </w:r>
      <w:r>
        <w:t xml:space="preserve"> at the level a reviewer needs — a gradient-boosted score over 200 features cannot be checked against the document, only accepted or ignored. And they </w:t>
      </w:r>
      <w:r>
        <w:rPr>
          <w:b/>
        </w:rPr>
        <w:t>encode historical decisions</w:t>
      </w:r>
      <w:r>
        <w:t>: trained on past investigation outcomes, they reproduce whatever selection bias those investigations had. This approach and the present one are complementary, and Section 10.2 proposes their combination rather than a choice between them.</w:t>
      </w:r>
    </w:p>
    <w:p>
      <w:pPr>
        <w:pStyle w:val="Heading2"/>
      </w:pPr>
      <w:r>
        <w:t>3.4  Standalone image-forensics research tools</w:t>
      </w:r>
    </w:p>
    <w:p>
      <w:pPr>
        <w:spacing w:after="160"/>
        <w:jc w:val="both"/>
      </w:pPr>
      <w:r>
        <w:t>A substantial body of academic work provides the measurements this project relies on: error-level analysis (Krawetz, 2007), copy-move detection by keypoint matching (Fridrich et al., 2003; Amerini et al., 2011), sensor-noise inconsistency (Lukáš et al., 2006), resampling traces (Popescu and Farid, 2005), and the broader methodology of Farid (2009, 2016). Research implementations of each exist and are often openly available.</w:t>
      </w:r>
    </w:p>
    <w:p>
      <w:pPr>
        <w:spacing w:after="160"/>
        <w:jc w:val="both"/>
      </w:pPr>
      <w:r>
        <w:t xml:space="preserve">Three problems arise in applying them to claim documents specifically. First, </w:t>
      </w:r>
      <w:r>
        <w:rPr>
          <w:b/>
        </w:rPr>
        <w:t>the corpus is wrong</w:t>
      </w:r>
      <w:r>
        <w:t xml:space="preserve">: these detectors were developed and calibrated on natural photographs, whereas a claim document is mostly blank paper carrying high-contrast printed text. Section 6.3 documents two detectors — resampling periodicity and JPEG lattice energy — which fire on essentially every printed page because print has exactly the regular structure they look for; this project measures both, records them as context, and explicitly declines to raise them as signals on text-heavy rasters. Second, </w:t>
      </w:r>
      <w:r>
        <w:rPr>
          <w:b/>
        </w:rPr>
        <w:t>they are instruments, not systems</w:t>
      </w:r>
      <w:r>
        <w:t xml:space="preserve">: they output a heatmap for an analyst to interpret, with no extraction, no claim context, no adjudication and no audit record. Third, </w:t>
      </w:r>
      <w:r>
        <w:rPr>
          <w:b/>
        </w:rPr>
        <w:t>they do not cover digital-origin documents at all</w:t>
      </w:r>
      <w:r>
        <w:t xml:space="preserve"> — the dominant case in claims is a PDF that was never a photograph, where the signal lives in object structure and font resources rather than in pixels.</w:t>
      </w:r>
    </w:p>
    <w:p>
      <w:pPr>
        <w:pStyle w:val="Heading2"/>
      </w:pPr>
      <w:r>
        <w:t>3.5  Commercial document-verification services</w:t>
      </w:r>
    </w:p>
    <w:p>
      <w:pPr>
        <w:spacing w:after="160"/>
        <w:jc w:val="both"/>
      </w:pPr>
      <w:r>
        <w:t>A market exists for identity-document verification and, more recently, for general document-fraud detection offered as an API. These are effective within their design envelope — identity documents from known issuers, with known security features, are a well-bounded problem.</w:t>
      </w:r>
    </w:p>
    <w:p>
      <w:pPr>
        <w:spacing w:after="160"/>
        <w:jc w:val="both"/>
      </w:pPr>
      <w:r>
        <w:t xml:space="preserve">From the perspective of an insurer examining a mixed bundle, the difficulties are that coverage is narrow (an identity verifier has nothing to say about a hospital invoice), that the output is characteristically a </w:t>
      </w:r>
      <w:r>
        <w:rPr>
          <w:b/>
        </w:rPr>
        <w:t>score without evidence</w:t>
      </w:r>
      <w:r>
        <w:t xml:space="preserve">, which cannot be adjudicated or defended, that sending medical documents to a third-party API raises data-protection questions that are not always answerable, and that cross-document consistency within one claim — a property of the </w:t>
      </w:r>
      <w:r>
        <w:rPr>
          <w:i/>
        </w:rPr>
        <w:t>bundle</w:t>
      </w:r>
      <w:r>
        <w:t>, not of any file — is outside the service's view entirely.</w:t>
      </w:r>
    </w:p>
    <w:p>
      <w:pPr>
        <w:pStyle w:val="Heading2"/>
      </w:pPr>
      <w:r>
        <w:t>3.6  Gap analysis</w:t>
      </w:r>
    </w:p>
    <w:p>
      <w:pPr>
        <w:keepNext/>
        <w:spacing w:after="60" w:before="120"/>
      </w:pPr>
      <w:r>
        <w:rPr>
          <w:rFonts w:ascii="Arial" w:hAnsi="Arial"/>
          <w:b/>
          <w:color w:val="381A89"/>
          <w:sz w:val="18"/>
        </w:rPr>
        <w:t xml:space="preserve">Table 3. </w:t>
      </w:r>
      <w:r>
        <w:rPr>
          <w:rFonts w:ascii="Arial" w:hAnsi="Arial"/>
          <w:color w:val="55516B"/>
          <w:sz w:val="18"/>
        </w:rPr>
        <w:t>Capability comparison. ● full, ◐ partial, ○ absent.</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rPr>
          <w:cantSplit/>
          <w:tblHeader w:val="true"/>
        </w:trPr>
        <w:tc>
          <w:tcPr>
            <w:tcW w:type="dxa" w:w="3515"/>
            <w:shd w:val="clear" w:color="auto" w:fill="2E1C6B"/>
          </w:tcPr>
          <w:p>
            <w:pPr>
              <w:spacing w:after="20" w:before="20" w:line="252" w:lineRule="auto"/>
            </w:pPr>
            <w:r>
              <w:rPr>
                <w:rFonts w:ascii="Arial" w:hAnsi="Arial"/>
                <w:b/>
                <w:color w:val="FFFFFF"/>
                <w:sz w:val="16"/>
              </w:rPr>
              <w:t>Capability</w:t>
            </w:r>
          </w:p>
        </w:tc>
        <w:tc>
          <w:tcPr>
            <w:tcW w:type="dxa" w:w="907"/>
            <w:shd w:val="clear" w:color="auto" w:fill="2E1C6B"/>
          </w:tcPr>
          <w:p>
            <w:pPr>
              <w:spacing w:after="20" w:before="20" w:line="252" w:lineRule="auto"/>
            </w:pPr>
            <w:r>
              <w:rPr>
                <w:rFonts w:ascii="Arial" w:hAnsi="Arial"/>
                <w:b/>
                <w:color w:val="FFFFFF"/>
                <w:sz w:val="16"/>
              </w:rPr>
              <w:t>Manual</w:t>
            </w:r>
          </w:p>
        </w:tc>
        <w:tc>
          <w:tcPr>
            <w:tcW w:type="dxa" w:w="964"/>
            <w:shd w:val="clear" w:color="auto" w:fill="2E1C6B"/>
          </w:tcPr>
          <w:p>
            <w:pPr>
              <w:spacing w:after="20" w:before="20" w:line="252" w:lineRule="auto"/>
            </w:pPr>
            <w:r>
              <w:rPr>
                <w:rFonts w:ascii="Arial" w:hAnsi="Arial"/>
                <w:b/>
                <w:color w:val="FFFFFF"/>
                <w:sz w:val="16"/>
              </w:rPr>
              <w:t>Rule engine</w:t>
            </w:r>
          </w:p>
        </w:tc>
        <w:tc>
          <w:tcPr>
            <w:tcW w:type="dxa" w:w="964"/>
            <w:shd w:val="clear" w:color="auto" w:fill="2E1C6B"/>
          </w:tcPr>
          <w:p>
            <w:pPr>
              <w:spacing w:after="20" w:before="20" w:line="252" w:lineRule="auto"/>
            </w:pPr>
            <w:r>
              <w:rPr>
                <w:rFonts w:ascii="Arial" w:hAnsi="Arial"/>
                <w:b/>
                <w:color w:val="FFFFFF"/>
                <w:sz w:val="16"/>
              </w:rPr>
              <w:t>Metadata ML</w:t>
            </w:r>
          </w:p>
        </w:tc>
        <w:tc>
          <w:tcPr>
            <w:tcW w:type="dxa" w:w="1020"/>
            <w:shd w:val="clear" w:color="auto" w:fill="2E1C6B"/>
          </w:tcPr>
          <w:p>
            <w:pPr>
              <w:spacing w:after="20" w:before="20" w:line="252" w:lineRule="auto"/>
            </w:pPr>
            <w:r>
              <w:rPr>
                <w:rFonts w:ascii="Arial" w:hAnsi="Arial"/>
                <w:b/>
                <w:color w:val="FFFFFF"/>
                <w:sz w:val="16"/>
              </w:rPr>
              <w:t>Forensics tool</w:t>
            </w:r>
          </w:p>
        </w:tc>
        <w:tc>
          <w:tcPr>
            <w:tcW w:type="dxa" w:w="1077"/>
            <w:shd w:val="clear" w:color="auto" w:fill="2E1C6B"/>
          </w:tcPr>
          <w:p>
            <w:pPr>
              <w:spacing w:after="20" w:before="20" w:line="252" w:lineRule="auto"/>
            </w:pPr>
            <w:r>
              <w:rPr>
                <w:rFonts w:ascii="Arial" w:hAnsi="Arial"/>
                <w:b/>
                <w:color w:val="FFFFFF"/>
                <w:sz w:val="16"/>
              </w:rPr>
              <w:t>Doc-verify API</w:t>
            </w:r>
          </w:p>
        </w:tc>
        <w:tc>
          <w:tcPr>
            <w:tcW w:type="dxa" w:w="850"/>
            <w:shd w:val="clear" w:color="auto" w:fill="2E1C6B"/>
          </w:tcPr>
          <w:p>
            <w:pPr>
              <w:spacing w:after="20" w:before="20" w:line="252" w:lineRule="auto"/>
            </w:pPr>
            <w:r>
              <w:rPr>
                <w:rFonts w:ascii="Arial" w:hAnsi="Arial"/>
                <w:b/>
                <w:color w:val="FFFFFF"/>
                <w:sz w:val="16"/>
              </w:rPr>
              <w:t>VeriDoc</w:t>
            </w:r>
          </w:p>
        </w:tc>
      </w:tr>
      <w:tr>
        <w:trPr>
          <w:cantSplit/>
        </w:trPr>
        <w:tc>
          <w:tcPr>
            <w:tcW w:type="dxa" w:w="3515"/>
          </w:tcPr>
          <w:p>
            <w:pPr>
              <w:spacing w:after="20" w:before="20" w:line="264" w:lineRule="auto"/>
            </w:pPr>
            <w:r>
              <w:rPr>
                <w:rFonts w:ascii="Arial" w:hAnsi="Arial"/>
                <w:sz w:val="17"/>
              </w:rPr>
              <w:t>Reads the document itself</w:t>
            </w:r>
          </w:p>
        </w:tc>
        <w:tc>
          <w:tcPr>
            <w:tcW w:type="dxa" w:w="907"/>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1020"/>
          </w:tcPr>
          <w:p>
            <w:pPr>
              <w:spacing w:after="20" w:before="20" w:line="264" w:lineRule="auto"/>
            </w:pPr>
            <w:r>
              <w:rPr>
                <w:rFonts w:ascii="Arial" w:hAnsi="Arial"/>
                <w:sz w:val="17"/>
              </w:rPr>
              <w:t>◐</w:t>
            </w:r>
          </w:p>
        </w:tc>
        <w:tc>
          <w:tcPr>
            <w:tcW w:type="dxa" w:w="1077"/>
          </w:tcPr>
          <w:p>
            <w:pPr>
              <w:spacing w:after="20" w:before="20" w:line="264" w:lineRule="auto"/>
            </w:pPr>
            <w:r>
              <w:rPr>
                <w:rFonts w:ascii="Arial" w:hAnsi="Arial"/>
                <w:sz w:val="17"/>
              </w:rPr>
              <w:t>●</w:t>
            </w:r>
          </w:p>
        </w:tc>
        <w:tc>
          <w:tcPr>
            <w:tcW w:type="dxa" w:w="850"/>
          </w:tcPr>
          <w:p>
            <w:pPr>
              <w:spacing w:after="20" w:before="20" w:line="264" w:lineRule="auto"/>
            </w:pPr>
            <w:r>
              <w:rPr>
                <w:rFonts w:ascii="Arial" w:hAnsi="Arial"/>
                <w:sz w:val="17"/>
              </w:rPr>
              <w:t>●</w:t>
            </w:r>
          </w:p>
        </w:tc>
      </w:tr>
      <w:tr>
        <w:trPr>
          <w:cantSplit/>
        </w:trPr>
        <w:tc>
          <w:tcPr>
            <w:tcW w:type="dxa" w:w="3515"/>
            <w:shd w:val="clear" w:color="auto" w:fill="F4F2FA"/>
          </w:tcPr>
          <w:p>
            <w:pPr>
              <w:spacing w:after="20" w:before="20" w:line="264" w:lineRule="auto"/>
            </w:pPr>
            <w:r>
              <w:rPr>
                <w:rFonts w:ascii="Arial" w:hAnsi="Arial"/>
                <w:sz w:val="17"/>
              </w:rPr>
              <w:t>PDF structure and metadata analysis</w:t>
            </w:r>
          </w:p>
        </w:tc>
        <w:tc>
          <w:tcPr>
            <w:tcW w:type="dxa" w:w="907"/>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1020"/>
            <w:shd w:val="clear" w:color="auto" w:fill="F4F2FA"/>
          </w:tcPr>
          <w:p>
            <w:pPr>
              <w:spacing w:after="20" w:before="20" w:line="264" w:lineRule="auto"/>
            </w:pPr>
            <w:r>
              <w:rPr>
                <w:rFonts w:ascii="Arial" w:hAnsi="Arial"/>
                <w:sz w:val="17"/>
              </w:rPr>
              <w:t>◐</w:t>
            </w:r>
          </w:p>
        </w:tc>
        <w:tc>
          <w:tcPr>
            <w:tcW w:type="dxa" w:w="1077"/>
            <w:shd w:val="clear" w:color="auto" w:fill="F4F2FA"/>
          </w:tcPr>
          <w:p>
            <w:pPr>
              <w:spacing w:after="20" w:before="20" w:line="264" w:lineRule="auto"/>
            </w:pPr>
            <w:r>
              <w:rPr>
                <w:rFonts w:ascii="Arial" w:hAnsi="Arial"/>
                <w:sz w:val="17"/>
              </w:rPr>
              <w:t>◐</w:t>
            </w:r>
          </w:p>
        </w:tc>
        <w:tc>
          <w:tcPr>
            <w:tcW w:type="dxa" w:w="850"/>
            <w:shd w:val="clear" w:color="auto" w:fill="F4F2FA"/>
          </w:tcPr>
          <w:p>
            <w:pPr>
              <w:spacing w:after="20" w:before="20" w:line="264" w:lineRule="auto"/>
            </w:pPr>
            <w:r>
              <w:rPr>
                <w:rFonts w:ascii="Arial" w:hAnsi="Arial"/>
                <w:sz w:val="17"/>
              </w:rPr>
              <w:t>●</w:t>
            </w:r>
          </w:p>
        </w:tc>
      </w:tr>
      <w:tr>
        <w:trPr>
          <w:cantSplit/>
        </w:trPr>
        <w:tc>
          <w:tcPr>
            <w:tcW w:type="dxa" w:w="3515"/>
          </w:tcPr>
          <w:p>
            <w:pPr>
              <w:spacing w:after="20" w:before="20" w:line="264" w:lineRule="auto"/>
            </w:pPr>
            <w:r>
              <w:rPr>
                <w:rFonts w:ascii="Arial" w:hAnsi="Arial"/>
                <w:sz w:val="17"/>
              </w:rPr>
              <w:t>Pixel-level forensics</w:t>
            </w:r>
          </w:p>
        </w:tc>
        <w:tc>
          <w:tcPr>
            <w:tcW w:type="dxa" w:w="907"/>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1020"/>
          </w:tcPr>
          <w:p>
            <w:pPr>
              <w:spacing w:after="20" w:before="20" w:line="264" w:lineRule="auto"/>
            </w:pPr>
            <w:r>
              <w:rPr>
                <w:rFonts w:ascii="Arial" w:hAnsi="Arial"/>
                <w:sz w:val="17"/>
              </w:rPr>
              <w:t>●</w:t>
            </w:r>
          </w:p>
        </w:tc>
        <w:tc>
          <w:tcPr>
            <w:tcW w:type="dxa" w:w="1077"/>
          </w:tcPr>
          <w:p>
            <w:pPr>
              <w:spacing w:after="20" w:before="20" w:line="264" w:lineRule="auto"/>
            </w:pPr>
            <w:r>
              <w:rPr>
                <w:rFonts w:ascii="Arial" w:hAnsi="Arial"/>
                <w:sz w:val="17"/>
              </w:rPr>
              <w:t>◐</w:t>
            </w:r>
          </w:p>
        </w:tc>
        <w:tc>
          <w:tcPr>
            <w:tcW w:type="dxa" w:w="850"/>
          </w:tcPr>
          <w:p>
            <w:pPr>
              <w:spacing w:after="20" w:before="20" w:line="264" w:lineRule="auto"/>
            </w:pPr>
            <w:r>
              <w:rPr>
                <w:rFonts w:ascii="Arial" w:hAnsi="Arial"/>
                <w:sz w:val="17"/>
              </w:rPr>
              <w:t>●</w:t>
            </w:r>
          </w:p>
        </w:tc>
      </w:tr>
      <w:tr>
        <w:trPr>
          <w:cantSplit/>
        </w:trPr>
        <w:tc>
          <w:tcPr>
            <w:tcW w:type="dxa" w:w="3515"/>
            <w:shd w:val="clear" w:color="auto" w:fill="F4F2FA"/>
          </w:tcPr>
          <w:p>
            <w:pPr>
              <w:spacing w:after="20" w:before="20" w:line="264" w:lineRule="auto"/>
            </w:pPr>
            <w:r>
              <w:rPr>
                <w:rFonts w:ascii="Arial" w:hAnsi="Arial"/>
                <w:sz w:val="17"/>
              </w:rPr>
              <w:t>Typography / per-character font analysis</w:t>
            </w:r>
          </w:p>
        </w:tc>
        <w:tc>
          <w:tcPr>
            <w:tcW w:type="dxa" w:w="907"/>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1020"/>
            <w:shd w:val="clear" w:color="auto" w:fill="F4F2FA"/>
          </w:tcPr>
          <w:p>
            <w:pPr>
              <w:spacing w:after="20" w:before="20" w:line="264" w:lineRule="auto"/>
            </w:pPr>
            <w:r>
              <w:rPr>
                <w:rFonts w:ascii="Arial" w:hAnsi="Arial"/>
                <w:sz w:val="17"/>
              </w:rPr>
              <w:t>○</w:t>
            </w:r>
          </w:p>
        </w:tc>
        <w:tc>
          <w:tcPr>
            <w:tcW w:type="dxa" w:w="1077"/>
            <w:shd w:val="clear" w:color="auto" w:fill="F4F2FA"/>
          </w:tcPr>
          <w:p>
            <w:pPr>
              <w:spacing w:after="20" w:before="20" w:line="264" w:lineRule="auto"/>
            </w:pPr>
            <w:r>
              <w:rPr>
                <w:rFonts w:ascii="Arial" w:hAnsi="Arial"/>
                <w:sz w:val="17"/>
              </w:rPr>
              <w:t>○</w:t>
            </w:r>
          </w:p>
        </w:tc>
        <w:tc>
          <w:tcPr>
            <w:tcW w:type="dxa" w:w="850"/>
            <w:shd w:val="clear" w:color="auto" w:fill="F4F2FA"/>
          </w:tcPr>
          <w:p>
            <w:pPr>
              <w:spacing w:after="20" w:before="20" w:line="264" w:lineRule="auto"/>
            </w:pPr>
            <w:r>
              <w:rPr>
                <w:rFonts w:ascii="Arial" w:hAnsi="Arial"/>
                <w:sz w:val="17"/>
              </w:rPr>
              <w:t>●</w:t>
            </w:r>
          </w:p>
        </w:tc>
      </w:tr>
      <w:tr>
        <w:trPr>
          <w:cantSplit/>
        </w:trPr>
        <w:tc>
          <w:tcPr>
            <w:tcW w:type="dxa" w:w="3515"/>
          </w:tcPr>
          <w:p>
            <w:pPr>
              <w:spacing w:after="20" w:before="20" w:line="264" w:lineRule="auto"/>
            </w:pPr>
            <w:r>
              <w:rPr>
                <w:rFonts w:ascii="Arial" w:hAnsi="Arial"/>
                <w:sz w:val="17"/>
              </w:rPr>
              <w:t>Field extraction with page coordinates</w:t>
            </w:r>
          </w:p>
        </w:tc>
        <w:tc>
          <w:tcPr>
            <w:tcW w:type="dxa" w:w="907"/>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1020"/>
          </w:tcPr>
          <w:p>
            <w:pPr>
              <w:spacing w:after="20" w:before="20" w:line="264" w:lineRule="auto"/>
            </w:pPr>
            <w:r>
              <w:rPr>
                <w:rFonts w:ascii="Arial" w:hAnsi="Arial"/>
                <w:sz w:val="17"/>
              </w:rPr>
              <w:t>○</w:t>
            </w:r>
          </w:p>
        </w:tc>
        <w:tc>
          <w:tcPr>
            <w:tcW w:type="dxa" w:w="1077"/>
          </w:tcPr>
          <w:p>
            <w:pPr>
              <w:spacing w:after="20" w:before="20" w:line="264" w:lineRule="auto"/>
            </w:pPr>
            <w:r>
              <w:rPr>
                <w:rFonts w:ascii="Arial" w:hAnsi="Arial"/>
                <w:sz w:val="17"/>
              </w:rPr>
              <w:t>◐</w:t>
            </w:r>
          </w:p>
        </w:tc>
        <w:tc>
          <w:tcPr>
            <w:tcW w:type="dxa" w:w="850"/>
          </w:tcPr>
          <w:p>
            <w:pPr>
              <w:spacing w:after="20" w:before="20" w:line="264" w:lineRule="auto"/>
            </w:pPr>
            <w:r>
              <w:rPr>
                <w:rFonts w:ascii="Arial" w:hAnsi="Arial"/>
                <w:sz w:val="17"/>
              </w:rPr>
              <w:t>●</w:t>
            </w:r>
          </w:p>
        </w:tc>
      </w:tr>
      <w:tr>
        <w:trPr>
          <w:cantSplit/>
        </w:trPr>
        <w:tc>
          <w:tcPr>
            <w:tcW w:type="dxa" w:w="3515"/>
            <w:shd w:val="clear" w:color="auto" w:fill="F4F2FA"/>
          </w:tcPr>
          <w:p>
            <w:pPr>
              <w:spacing w:after="20" w:before="20" w:line="264" w:lineRule="auto"/>
            </w:pPr>
            <w:r>
              <w:rPr>
                <w:rFonts w:ascii="Arial" w:hAnsi="Arial"/>
                <w:sz w:val="17"/>
              </w:rPr>
              <w:t>Deterministic consistency rules</w:t>
            </w:r>
          </w:p>
        </w:tc>
        <w:tc>
          <w:tcPr>
            <w:tcW w:type="dxa" w:w="907"/>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1020"/>
            <w:shd w:val="clear" w:color="auto" w:fill="F4F2FA"/>
          </w:tcPr>
          <w:p>
            <w:pPr>
              <w:spacing w:after="20" w:before="20" w:line="264" w:lineRule="auto"/>
            </w:pPr>
            <w:r>
              <w:rPr>
                <w:rFonts w:ascii="Arial" w:hAnsi="Arial"/>
                <w:sz w:val="17"/>
              </w:rPr>
              <w:t>○</w:t>
            </w:r>
          </w:p>
        </w:tc>
        <w:tc>
          <w:tcPr>
            <w:tcW w:type="dxa" w:w="1077"/>
            <w:shd w:val="clear" w:color="auto" w:fill="F4F2FA"/>
          </w:tcPr>
          <w:p>
            <w:pPr>
              <w:spacing w:after="20" w:before="20" w:line="264" w:lineRule="auto"/>
            </w:pPr>
            <w:r>
              <w:rPr>
                <w:rFonts w:ascii="Arial" w:hAnsi="Arial"/>
                <w:sz w:val="17"/>
              </w:rPr>
              <w:t>◐</w:t>
            </w:r>
          </w:p>
        </w:tc>
        <w:tc>
          <w:tcPr>
            <w:tcW w:type="dxa" w:w="850"/>
            <w:shd w:val="clear" w:color="auto" w:fill="F4F2FA"/>
          </w:tcPr>
          <w:p>
            <w:pPr>
              <w:spacing w:after="20" w:before="20" w:line="264" w:lineRule="auto"/>
            </w:pPr>
            <w:r>
              <w:rPr>
                <w:rFonts w:ascii="Arial" w:hAnsi="Arial"/>
                <w:sz w:val="17"/>
              </w:rPr>
              <w:t>●</w:t>
            </w:r>
          </w:p>
        </w:tc>
      </w:tr>
      <w:tr>
        <w:trPr>
          <w:cantSplit/>
        </w:trPr>
        <w:tc>
          <w:tcPr>
            <w:tcW w:type="dxa" w:w="3515"/>
          </w:tcPr>
          <w:p>
            <w:pPr>
              <w:spacing w:after="20" w:before="20" w:line="264" w:lineRule="auto"/>
            </w:pPr>
            <w:r>
              <w:rPr>
                <w:rFonts w:ascii="Arial" w:hAnsi="Arial"/>
                <w:sz w:val="17"/>
              </w:rPr>
              <w:t>Cross-document agreement in a bundle</w:t>
            </w:r>
          </w:p>
        </w:tc>
        <w:tc>
          <w:tcPr>
            <w:tcW w:type="dxa" w:w="907"/>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1020"/>
          </w:tcPr>
          <w:p>
            <w:pPr>
              <w:spacing w:after="20" w:before="20" w:line="264" w:lineRule="auto"/>
            </w:pPr>
            <w:r>
              <w:rPr>
                <w:rFonts w:ascii="Arial" w:hAnsi="Arial"/>
                <w:sz w:val="17"/>
              </w:rPr>
              <w:t>○</w:t>
            </w:r>
          </w:p>
        </w:tc>
        <w:tc>
          <w:tcPr>
            <w:tcW w:type="dxa" w:w="1077"/>
          </w:tcPr>
          <w:p>
            <w:pPr>
              <w:spacing w:after="20" w:before="20" w:line="264" w:lineRule="auto"/>
            </w:pPr>
            <w:r>
              <w:rPr>
                <w:rFonts w:ascii="Arial" w:hAnsi="Arial"/>
                <w:sz w:val="17"/>
              </w:rPr>
              <w:t>○</w:t>
            </w:r>
          </w:p>
        </w:tc>
        <w:tc>
          <w:tcPr>
            <w:tcW w:type="dxa" w:w="850"/>
          </w:tcPr>
          <w:p>
            <w:pPr>
              <w:spacing w:after="20" w:before="20" w:line="264" w:lineRule="auto"/>
            </w:pPr>
            <w:r>
              <w:rPr>
                <w:rFonts w:ascii="Arial" w:hAnsi="Arial"/>
                <w:sz w:val="17"/>
              </w:rPr>
              <w:t>●</w:t>
            </w:r>
          </w:p>
        </w:tc>
      </w:tr>
      <w:tr>
        <w:trPr>
          <w:cantSplit/>
        </w:trPr>
        <w:tc>
          <w:tcPr>
            <w:tcW w:type="dxa" w:w="3515"/>
            <w:shd w:val="clear" w:color="auto" w:fill="F4F2FA"/>
          </w:tcPr>
          <w:p>
            <w:pPr>
              <w:spacing w:after="20" w:before="20" w:line="264" w:lineRule="auto"/>
            </w:pPr>
            <w:r>
              <w:rPr>
                <w:rFonts w:ascii="Arial" w:hAnsi="Arial"/>
                <w:sz w:val="17"/>
              </w:rPr>
              <w:t>External registry verification</w:t>
            </w:r>
          </w:p>
        </w:tc>
        <w:tc>
          <w:tcPr>
            <w:tcW w:type="dxa" w:w="907"/>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1020"/>
            <w:shd w:val="clear" w:color="auto" w:fill="F4F2FA"/>
          </w:tcPr>
          <w:p>
            <w:pPr>
              <w:spacing w:after="20" w:before="20" w:line="264" w:lineRule="auto"/>
            </w:pPr>
            <w:r>
              <w:rPr>
                <w:rFonts w:ascii="Arial" w:hAnsi="Arial"/>
                <w:sz w:val="17"/>
              </w:rPr>
              <w:t>○</w:t>
            </w:r>
          </w:p>
        </w:tc>
        <w:tc>
          <w:tcPr>
            <w:tcW w:type="dxa" w:w="1077"/>
            <w:shd w:val="clear" w:color="auto" w:fill="F4F2FA"/>
          </w:tcPr>
          <w:p>
            <w:pPr>
              <w:spacing w:after="20" w:before="20" w:line="264" w:lineRule="auto"/>
            </w:pPr>
            <w:r>
              <w:rPr>
                <w:rFonts w:ascii="Arial" w:hAnsi="Arial"/>
                <w:sz w:val="17"/>
              </w:rPr>
              <w:t>◐</w:t>
            </w:r>
          </w:p>
        </w:tc>
        <w:tc>
          <w:tcPr>
            <w:tcW w:type="dxa" w:w="850"/>
            <w:shd w:val="clear" w:color="auto" w:fill="F4F2FA"/>
          </w:tcPr>
          <w:p>
            <w:pPr>
              <w:spacing w:after="20" w:before="20" w:line="264" w:lineRule="auto"/>
            </w:pPr>
            <w:r>
              <w:rPr>
                <w:rFonts w:ascii="Arial" w:hAnsi="Arial"/>
                <w:sz w:val="17"/>
              </w:rPr>
              <w:t>●</w:t>
            </w:r>
          </w:p>
        </w:tc>
      </w:tr>
      <w:tr>
        <w:trPr>
          <w:cantSplit/>
        </w:trPr>
        <w:tc>
          <w:tcPr>
            <w:tcW w:type="dxa" w:w="3515"/>
          </w:tcPr>
          <w:p>
            <w:pPr>
              <w:spacing w:after="20" w:before="20" w:line="264" w:lineRule="auto"/>
            </w:pPr>
            <w:r>
              <w:rPr>
                <w:rFonts w:ascii="Arial" w:hAnsi="Arial"/>
                <w:sz w:val="17"/>
              </w:rPr>
              <w:t>Synthetic-media indication</w:t>
            </w:r>
          </w:p>
        </w:tc>
        <w:tc>
          <w:tcPr>
            <w:tcW w:type="dxa" w:w="907"/>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1020"/>
          </w:tcPr>
          <w:p>
            <w:pPr>
              <w:spacing w:after="20" w:before="20" w:line="264" w:lineRule="auto"/>
            </w:pPr>
            <w:r>
              <w:rPr>
                <w:rFonts w:ascii="Arial" w:hAnsi="Arial"/>
                <w:sz w:val="17"/>
              </w:rPr>
              <w:t>◐</w:t>
            </w:r>
          </w:p>
        </w:tc>
        <w:tc>
          <w:tcPr>
            <w:tcW w:type="dxa" w:w="1077"/>
          </w:tcPr>
          <w:p>
            <w:pPr>
              <w:spacing w:after="20" w:before="20" w:line="264" w:lineRule="auto"/>
            </w:pPr>
            <w:r>
              <w:rPr>
                <w:rFonts w:ascii="Arial" w:hAnsi="Arial"/>
                <w:sz w:val="17"/>
              </w:rPr>
              <w:t>◐</w:t>
            </w:r>
          </w:p>
        </w:tc>
        <w:tc>
          <w:tcPr>
            <w:tcW w:type="dxa" w:w="850"/>
          </w:tcPr>
          <w:p>
            <w:pPr>
              <w:spacing w:after="20" w:before="20" w:line="264" w:lineRule="auto"/>
            </w:pPr>
            <w:r>
              <w:rPr>
                <w:rFonts w:ascii="Arial" w:hAnsi="Arial"/>
                <w:sz w:val="17"/>
              </w:rPr>
              <w:t>◐</w:t>
            </w:r>
          </w:p>
        </w:tc>
      </w:tr>
      <w:tr>
        <w:trPr>
          <w:cantSplit/>
        </w:trPr>
        <w:tc>
          <w:tcPr>
            <w:tcW w:type="dxa" w:w="3515"/>
            <w:shd w:val="clear" w:color="auto" w:fill="F4F2FA"/>
          </w:tcPr>
          <w:p>
            <w:pPr>
              <w:spacing w:after="20" w:before="20" w:line="264" w:lineRule="auto"/>
            </w:pPr>
            <w:r>
              <w:rPr>
                <w:rFonts w:ascii="Arial" w:hAnsi="Arial"/>
                <w:sz w:val="17"/>
              </w:rPr>
              <w:t>Behavioural / network fraud signal</w:t>
            </w:r>
          </w:p>
        </w:tc>
        <w:tc>
          <w:tcPr>
            <w:tcW w:type="dxa" w:w="907"/>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1020"/>
            <w:shd w:val="clear" w:color="auto" w:fill="F4F2FA"/>
          </w:tcPr>
          <w:p>
            <w:pPr>
              <w:spacing w:after="20" w:before="20" w:line="264" w:lineRule="auto"/>
            </w:pPr>
            <w:r>
              <w:rPr>
                <w:rFonts w:ascii="Arial" w:hAnsi="Arial"/>
                <w:sz w:val="17"/>
              </w:rPr>
              <w:t>○</w:t>
            </w:r>
          </w:p>
        </w:tc>
        <w:tc>
          <w:tcPr>
            <w:tcW w:type="dxa" w:w="1077"/>
            <w:shd w:val="clear" w:color="auto" w:fill="F4F2FA"/>
          </w:tcPr>
          <w:p>
            <w:pPr>
              <w:spacing w:after="20" w:before="20" w:line="264" w:lineRule="auto"/>
            </w:pPr>
            <w:r>
              <w:rPr>
                <w:rFonts w:ascii="Arial" w:hAnsi="Arial"/>
                <w:sz w:val="17"/>
              </w:rPr>
              <w:t>○</w:t>
            </w:r>
          </w:p>
        </w:tc>
        <w:tc>
          <w:tcPr>
            <w:tcW w:type="dxa" w:w="850"/>
            <w:shd w:val="clear" w:color="auto" w:fill="F4F2FA"/>
          </w:tcPr>
          <w:p>
            <w:pPr>
              <w:spacing w:after="20" w:before="20" w:line="264" w:lineRule="auto"/>
            </w:pPr>
            <w:r>
              <w:rPr>
                <w:rFonts w:ascii="Arial" w:hAnsi="Arial"/>
                <w:sz w:val="17"/>
              </w:rPr>
              <w:t>○</w:t>
            </w:r>
          </w:p>
        </w:tc>
      </w:tr>
      <w:tr>
        <w:trPr>
          <w:cantSplit/>
        </w:trPr>
        <w:tc>
          <w:tcPr>
            <w:tcW w:type="dxa" w:w="3515"/>
          </w:tcPr>
          <w:p>
            <w:pPr>
              <w:spacing w:after="20" w:before="20" w:line="264" w:lineRule="auto"/>
            </w:pPr>
            <w:r>
              <w:rPr>
                <w:rFonts w:ascii="Arial" w:hAnsi="Arial"/>
                <w:sz w:val="17"/>
              </w:rPr>
              <w:t>Explainable to the level of a page region</w:t>
            </w:r>
          </w:p>
        </w:tc>
        <w:tc>
          <w:tcPr>
            <w:tcW w:type="dxa" w:w="907"/>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1020"/>
          </w:tcPr>
          <w:p>
            <w:pPr>
              <w:spacing w:after="20" w:before="20" w:line="264" w:lineRule="auto"/>
            </w:pPr>
            <w:r>
              <w:rPr>
                <w:rFonts w:ascii="Arial" w:hAnsi="Arial"/>
                <w:sz w:val="17"/>
              </w:rPr>
              <w:t>◐</w:t>
            </w:r>
          </w:p>
        </w:tc>
        <w:tc>
          <w:tcPr>
            <w:tcW w:type="dxa" w:w="1077"/>
          </w:tcPr>
          <w:p>
            <w:pPr>
              <w:spacing w:after="20" w:before="20" w:line="264" w:lineRule="auto"/>
            </w:pPr>
            <w:r>
              <w:rPr>
                <w:rFonts w:ascii="Arial" w:hAnsi="Arial"/>
                <w:sz w:val="17"/>
              </w:rPr>
              <w:t>○</w:t>
            </w:r>
          </w:p>
        </w:tc>
        <w:tc>
          <w:tcPr>
            <w:tcW w:type="dxa" w:w="850"/>
          </w:tcPr>
          <w:p>
            <w:pPr>
              <w:spacing w:after="20" w:before="20" w:line="264" w:lineRule="auto"/>
            </w:pPr>
            <w:r>
              <w:rPr>
                <w:rFonts w:ascii="Arial" w:hAnsi="Arial"/>
                <w:sz w:val="17"/>
              </w:rPr>
              <w:t>●</w:t>
            </w:r>
          </w:p>
        </w:tc>
      </w:tr>
      <w:tr>
        <w:trPr>
          <w:cantSplit/>
        </w:trPr>
        <w:tc>
          <w:tcPr>
            <w:tcW w:type="dxa" w:w="3515"/>
            <w:shd w:val="clear" w:color="auto" w:fill="F4F2FA"/>
          </w:tcPr>
          <w:p>
            <w:pPr>
              <w:spacing w:after="20" w:before="20" w:line="264" w:lineRule="auto"/>
            </w:pPr>
            <w:r>
              <w:rPr>
                <w:rFonts w:ascii="Arial" w:hAnsi="Arial"/>
                <w:sz w:val="17"/>
              </w:rPr>
              <w:t>States detector limitations in the output</w:t>
            </w:r>
          </w:p>
        </w:tc>
        <w:tc>
          <w:tcPr>
            <w:tcW w:type="dxa" w:w="907"/>
            <w:shd w:val="clear" w:color="auto" w:fill="F4F2FA"/>
          </w:tcPr>
          <w:p>
            <w:pPr>
              <w:spacing w:after="20" w:before="20" w:line="264" w:lineRule="auto"/>
            </w:pPr>
            <w:r>
              <w:rPr>
                <w:rFonts w:ascii="Arial" w:hAnsi="Arial"/>
                <w:sz w:val="17"/>
              </w:rPr>
              <w:t>n/a</w:t>
            </w:r>
          </w:p>
        </w:tc>
        <w:tc>
          <w:tcPr>
            <w:tcW w:type="dxa" w:w="964"/>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1020"/>
            <w:shd w:val="clear" w:color="auto" w:fill="F4F2FA"/>
          </w:tcPr>
          <w:p>
            <w:pPr>
              <w:spacing w:after="20" w:before="20" w:line="264" w:lineRule="auto"/>
            </w:pPr>
            <w:r>
              <w:rPr>
                <w:rFonts w:ascii="Arial" w:hAnsi="Arial"/>
                <w:sz w:val="17"/>
              </w:rPr>
              <w:t>○</w:t>
            </w:r>
          </w:p>
        </w:tc>
        <w:tc>
          <w:tcPr>
            <w:tcW w:type="dxa" w:w="1077"/>
            <w:shd w:val="clear" w:color="auto" w:fill="F4F2FA"/>
          </w:tcPr>
          <w:p>
            <w:pPr>
              <w:spacing w:after="20" w:before="20" w:line="264" w:lineRule="auto"/>
            </w:pPr>
            <w:r>
              <w:rPr>
                <w:rFonts w:ascii="Arial" w:hAnsi="Arial"/>
                <w:sz w:val="17"/>
              </w:rPr>
              <w:t>○</w:t>
            </w:r>
          </w:p>
        </w:tc>
        <w:tc>
          <w:tcPr>
            <w:tcW w:type="dxa" w:w="850"/>
            <w:shd w:val="clear" w:color="auto" w:fill="F4F2FA"/>
          </w:tcPr>
          <w:p>
            <w:pPr>
              <w:spacing w:after="20" w:before="20" w:line="264" w:lineRule="auto"/>
            </w:pPr>
            <w:r>
              <w:rPr>
                <w:rFonts w:ascii="Arial" w:hAnsi="Arial"/>
                <w:sz w:val="17"/>
              </w:rPr>
              <w:t>●</w:t>
            </w:r>
          </w:p>
        </w:tc>
      </w:tr>
      <w:tr>
        <w:trPr>
          <w:cantSplit/>
        </w:trPr>
        <w:tc>
          <w:tcPr>
            <w:tcW w:type="dxa" w:w="3515"/>
          </w:tcPr>
          <w:p>
            <w:pPr>
              <w:spacing w:after="20" w:before="20" w:line="264" w:lineRule="auto"/>
            </w:pPr>
            <w:r>
              <w:rPr>
                <w:rFonts w:ascii="Arial" w:hAnsi="Arial"/>
                <w:sz w:val="17"/>
              </w:rPr>
              <w:t>Mandatory human adjudication with reasons</w:t>
            </w:r>
          </w:p>
        </w:tc>
        <w:tc>
          <w:tcPr>
            <w:tcW w:type="dxa" w:w="907"/>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964"/>
          </w:tcPr>
          <w:p>
            <w:pPr>
              <w:spacing w:after="20" w:before="20" w:line="264" w:lineRule="auto"/>
            </w:pPr>
            <w:r>
              <w:rPr>
                <w:rFonts w:ascii="Arial" w:hAnsi="Arial"/>
                <w:sz w:val="17"/>
              </w:rPr>
              <w:t>○</w:t>
            </w:r>
          </w:p>
        </w:tc>
        <w:tc>
          <w:tcPr>
            <w:tcW w:type="dxa" w:w="1020"/>
          </w:tcPr>
          <w:p>
            <w:pPr>
              <w:spacing w:after="20" w:before="20" w:line="264" w:lineRule="auto"/>
            </w:pPr>
            <w:r>
              <w:rPr>
                <w:rFonts w:ascii="Arial" w:hAnsi="Arial"/>
                <w:sz w:val="17"/>
              </w:rPr>
              <w:t>○</w:t>
            </w:r>
          </w:p>
        </w:tc>
        <w:tc>
          <w:tcPr>
            <w:tcW w:type="dxa" w:w="1077"/>
          </w:tcPr>
          <w:p>
            <w:pPr>
              <w:spacing w:after="20" w:before="20" w:line="264" w:lineRule="auto"/>
            </w:pPr>
            <w:r>
              <w:rPr>
                <w:rFonts w:ascii="Arial" w:hAnsi="Arial"/>
                <w:sz w:val="17"/>
              </w:rPr>
              <w:t>○</w:t>
            </w:r>
          </w:p>
        </w:tc>
        <w:tc>
          <w:tcPr>
            <w:tcW w:type="dxa" w:w="850"/>
          </w:tcPr>
          <w:p>
            <w:pPr>
              <w:spacing w:after="20" w:before="20" w:line="264" w:lineRule="auto"/>
            </w:pPr>
            <w:r>
              <w:rPr>
                <w:rFonts w:ascii="Arial" w:hAnsi="Arial"/>
                <w:sz w:val="17"/>
              </w:rPr>
              <w:t>●</w:t>
            </w:r>
          </w:p>
        </w:tc>
      </w:tr>
      <w:tr>
        <w:trPr>
          <w:cantSplit/>
        </w:trPr>
        <w:tc>
          <w:tcPr>
            <w:tcW w:type="dxa" w:w="3515"/>
            <w:shd w:val="clear" w:color="auto" w:fill="F4F2FA"/>
          </w:tcPr>
          <w:p>
            <w:pPr>
              <w:spacing w:after="20" w:before="20" w:line="264" w:lineRule="auto"/>
            </w:pPr>
            <w:r>
              <w:rPr>
                <w:rFonts w:ascii="Arial" w:hAnsi="Arial"/>
                <w:sz w:val="17"/>
              </w:rPr>
              <w:t>Tamper-evident audit trail</w:t>
            </w:r>
          </w:p>
        </w:tc>
        <w:tc>
          <w:tcPr>
            <w:tcW w:type="dxa" w:w="907"/>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964"/>
            <w:shd w:val="clear" w:color="auto" w:fill="F4F2FA"/>
          </w:tcPr>
          <w:p>
            <w:pPr>
              <w:spacing w:after="20" w:before="20" w:line="264" w:lineRule="auto"/>
            </w:pPr>
            <w:r>
              <w:rPr>
                <w:rFonts w:ascii="Arial" w:hAnsi="Arial"/>
                <w:sz w:val="17"/>
              </w:rPr>
              <w:t>◐</w:t>
            </w:r>
          </w:p>
        </w:tc>
        <w:tc>
          <w:tcPr>
            <w:tcW w:type="dxa" w:w="1020"/>
            <w:shd w:val="clear" w:color="auto" w:fill="F4F2FA"/>
          </w:tcPr>
          <w:p>
            <w:pPr>
              <w:spacing w:after="20" w:before="20" w:line="264" w:lineRule="auto"/>
            </w:pPr>
            <w:r>
              <w:rPr>
                <w:rFonts w:ascii="Arial" w:hAnsi="Arial"/>
                <w:sz w:val="17"/>
              </w:rPr>
              <w:t>○</w:t>
            </w:r>
          </w:p>
        </w:tc>
        <w:tc>
          <w:tcPr>
            <w:tcW w:type="dxa" w:w="1077"/>
            <w:shd w:val="clear" w:color="auto" w:fill="F4F2FA"/>
          </w:tcPr>
          <w:p>
            <w:pPr>
              <w:spacing w:after="20" w:before="20" w:line="264" w:lineRule="auto"/>
            </w:pPr>
            <w:r>
              <w:rPr>
                <w:rFonts w:ascii="Arial" w:hAnsi="Arial"/>
                <w:sz w:val="17"/>
              </w:rPr>
              <w:t>◐</w:t>
            </w:r>
          </w:p>
        </w:tc>
        <w:tc>
          <w:tcPr>
            <w:tcW w:type="dxa" w:w="850"/>
            <w:shd w:val="clear" w:color="auto" w:fill="F4F2FA"/>
          </w:tcPr>
          <w:p>
            <w:pPr>
              <w:spacing w:after="20" w:before="20" w:line="264" w:lineRule="auto"/>
            </w:pPr>
            <w:r>
              <w:rPr>
                <w:rFonts w:ascii="Arial" w:hAnsi="Arial"/>
                <w:sz w:val="17"/>
              </w:rPr>
              <w:t>●</w:t>
            </w:r>
          </w:p>
        </w:tc>
      </w:tr>
    </w:tbl>
    <w:p>
      <w:pPr>
        <w:spacing w:after="40"/>
      </w:pPr>
    </w:p>
    <w:p>
      <w:pPr>
        <w:spacing w:after="160"/>
        <w:jc w:val="both"/>
      </w:pPr>
      <w:r>
        <w:t xml:space="preserve">The gap is not a missing detector. Every individual measurement VeriDoc performs has precedent in the literature or in a commercial product. The gap is that </w:t>
      </w:r>
      <w:r>
        <w:rPr>
          <w:b/>
        </w:rPr>
        <w:t>no available system assembles document-level measurement, field-level extraction, claim-level comparison and external verification into one explainable evidence record, ranks it for human attention, and then makes the human adjudication a first-class, audited part of the record</w:t>
      </w:r>
      <w:r>
        <w:t>. That assembly — and the epistemic discipline it requires — is what this project contributes.</w:t>
      </w:r>
    </w:p>
    <w:p>
      <w:r>
        <w:br w:type="page"/>
      </w:r>
    </w:p>
    <w:p>
      <w:pPr>
        <w:pStyle w:val="Heading1"/>
      </w:pPr>
      <w:r>
        <w:t>4  Methodology</w:t>
      </w:r>
    </w:p>
    <w:p>
      <w:pPr>
        <w:pStyle w:val="Heading2"/>
      </w:pPr>
      <w:r>
        <w:t>4.1  Development approach</w:t>
      </w:r>
    </w:p>
    <w:p>
      <w:pPr>
        <w:spacing w:after="160"/>
        <w:jc w:val="both"/>
      </w:pPr>
      <w:r>
        <w:t>Development was iterative and vertical-slice first. Rather than building all detectors and then a user interface, the first milestone was a single document travelling the entire path — upload, validation, render, OCR, extraction, one rule, one forensic measurement, a score, a screen — because the interfaces between those stages are where the design risk lives. Detector families were then added one at a time, each with tests, and each with a documented statement of what it cannot tell you written at the same time as the code.</w:t>
      </w:r>
    </w:p>
    <w:p>
      <w:pPr>
        <w:spacing w:after="160"/>
        <w:jc w:val="both"/>
      </w:pPr>
      <w:r>
        <w:t xml:space="preserve">Two practices were maintained throughout. </w:t>
      </w:r>
      <w:r>
        <w:rPr>
          <w:b/>
        </w:rPr>
        <w:t>The evidence contract came before the detector.</w:t>
      </w:r>
      <w:r>
        <w:t xml:space="preserve"> Every finding, regardless of family, carries the same fields — code, category, severity, confidence, page, region, description, evidence blob, detector identity and model version — which is why a single console component can render a deterministic rule failure and a model inference without special-casing either. </w:t>
      </w:r>
      <w:r>
        <w:rPr>
          <w:b/>
        </w:rPr>
        <w:t>Demo data was generated, not collected</w:t>
      </w:r>
      <w:r>
        <w:t xml:space="preserve"> (Section 4.4), so that every anomaly the platform reports on the sample corpus is a real measurement of a real file.</w:t>
      </w:r>
    </w:p>
    <w:p>
      <w:pPr>
        <w:pStyle w:val="Heading2"/>
      </w:pPr>
      <w:r>
        <w:t>4.2  Design principles</w:t>
      </w:r>
    </w:p>
    <w:p>
      <w:pPr>
        <w:spacing w:after="160"/>
        <w:jc w:val="both"/>
      </w:pPr>
      <w:r>
        <w:t>Six principles were adopted at the outset and are traceable to specific mechanisms in the implementation. They are stated here because most of the non-obvious decisions in Sections 5 and 6 follow from them.</w:t>
      </w:r>
    </w:p>
    <w:p>
      <w:pPr>
        <w:keepNext/>
        <w:spacing w:after="60" w:before="120"/>
      </w:pPr>
      <w:r>
        <w:rPr>
          <w:rFonts w:ascii="Arial" w:hAnsi="Arial"/>
          <w:b/>
          <w:color w:val="381A89"/>
          <w:sz w:val="18"/>
        </w:rPr>
        <w:t xml:space="preserve">Table 4. </w:t>
      </w:r>
      <w:r>
        <w:rPr>
          <w:rFonts w:ascii="Arial" w:hAnsi="Arial"/>
          <w:color w:val="55516B"/>
          <w:sz w:val="18"/>
        </w:rPr>
        <w:t>Design principles and the mechanisms that enforce them.</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3402"/>
            <w:shd w:val="clear" w:color="auto" w:fill="2E1C6B"/>
          </w:tcPr>
          <w:p>
            <w:pPr>
              <w:spacing w:after="20" w:before="20" w:line="252" w:lineRule="auto"/>
            </w:pPr>
            <w:r>
              <w:rPr>
                <w:rFonts w:ascii="Arial" w:hAnsi="Arial"/>
                <w:b/>
                <w:color w:val="FFFFFF"/>
                <w:sz w:val="18"/>
              </w:rPr>
              <w:t>Principle</w:t>
            </w:r>
          </w:p>
        </w:tc>
        <w:tc>
          <w:tcPr>
            <w:tcW w:type="dxa" w:w="5556"/>
            <w:shd w:val="clear" w:color="auto" w:fill="2E1C6B"/>
          </w:tcPr>
          <w:p>
            <w:pPr>
              <w:spacing w:after="20" w:before="20" w:line="252" w:lineRule="auto"/>
            </w:pPr>
            <w:r>
              <w:rPr>
                <w:rFonts w:ascii="Arial" w:hAnsi="Arial"/>
                <w:b/>
                <w:color w:val="FFFFFF"/>
                <w:sz w:val="18"/>
              </w:rPr>
              <w:t>Enforcing mechanism</w:t>
            </w:r>
          </w:p>
        </w:tc>
      </w:tr>
      <w:tr>
        <w:trPr>
          <w:cantSplit/>
        </w:trPr>
        <w:tc>
          <w:tcPr>
            <w:tcW w:type="dxa" w:w="3402"/>
          </w:tcPr>
          <w:p>
            <w:pPr>
              <w:spacing w:after="20" w:before="20" w:line="264" w:lineRule="auto"/>
            </w:pPr>
            <w:r>
              <w:rPr>
                <w:rFonts w:ascii="Arial" w:hAnsi="Arial"/>
                <w:b/>
                <w:sz w:val="19"/>
              </w:rPr>
              <w:t>P1. Measure; do not conclude.</w:t>
            </w:r>
            <w:r>
              <w:rPr>
                <w:rFonts w:ascii="Arial" w:hAnsi="Arial"/>
                <w:sz w:val="19"/>
              </w:rPr>
              <w:t xml:space="preserve"> No output asserts authenticity or fraud.</w:t>
            </w:r>
          </w:p>
        </w:tc>
        <w:tc>
          <w:tcPr>
            <w:tcW w:type="dxa" w:w="5556"/>
          </w:tcPr>
          <w:p>
            <w:pPr>
              <w:spacing w:after="20" w:before="20" w:line="264" w:lineRule="auto"/>
            </w:pPr>
            <w:r>
              <w:rPr>
                <w:rFonts w:ascii="Arial" w:hAnsi="Arial"/>
                <w:sz w:val="19"/>
              </w:rPr>
              <w:t>The risk engine emits a fixed interpretation note with every assessment; the synthetic-media provider returns a band, never a verdict; risk-band wording is centralised in one module so that "High Concern" cannot drift into "fraudulent" anywhere in the product.</w:t>
            </w:r>
          </w:p>
        </w:tc>
      </w:tr>
      <w:tr>
        <w:trPr>
          <w:cantSplit/>
        </w:trPr>
        <w:tc>
          <w:tcPr>
            <w:tcW w:type="dxa" w:w="3402"/>
            <w:shd w:val="clear" w:color="auto" w:fill="F4F2FA"/>
          </w:tcPr>
          <w:p>
            <w:pPr>
              <w:spacing w:after="20" w:before="20" w:line="264" w:lineRule="auto"/>
            </w:pPr>
            <w:r>
              <w:rPr>
                <w:rFonts w:ascii="Arial" w:hAnsi="Arial"/>
                <w:b/>
                <w:sz w:val="19"/>
              </w:rPr>
              <w:t>P2. State the limits in the product.</w:t>
            </w:r>
            <w:r>
              <w:rPr>
                <w:rFonts w:ascii="Arial" w:hAnsi="Arial"/>
                <w:sz w:val="19"/>
              </w:rPr>
              <w:t xml:space="preserve"> A detector whose limitations are undocumented will be over-trusted.</w:t>
            </w:r>
          </w:p>
        </w:tc>
        <w:tc>
          <w:tcPr>
            <w:tcW w:type="dxa" w:w="5556"/>
            <w:shd w:val="clear" w:color="auto" w:fill="F4F2FA"/>
          </w:tcPr>
          <w:p>
            <w:pPr>
              <w:spacing w:after="20" w:before="20" w:line="264" w:lineRule="auto"/>
            </w:pPr>
            <w:r>
              <w:rPr>
                <w:rFonts w:ascii="Arial" w:hAnsi="Arial"/>
                <w:sz w:val="19"/>
              </w:rPr>
              <w:t xml:space="preserve">Every finding carries an uncertainty note and its benign explanations; the forensics panel displays the raw measurements </w:t>
            </w:r>
            <w:r>
              <w:rPr>
                <w:rFonts w:ascii="Arial" w:hAnsi="Arial"/>
                <w:i/>
                <w:sz w:val="19"/>
              </w:rPr>
              <w:t>including metrics that did not fire</w:t>
            </w:r>
            <w:r>
              <w:rPr>
                <w:rFonts w:ascii="Arial" w:hAnsi="Arial"/>
                <w:sz w:val="19"/>
              </w:rPr>
              <w:t>; a degraded pipeline stage is disclosed in the assessment so that an absence of findings is not read as evidence of integrity.</w:t>
            </w:r>
          </w:p>
        </w:tc>
      </w:tr>
      <w:tr>
        <w:trPr>
          <w:cantSplit/>
        </w:trPr>
        <w:tc>
          <w:tcPr>
            <w:tcW w:type="dxa" w:w="3402"/>
          </w:tcPr>
          <w:p>
            <w:pPr>
              <w:spacing w:after="20" w:before="20" w:line="264" w:lineRule="auto"/>
            </w:pPr>
            <w:r>
              <w:rPr>
                <w:rFonts w:ascii="Arial" w:hAnsi="Arial"/>
                <w:b/>
                <w:sz w:val="19"/>
              </w:rPr>
              <w:t>P3. Never lose the original.</w:t>
            </w:r>
            <w:r>
              <w:rPr>
                <w:rFonts w:ascii="Arial" w:hAnsi="Arial"/>
                <w:sz w:val="19"/>
              </w:rPr>
              <w:t xml:space="preserve"> Evidence must outlive any processing error.</w:t>
            </w:r>
          </w:p>
        </w:tc>
        <w:tc>
          <w:tcPr>
            <w:tcW w:type="dxa" w:w="5556"/>
          </w:tcPr>
          <w:p>
            <w:pPr>
              <w:spacing w:after="20" w:before="20" w:line="264" w:lineRule="auto"/>
            </w:pPr>
            <w:r>
              <w:rPr>
                <w:rFonts w:ascii="Arial" w:hAnsi="Arial"/>
                <w:sz w:val="19"/>
              </w:rPr>
              <w:t xml:space="preserve">Originals are written once, fsynced, atomically renamed and chmod </w:t>
            </w:r>
            <w:r>
              <w:rPr>
                <w:rFonts w:ascii="Consolas" w:hAnsi="Consolas"/>
                <w:color w:val="381A89"/>
                <w:sz w:val="17"/>
              </w:rPr>
              <w:t>0o440</w:t>
            </w:r>
            <w:r>
              <w:rPr>
                <w:rFonts w:ascii="Arial" w:hAnsi="Arial"/>
                <w:sz w:val="19"/>
              </w:rPr>
              <w:t xml:space="preserve"> in a storage scope separate from derived artifacts; no stage mutates or deletes them; a malware verdict quarantines without deleting; the retention job removes an original only if the document has </w:t>
            </w:r>
            <w:r>
              <w:rPr>
                <w:rFonts w:ascii="Arial" w:hAnsi="Arial"/>
                <w:i/>
                <w:sz w:val="19"/>
              </w:rPr>
              <w:t>also</w:t>
            </w:r>
            <w:r>
              <w:rPr>
                <w:rFonts w:ascii="Arial" w:hAnsi="Arial"/>
                <w:sz w:val="19"/>
              </w:rPr>
              <w:t xml:space="preserve"> been soft-deleted.</w:t>
            </w:r>
          </w:p>
        </w:tc>
      </w:tr>
      <w:tr>
        <w:trPr>
          <w:cantSplit/>
        </w:trPr>
        <w:tc>
          <w:tcPr>
            <w:tcW w:type="dxa" w:w="3402"/>
            <w:shd w:val="clear" w:color="auto" w:fill="F4F2FA"/>
          </w:tcPr>
          <w:p>
            <w:pPr>
              <w:spacing w:after="20" w:before="20" w:line="264" w:lineRule="auto"/>
            </w:pPr>
            <w:r>
              <w:rPr>
                <w:rFonts w:ascii="Arial" w:hAnsi="Arial"/>
                <w:b/>
                <w:sz w:val="19"/>
              </w:rPr>
              <w:t>P4. Human decisions survive the machine.</w:t>
            </w:r>
            <w:r>
              <w:rPr>
                <w:rFonts w:ascii="Arial" w:hAnsi="Arial"/>
                <w:sz w:val="19"/>
              </w:rPr>
              <w:t xml:space="preserve"> Reprocessing must not discard judgement.</w:t>
            </w:r>
          </w:p>
        </w:tc>
        <w:tc>
          <w:tcPr>
            <w:tcW w:type="dxa" w:w="5556"/>
            <w:shd w:val="clear" w:color="auto" w:fill="F4F2FA"/>
          </w:tcPr>
          <w:p>
            <w:pPr>
              <w:spacing w:after="20" w:before="20" w:line="264" w:lineRule="auto"/>
            </w:pPr>
            <w:r>
              <w:rPr>
                <w:rFonts w:ascii="Arial" w:hAnsi="Arial"/>
                <w:sz w:val="19"/>
              </w:rPr>
              <w:t>Confirm/dismiss decisions are snapshotted before findings are regenerated and re-applied to the equivalent new finding, keyed on kind, code, page and a 24-pixel-bucketed region.</w:t>
            </w:r>
          </w:p>
        </w:tc>
      </w:tr>
      <w:tr>
        <w:trPr>
          <w:cantSplit/>
        </w:trPr>
        <w:tc>
          <w:tcPr>
            <w:tcW w:type="dxa" w:w="3402"/>
          </w:tcPr>
          <w:p>
            <w:pPr>
              <w:spacing w:after="20" w:before="20" w:line="264" w:lineRule="auto"/>
            </w:pPr>
            <w:r>
              <w:rPr>
                <w:rFonts w:ascii="Arial" w:hAnsi="Arial"/>
                <w:b/>
                <w:sz w:val="19"/>
              </w:rPr>
              <w:t>P5. Configuration, not code.</w:t>
            </w:r>
            <w:r>
              <w:rPr>
                <w:rFonts w:ascii="Arial" w:hAnsi="Arial"/>
                <w:sz w:val="19"/>
              </w:rPr>
              <w:t xml:space="preserve"> Thresholds an operator must tune must not require a deployment.</w:t>
            </w:r>
          </w:p>
        </w:tc>
        <w:tc>
          <w:tcPr>
            <w:tcW w:type="dxa" w:w="5556"/>
          </w:tcPr>
          <w:p>
            <w:pPr>
              <w:spacing w:after="20" w:before="20" w:line="264" w:lineRule="auto"/>
            </w:pPr>
            <w:r>
              <w:rPr>
                <w:rFonts w:ascii="Arial" w:hAnsi="Arial"/>
                <w:sz w:val="19"/>
              </w:rPr>
              <w:t>Rule severities, weights, parameters, category ceilings and band thresholds live in database tables read at run time and are editable by an administrator, with every change audited.</w:t>
            </w:r>
          </w:p>
        </w:tc>
      </w:tr>
      <w:tr>
        <w:trPr>
          <w:cantSplit/>
        </w:trPr>
        <w:tc>
          <w:tcPr>
            <w:tcW w:type="dxa" w:w="3402"/>
            <w:shd w:val="clear" w:color="auto" w:fill="F4F2FA"/>
          </w:tcPr>
          <w:p>
            <w:pPr>
              <w:spacing w:after="20" w:before="20" w:line="264" w:lineRule="auto"/>
            </w:pPr>
            <w:r>
              <w:rPr>
                <w:rFonts w:ascii="Arial" w:hAnsi="Arial"/>
                <w:b/>
                <w:sz w:val="19"/>
              </w:rPr>
              <w:t>P6. Colour never carries meaning alone.</w:t>
            </w:r>
            <w:r>
              <w:rPr>
                <w:rFonts w:ascii="Arial" w:hAnsi="Arial"/>
                <w:sz w:val="19"/>
              </w:rPr>
              <w:t xml:space="preserve"> The product is read for hours by people with varying colour vision.</w:t>
            </w:r>
          </w:p>
        </w:tc>
        <w:tc>
          <w:tcPr>
            <w:tcW w:type="dxa" w:w="5556"/>
            <w:shd w:val="clear" w:color="auto" w:fill="F4F2FA"/>
          </w:tcPr>
          <w:p>
            <w:pPr>
              <w:spacing w:after="20" w:before="20" w:line="264" w:lineRule="auto"/>
            </w:pPr>
            <w:r>
              <w:rPr>
                <w:rFonts w:ascii="Arial" w:hAnsi="Arial"/>
                <w:sz w:val="19"/>
              </w:rPr>
              <w:t>Risk bands are always accompanied by their name; charts use a validated single-hue ordinal ramp rather than a green-to-red triad; every chart can be switched to its underlying table; the active navigation item is marked by a rail as well as a colour (Section 7.4).</w:t>
            </w:r>
          </w:p>
        </w:tc>
      </w:tr>
    </w:tbl>
    <w:p>
      <w:pPr>
        <w:spacing w:after="40"/>
      </w:pPr>
    </w:p>
    <w:p>
      <w:pPr>
        <w:pStyle w:val="Heading2"/>
      </w:pPr>
      <w:r>
        <w:t>4.3  The provider-interface strategy</w:t>
      </w:r>
    </w:p>
    <w:p>
      <w:pPr>
        <w:spacing w:after="160"/>
        <w:jc w:val="both"/>
      </w:pPr>
      <w:r>
        <w:t>Five capabilities in the pipeline depend on facilities that a real deployment would buy rather than build: optical character recognition, synthetic-media detection, trusted-source verification, object storage and malware scanning. Each is expressed as an abstract provider with at least one locally runnable implementation and a production seam behind the same interface.</w:t>
      </w:r>
    </w:p>
    <w:p>
      <w:pPr>
        <w:spacing w:after="160"/>
        <w:jc w:val="both"/>
      </w:pPr>
      <w:r>
        <w:t>The consequence is that the system is complete and testable with no external credentials at all, while a production provider can be substituted without touching the pipeline. Three properties were required of every provider interface:</w:t>
      </w:r>
    </w:p>
    <w:p>
      <w:pPr>
        <w:pStyle w:val="ListNumber"/>
        <w:spacing w:after="80" w:line="288" w:lineRule="auto"/>
        <w:ind w:left="397"/>
      </w:pPr>
      <w:r>
        <w:rPr>
          <w:b/>
        </w:rPr>
        <w:t>Failure is a first-class outcome.</w:t>
      </w:r>
      <w:r>
        <w:t xml:space="preserve"> A provider that cannot answer raises </w:t>
      </w:r>
      <w:r>
        <w:rPr>
          <w:rFonts w:ascii="Consolas" w:hAnsi="Consolas"/>
          <w:color w:val="381A89"/>
          <w:sz w:val="20"/>
        </w:rPr>
        <w:t>ProviderUnavailable</w:t>
      </w:r>
      <w:r>
        <w:t>, which degrades exactly one pipeline stage and is recorded; it never yields a fabricated result. The production HTTP synthetic-media provider raises rather than defaulting when the response lacks a numeric likelihood.</w:t>
      </w:r>
    </w:p>
    <w:p>
      <w:pPr>
        <w:pStyle w:val="ListNumber"/>
        <w:spacing w:after="80" w:line="288" w:lineRule="auto"/>
        <w:ind w:left="397"/>
      </w:pPr>
      <w:r>
        <w:rPr>
          <w:b/>
        </w:rPr>
        <w:t>Demonstration output is labelled at every layer.</w:t>
      </w:r>
      <w:r>
        <w:t xml:space="preserve"> A demo answer carries </w:t>
      </w:r>
      <w:r>
        <w:rPr>
          <w:rFonts w:ascii="Consolas" w:hAnsi="Consolas"/>
          <w:color w:val="381A89"/>
          <w:sz w:val="20"/>
        </w:rPr>
        <w:t>is_demo_data</w:t>
      </w:r>
      <w:r>
        <w:t xml:space="preserve">, a disclaimer naming the bundled registry, a </w:t>
      </w:r>
      <w:r>
        <w:rPr>
          <w:rFonts w:ascii="Consolas" w:hAnsi="Consolas"/>
          <w:color w:val="381A89"/>
          <w:sz w:val="20"/>
        </w:rPr>
        <w:t>provider_mode</w:t>
      </w:r>
      <w:r>
        <w:t xml:space="preserve"> on the stored request, a demo badge in the console and an </w:t>
      </w:r>
      <w:r>
        <w:rPr>
          <w:rFonts w:ascii="Consolas" w:hAnsi="Consolas"/>
          <w:color w:val="381A89"/>
          <w:sz w:val="20"/>
        </w:rPr>
        <w:t>[EXTERNAL – DEMO]</w:t>
      </w:r>
      <w:r>
        <w:t xml:space="preserve"> marker in the PDF report. There is no configuration in which demonstration output can be presented as a real external confirmation.</w:t>
      </w:r>
    </w:p>
    <w:p>
      <w:pPr>
        <w:pStyle w:val="ListNumber"/>
        <w:spacing w:after="80" w:line="288" w:lineRule="auto"/>
        <w:ind w:left="397"/>
      </w:pPr>
      <w:r>
        <w:rPr>
          <w:b/>
        </w:rPr>
        <w:t>Provider identity travels with the finding.</w:t>
      </w:r>
      <w:r>
        <w:t xml:space="preserve"> Provider key, model name and model version are stored on the finding and printed in the report, so a result can be attributed to the exact detector that produced it after the fact.</w:t>
      </w:r>
    </w:p>
    <w:p>
      <w:pPr>
        <w:pStyle w:val="Heading2"/>
      </w:pPr>
      <w:r>
        <w:t>4.4  A generated, deterministic evaluation corpus</w:t>
      </w:r>
    </w:p>
    <w:p>
      <w:pPr>
        <w:spacing w:after="160"/>
        <w:jc w:val="both"/>
      </w:pPr>
      <w:r>
        <w:t xml:space="preserve">Evaluating a document-forensics system requires documents with known manipulations. Public corpora of manipulated </w:t>
      </w:r>
      <w:r>
        <w:rPr>
          <w:i/>
        </w:rPr>
        <w:t>insurance</w:t>
      </w:r>
      <w:r>
        <w:t xml:space="preserve"> documents do not exist for good reasons, and hand-annotated real claim documents cannot be redistributed. Two unsatisfactory options remained: bundle a handful of files and fabricate the findings, or generate the corpus.</w:t>
      </w:r>
    </w:p>
    <w:p>
      <w:pPr>
        <w:spacing w:after="160"/>
        <w:jc w:val="both"/>
      </w:pPr>
      <w:r>
        <w:t xml:space="preserve">This project generates it. A specification describes each demonstration document, and a generator renders a real PDF or raster with the anomaly baked in </w:t>
      </w:r>
      <w:r>
        <w:rPr>
          <w:i/>
        </w:rPr>
        <w:t>at the object or pixel level</w:t>
      </w:r>
      <w:r>
        <w:t>: a genuine incremental PDF revision, a total drawn from a different font resource than the rest of its line, a value re-typed after capture with the resulting compression discontinuity, EXIF naming a raster editor, an annotation overlaying the amounts block. The pipeline then has real evidence to find, and the demonstration exercises the production code paths rather than a fixture.</w:t>
      </w:r>
    </w:p>
    <w:p>
      <w:pPr>
        <w:spacing w:after="160"/>
        <w:jc w:val="both"/>
      </w:pPr>
      <w:r>
        <w:t>All randomness is seeded, so the same seed produces byte-identical documents, identical findings and identical scores on any machine — which is what makes the corpus usable as a regression test as well as a demonstration. The corpus comprises 10 claims and 22 documents covering nine scenario classes (Section 8.1).</w:t>
      </w:r>
    </w:p>
    <w:tbl>
      <w:tblPr>
        <w:tblW w:type="auto" w:w="0"/>
        <w:tblLook w:firstColumn="1" w:firstRow="1" w:lastColumn="0" w:lastRow="0" w:noHBand="0" w:noVBand="1" w:val="04A0"/>
      </w:tblPr>
      <w:tblGrid>
        <w:gridCol w:w="9185"/>
      </w:tblGrid>
      <w:tr>
        <w:tc>
          <w:tcPr>
            <w:tcW w:type="dxa" w:w="9184"/>
            <w:tcBorders>
              <w:left w:val="single" w:sz="24" w:space="0" w:color="2E1C6B"/>
            </w:tcBorders>
            <w:shd w:val="clear" w:color="auto" w:fill="F7F6FB"/>
          </w:tcPr>
          <w:p>
            <w:pPr>
              <w:spacing w:after="60"/>
            </w:pPr>
            <w:r>
              <w:rPr>
                <w:rFonts w:ascii="Arial" w:hAnsi="Arial"/>
                <w:b/>
                <w:color w:val="381A89"/>
                <w:sz w:val="21"/>
              </w:rPr>
              <w:t>A note on what this corpus can and cannot support</w:t>
            </w:r>
          </w:p>
          <w:p>
            <w:pPr>
              <w:spacing w:after="0" w:line="288" w:lineRule="auto"/>
              <w:jc w:val="both"/>
            </w:pPr>
            <w:r>
              <w:rPr>
                <w:sz w:val="21"/>
              </w:rPr>
              <w:t>A generated corpus establishes that each detector fires on the property it claims to measure, and that the pipeline, scoring and review paths work end to end. It cannot establish a detection rate or a false-positive rate against real claim traffic, because the manipulations were authored by the same project that wrote the detectors. No such rates are claimed anywhere in this report. Establishing them requires a labelled corpus of genuine claim documents and is stated as future work in Section 10.2.</w:t>
            </w:r>
          </w:p>
        </w:tc>
      </w:tr>
    </w:tbl>
    <w:p>
      <w:pPr>
        <w:spacing w:after="80"/>
      </w:pPr>
    </w:p>
    <w:p>
      <w:pPr>
        <w:pStyle w:val="Heading2"/>
      </w:pPr>
      <w:r>
        <w:t>4.5  Technology selection</w:t>
      </w:r>
    </w:p>
    <w:p>
      <w:pPr>
        <w:keepNext/>
        <w:spacing w:after="60" w:before="120"/>
      </w:pPr>
      <w:r>
        <w:rPr>
          <w:rFonts w:ascii="Arial" w:hAnsi="Arial"/>
          <w:b/>
          <w:color w:val="381A89"/>
          <w:sz w:val="18"/>
        </w:rPr>
        <w:t xml:space="preserve">Table 5. </w:t>
      </w:r>
      <w:r>
        <w:rPr>
          <w:rFonts w:ascii="Arial" w:hAnsi="Arial"/>
          <w:color w:val="55516B"/>
          <w:sz w:val="18"/>
        </w:rPr>
        <w:t>Principal technology choices and their justification.</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1701"/>
            <w:shd w:val="clear" w:color="auto" w:fill="2E1C6B"/>
          </w:tcPr>
          <w:p>
            <w:pPr>
              <w:spacing w:after="20" w:before="20" w:line="252" w:lineRule="auto"/>
            </w:pPr>
            <w:r>
              <w:rPr>
                <w:rFonts w:ascii="Arial" w:hAnsi="Arial"/>
                <w:b/>
                <w:color w:val="FFFFFF"/>
                <w:sz w:val="18"/>
              </w:rPr>
              <w:t>Concern</w:t>
            </w:r>
          </w:p>
        </w:tc>
        <w:tc>
          <w:tcPr>
            <w:tcW w:type="dxa" w:w="2098"/>
            <w:shd w:val="clear" w:color="auto" w:fill="2E1C6B"/>
          </w:tcPr>
          <w:p>
            <w:pPr>
              <w:spacing w:after="20" w:before="20" w:line="252" w:lineRule="auto"/>
            </w:pPr>
            <w:r>
              <w:rPr>
                <w:rFonts w:ascii="Arial" w:hAnsi="Arial"/>
                <w:b/>
                <w:color w:val="FFFFFF"/>
                <w:sz w:val="18"/>
              </w:rPr>
              <w:t>Choice</w:t>
            </w:r>
          </w:p>
        </w:tc>
        <w:tc>
          <w:tcPr>
            <w:tcW w:type="dxa" w:w="5159"/>
            <w:shd w:val="clear" w:color="auto" w:fill="2E1C6B"/>
          </w:tcPr>
          <w:p>
            <w:pPr>
              <w:spacing w:after="20" w:before="20" w:line="252" w:lineRule="auto"/>
            </w:pPr>
            <w:r>
              <w:rPr>
                <w:rFonts w:ascii="Arial" w:hAnsi="Arial"/>
                <w:b/>
                <w:color w:val="FFFFFF"/>
                <w:sz w:val="18"/>
              </w:rPr>
              <w:t>Justification</w:t>
            </w:r>
          </w:p>
        </w:tc>
      </w:tr>
      <w:tr>
        <w:trPr>
          <w:cantSplit/>
        </w:trPr>
        <w:tc>
          <w:tcPr>
            <w:tcW w:type="dxa" w:w="1701"/>
          </w:tcPr>
          <w:p>
            <w:pPr>
              <w:spacing w:after="20" w:before="20" w:line="264" w:lineRule="auto"/>
            </w:pPr>
            <w:r>
              <w:rPr>
                <w:rFonts w:ascii="Arial" w:hAnsi="Arial"/>
                <w:sz w:val="19"/>
              </w:rPr>
              <w:t>Analysis service</w:t>
            </w:r>
          </w:p>
        </w:tc>
        <w:tc>
          <w:tcPr>
            <w:tcW w:type="dxa" w:w="2098"/>
          </w:tcPr>
          <w:p>
            <w:pPr>
              <w:spacing w:after="20" w:before="20" w:line="264" w:lineRule="auto"/>
            </w:pPr>
            <w:r>
              <w:rPr>
                <w:rFonts w:ascii="Arial" w:hAnsi="Arial"/>
                <w:sz w:val="19"/>
              </w:rPr>
              <w:t>Python 3.12 / FastAPI 0.115</w:t>
            </w:r>
          </w:p>
        </w:tc>
        <w:tc>
          <w:tcPr>
            <w:tcW w:type="dxa" w:w="5159"/>
          </w:tcPr>
          <w:p>
            <w:pPr>
              <w:spacing w:after="20" w:before="20" w:line="264" w:lineRule="auto"/>
            </w:pPr>
            <w:r>
              <w:rPr>
                <w:rFonts w:ascii="Arial" w:hAnsi="Arial"/>
                <w:sz w:val="19"/>
              </w:rPr>
              <w:t>The document-analysis ecosystem — pypdf, pdfplumber, pikepdf, Pillow, OpenCV, NumPy, pytesseract — is Python-native. FastAPI supplies typed request validation and a generated OpenAPI schema without a separate specification to keep in step.</w:t>
            </w:r>
          </w:p>
        </w:tc>
      </w:tr>
      <w:tr>
        <w:trPr>
          <w:cantSplit/>
        </w:trPr>
        <w:tc>
          <w:tcPr>
            <w:tcW w:type="dxa" w:w="1701"/>
            <w:shd w:val="clear" w:color="auto" w:fill="F4F2FA"/>
          </w:tcPr>
          <w:p>
            <w:pPr>
              <w:spacing w:after="20" w:before="20" w:line="264" w:lineRule="auto"/>
            </w:pPr>
            <w:r>
              <w:rPr>
                <w:rFonts w:ascii="Arial" w:hAnsi="Arial"/>
                <w:sz w:val="19"/>
              </w:rPr>
              <w:t>Persistence</w:t>
            </w:r>
          </w:p>
        </w:tc>
        <w:tc>
          <w:tcPr>
            <w:tcW w:type="dxa" w:w="2098"/>
            <w:shd w:val="clear" w:color="auto" w:fill="F4F2FA"/>
          </w:tcPr>
          <w:p>
            <w:pPr>
              <w:spacing w:after="20" w:before="20" w:line="264" w:lineRule="auto"/>
            </w:pPr>
            <w:r>
              <w:rPr>
                <w:rFonts w:ascii="Arial" w:hAnsi="Arial"/>
                <w:sz w:val="19"/>
              </w:rPr>
              <w:t>PostgreSQL 16 / SQLAlchemy 2.0 / Alembic</w:t>
            </w:r>
          </w:p>
        </w:tc>
        <w:tc>
          <w:tcPr>
            <w:tcW w:type="dxa" w:w="5159"/>
            <w:shd w:val="clear" w:color="auto" w:fill="F4F2FA"/>
          </w:tcPr>
          <w:p>
            <w:pPr>
              <w:spacing w:after="20" w:before="20" w:line="264" w:lineRule="auto"/>
            </w:pPr>
            <w:r>
              <w:rPr>
                <w:rFonts w:ascii="Arial" w:hAnsi="Arial"/>
                <w:sz w:val="19"/>
              </w:rPr>
              <w:t xml:space="preserve">Evidence is relational but findings are structurally heterogeneous; JSONB columns hold each detector's evidence blob without a schema migration per detector, while keys, constraints and indexes stay relational. A gap-free </w:t>
            </w:r>
            <w:r>
              <w:rPr>
                <w:rFonts w:ascii="Consolas" w:hAnsi="Consolas"/>
                <w:color w:val="381A89"/>
                <w:sz w:val="17"/>
              </w:rPr>
              <w:t>IDENTITY</w:t>
            </w:r>
            <w:r>
              <w:rPr>
                <w:rFonts w:ascii="Arial" w:hAnsi="Arial"/>
                <w:sz w:val="19"/>
              </w:rPr>
              <w:t xml:space="preserve"> sequence supplies the audit chain's ordinal.</w:t>
            </w:r>
          </w:p>
        </w:tc>
      </w:tr>
      <w:tr>
        <w:trPr>
          <w:cantSplit/>
        </w:trPr>
        <w:tc>
          <w:tcPr>
            <w:tcW w:type="dxa" w:w="1701"/>
          </w:tcPr>
          <w:p>
            <w:pPr>
              <w:spacing w:after="20" w:before="20" w:line="264" w:lineRule="auto"/>
            </w:pPr>
            <w:r>
              <w:rPr>
                <w:rFonts w:ascii="Arial" w:hAnsi="Arial"/>
                <w:sz w:val="19"/>
              </w:rPr>
              <w:t>Queue</w:t>
            </w:r>
          </w:p>
        </w:tc>
        <w:tc>
          <w:tcPr>
            <w:tcW w:type="dxa" w:w="2098"/>
          </w:tcPr>
          <w:p>
            <w:pPr>
              <w:spacing w:after="20" w:before="20" w:line="264" w:lineRule="auto"/>
            </w:pPr>
            <w:r>
              <w:rPr>
                <w:rFonts w:ascii="Arial" w:hAnsi="Arial"/>
                <w:sz w:val="19"/>
              </w:rPr>
              <w:t>Redis 7 / RQ, with an in-process fallback</w:t>
            </w:r>
          </w:p>
        </w:tc>
        <w:tc>
          <w:tcPr>
            <w:tcW w:type="dxa" w:w="5159"/>
          </w:tcPr>
          <w:p>
            <w:pPr>
              <w:spacing w:after="20" w:before="20" w:line="264" w:lineRule="auto"/>
            </w:pPr>
            <w:r>
              <w:rPr>
                <w:rFonts w:ascii="Arial" w:hAnsi="Arial"/>
                <w:sz w:val="19"/>
              </w:rPr>
              <w:t>Analysis takes seconds to minutes and must not block an upload response. RQ is sufficient for a single queue and adds no broker to operate. When Redis is unreachable the API falls back to a background task and records which path ran, so the system remains usable on a laptop.</w:t>
            </w:r>
          </w:p>
        </w:tc>
      </w:tr>
      <w:tr>
        <w:trPr>
          <w:cantSplit/>
        </w:trPr>
        <w:tc>
          <w:tcPr>
            <w:tcW w:type="dxa" w:w="1701"/>
            <w:shd w:val="clear" w:color="auto" w:fill="F4F2FA"/>
          </w:tcPr>
          <w:p>
            <w:pPr>
              <w:spacing w:after="20" w:before="20" w:line="264" w:lineRule="auto"/>
            </w:pPr>
            <w:r>
              <w:rPr>
                <w:rFonts w:ascii="Arial" w:hAnsi="Arial"/>
                <w:sz w:val="19"/>
              </w:rPr>
              <w:t>Console</w:t>
            </w:r>
          </w:p>
        </w:tc>
        <w:tc>
          <w:tcPr>
            <w:tcW w:type="dxa" w:w="2098"/>
            <w:shd w:val="clear" w:color="auto" w:fill="F4F2FA"/>
          </w:tcPr>
          <w:p>
            <w:pPr>
              <w:spacing w:after="20" w:before="20" w:line="264" w:lineRule="auto"/>
            </w:pPr>
            <w:r>
              <w:rPr>
                <w:rFonts w:ascii="Arial" w:hAnsi="Arial"/>
                <w:sz w:val="19"/>
              </w:rPr>
              <w:t>Next.js 15 (App Router) / React 19 / TypeScript</w:t>
            </w:r>
          </w:p>
        </w:tc>
        <w:tc>
          <w:tcPr>
            <w:tcW w:type="dxa" w:w="5159"/>
            <w:shd w:val="clear" w:color="auto" w:fill="F4F2FA"/>
          </w:tcPr>
          <w:p>
            <w:pPr>
              <w:spacing w:after="20" w:before="20" w:line="264" w:lineRule="auto"/>
            </w:pPr>
            <w:r>
              <w:rPr>
                <w:rFonts w:ascii="Arial" w:hAnsi="Arial"/>
                <w:sz w:val="19"/>
              </w:rPr>
              <w:t>Server components allow the access token to stay in an httpOnly cookie and be attached server-side, so no credential ever reaches the browser bundle — the decisive property for a console displaying medical documents.</w:t>
            </w:r>
          </w:p>
        </w:tc>
      </w:tr>
      <w:tr>
        <w:trPr>
          <w:cantSplit/>
        </w:trPr>
        <w:tc>
          <w:tcPr>
            <w:tcW w:type="dxa" w:w="1701"/>
          </w:tcPr>
          <w:p>
            <w:pPr>
              <w:spacing w:after="20" w:before="20" w:line="264" w:lineRule="auto"/>
            </w:pPr>
            <w:r>
              <w:rPr>
                <w:rFonts w:ascii="Arial" w:hAnsi="Arial"/>
                <w:sz w:val="19"/>
              </w:rPr>
              <w:t>Styling and charts</w:t>
            </w:r>
          </w:p>
        </w:tc>
        <w:tc>
          <w:tcPr>
            <w:tcW w:type="dxa" w:w="2098"/>
          </w:tcPr>
          <w:p>
            <w:pPr>
              <w:spacing w:after="20" w:before="20" w:line="264" w:lineRule="auto"/>
            </w:pPr>
            <w:r>
              <w:rPr>
                <w:rFonts w:ascii="Arial" w:hAnsi="Arial"/>
                <w:sz w:val="19"/>
              </w:rPr>
              <w:t>Tailwind CSS 3 / Radix primitives / Recharts</w:t>
            </w:r>
          </w:p>
        </w:tc>
        <w:tc>
          <w:tcPr>
            <w:tcW w:type="dxa" w:w="5159"/>
          </w:tcPr>
          <w:p>
            <w:pPr>
              <w:spacing w:after="20" w:before="20" w:line="264" w:lineRule="auto"/>
            </w:pPr>
            <w:r>
              <w:rPr>
                <w:rFonts w:ascii="Arial" w:hAnsi="Arial"/>
                <w:sz w:val="19"/>
              </w:rPr>
              <w:t>A token-driven design system makes the accessibility constraints of principle P6 enforceable centrally rather than per component; Radix supplies accessible behaviour for dialogs, menus and tabs.</w:t>
            </w:r>
          </w:p>
        </w:tc>
      </w:tr>
      <w:tr>
        <w:trPr>
          <w:cantSplit/>
        </w:trPr>
        <w:tc>
          <w:tcPr>
            <w:tcW w:type="dxa" w:w="1701"/>
            <w:shd w:val="clear" w:color="auto" w:fill="F4F2FA"/>
          </w:tcPr>
          <w:p>
            <w:pPr>
              <w:spacing w:after="20" w:before="20" w:line="264" w:lineRule="auto"/>
            </w:pPr>
            <w:r>
              <w:rPr>
                <w:rFonts w:ascii="Arial" w:hAnsi="Arial"/>
                <w:sz w:val="19"/>
              </w:rPr>
              <w:t>Reporting</w:t>
            </w:r>
          </w:p>
        </w:tc>
        <w:tc>
          <w:tcPr>
            <w:tcW w:type="dxa" w:w="2098"/>
            <w:shd w:val="clear" w:color="auto" w:fill="F4F2FA"/>
          </w:tcPr>
          <w:p>
            <w:pPr>
              <w:spacing w:after="20" w:before="20" w:line="264" w:lineRule="auto"/>
            </w:pPr>
            <w:r>
              <w:rPr>
                <w:rFonts w:ascii="Arial" w:hAnsi="Arial"/>
                <w:sz w:val="19"/>
              </w:rPr>
              <w:t>ReportLab</w:t>
            </w:r>
          </w:p>
        </w:tc>
        <w:tc>
          <w:tcPr>
            <w:tcW w:type="dxa" w:w="5159"/>
            <w:shd w:val="clear" w:color="auto" w:fill="F4F2FA"/>
          </w:tcPr>
          <w:p>
            <w:pPr>
              <w:spacing w:after="20" w:before="20" w:line="264" w:lineRule="auto"/>
            </w:pPr>
            <w:r>
              <w:rPr>
                <w:rFonts w:ascii="Arial" w:hAnsi="Arial"/>
                <w:sz w:val="19"/>
              </w:rPr>
              <w:t>The evidence report must be a fixed-layout, self-contained artefact whose SHA-256 is recorded; generating it server-side in the same process that holds the evidence avoids a rendering service in the trust path.</w:t>
            </w:r>
          </w:p>
        </w:tc>
      </w:tr>
      <w:tr>
        <w:trPr>
          <w:cantSplit/>
        </w:trPr>
        <w:tc>
          <w:tcPr>
            <w:tcW w:type="dxa" w:w="1701"/>
          </w:tcPr>
          <w:p>
            <w:pPr>
              <w:spacing w:after="20" w:before="20" w:line="264" w:lineRule="auto"/>
            </w:pPr>
            <w:r>
              <w:rPr>
                <w:rFonts w:ascii="Arial" w:hAnsi="Arial"/>
                <w:sz w:val="19"/>
              </w:rPr>
              <w:t>Deployment</w:t>
            </w:r>
          </w:p>
        </w:tc>
        <w:tc>
          <w:tcPr>
            <w:tcW w:type="dxa" w:w="2098"/>
          </w:tcPr>
          <w:p>
            <w:pPr>
              <w:spacing w:after="20" w:before="20" w:line="264" w:lineRule="auto"/>
            </w:pPr>
            <w:r>
              <w:rPr>
                <w:rFonts w:ascii="Arial" w:hAnsi="Arial"/>
                <w:sz w:val="19"/>
              </w:rPr>
              <w:t>Docker Compose behind Traefik</w:t>
            </w:r>
          </w:p>
        </w:tc>
        <w:tc>
          <w:tcPr>
            <w:tcW w:type="dxa" w:w="5159"/>
          </w:tcPr>
          <w:p>
            <w:pPr>
              <w:spacing w:after="20" w:before="20" w:line="264" w:lineRule="auto"/>
            </w:pPr>
            <w:r>
              <w:rPr>
                <w:rFonts w:ascii="Arial" w:hAnsi="Arial"/>
                <w:sz w:val="19"/>
              </w:rPr>
              <w:t>Five services, one host, TLS terminated at the proxy with automatic certificate issuance. The API is published on no host port and carries no proxy route, so it is unreachable from the internet by construction rather than by firewall rule.</w:t>
            </w:r>
          </w:p>
        </w:tc>
      </w:tr>
    </w:tbl>
    <w:p>
      <w:pPr>
        <w:spacing w:after="40"/>
      </w:pPr>
    </w:p>
    <w:p>
      <w:r>
        <w:br w:type="page"/>
      </w:r>
    </w:p>
    <w:p>
      <w:pPr>
        <w:pStyle w:val="Heading1"/>
      </w:pPr>
      <w:r>
        <w:t>5  System Design and Architecture</w:t>
      </w:r>
    </w:p>
    <w:p>
      <w:pPr>
        <w:pStyle w:val="Heading2"/>
      </w:pPr>
      <w:r>
        <w:t>5.1  Overall architecture</w:t>
      </w:r>
    </w:p>
    <w:p>
      <w:pPr>
        <w:spacing w:after="160"/>
        <w:jc w:val="both"/>
      </w:pPr>
      <w:r>
        <w:t>The system is four cooperating processes over two data stores. The console renders and proxies; the API validates, stores and orchestrates; the worker executes the pipeline; the datastores hold the evidence. The topology is reproduced below as deployed.</w:t>
      </w:r>
    </w:p>
    <w:tbl>
      <w:tblPr>
        <w:tblW w:type="auto" w:w="0"/>
        <w:jc w:val="center"/>
        <w:tblLook w:firstColumn="1" w:firstRow="1" w:lastColumn="0" w:lastRow="0" w:noHBand="0" w:noVBand="1" w:val="04A0"/>
      </w:tblPr>
      <w:tblGrid>
        <w:gridCol w:w="9185"/>
      </w:tblGrid>
      <w:tr>
        <w:tc>
          <w:tcPr>
            <w:tcW w:type="dxa" w:w="9184"/>
            <w:tcBorders>
              <w:left w:val="single" w:sz="18" w:space="0" w:color="2E1C6B"/>
            </w:tcBorders>
            <w:shd w:val="clear" w:color="auto" w:fill="F2F0F8"/>
          </w:tcPr>
          <w:p>
            <w:pPr>
              <w:spacing w:after="0" w:line="259" w:lineRule="auto"/>
            </w:pPr>
            <w:r/>
            <w:r>
              <w:rPr>
                <w:rFonts w:ascii="Consolas" w:hAnsi="Consolas"/>
                <w:color w:val="1A1726"/>
                <w:sz w:val="16"/>
              </w:rPr>
              <w:t xml:space="preserve">        ┌───────────────────────────┐            ┌──────────────────────────────────────────┐</w:t>
            </w:r>
          </w:p>
          <w:p>
            <w:pPr>
              <w:spacing w:after="0" w:line="259" w:lineRule="auto"/>
            </w:pPr>
            <w:r>
              <w:rPr>
                <w:rFonts w:ascii="Consolas" w:hAnsi="Consolas"/>
                <w:color w:val="1A1726"/>
                <w:sz w:val="16"/>
              </w:rPr>
              <w:t xml:space="preserve">        │  Next.js 15 console       │            │  FastAPI analysis service                │</w:t>
            </w:r>
          </w:p>
          <w:p>
            <w:pPr>
              <w:spacing w:after="0" w:line="259" w:lineRule="auto"/>
            </w:pPr>
            <w:r>
              <w:rPr>
                <w:rFonts w:ascii="Consolas" w:hAnsi="Consolas"/>
                <w:color w:val="1A1726"/>
                <w:sz w:val="16"/>
              </w:rPr>
              <w:t xml:space="preserve">        │  (server components)      │            │                                          │</w:t>
            </w:r>
          </w:p>
          <w:p>
            <w:pPr>
              <w:spacing w:after="0" w:line="259" w:lineRule="auto"/>
            </w:pPr>
            <w:r>
              <w:rPr>
                <w:rFonts w:ascii="Consolas" w:hAnsi="Consolas"/>
                <w:color w:val="1A1726"/>
                <w:sz w:val="16"/>
              </w:rPr>
              <w:t xml:space="preserve">        │                           │   JWT      │  /api/documents  /api/claims  /api/rules │</w:t>
            </w:r>
          </w:p>
          <w:p>
            <w:pPr>
              <w:spacing w:after="0" w:line="259" w:lineRule="auto"/>
            </w:pPr>
            <w:r>
              <w:rPr>
                <w:rFonts w:ascii="Consolas" w:hAnsi="Consolas"/>
                <w:color w:val="1A1726"/>
                <w:sz w:val="16"/>
              </w:rPr>
              <w:t xml:space="preserve">        │  httpOnly cookie ─────────┼──────────► │  /api/verification  /api/audit-logs  ... │</w:t>
            </w:r>
          </w:p>
          <w:p>
            <w:pPr>
              <w:spacing w:after="0" w:line="259" w:lineRule="auto"/>
            </w:pPr>
            <w:r>
              <w:rPr>
                <w:rFonts w:ascii="Consolas" w:hAnsi="Consolas"/>
                <w:color w:val="1A1726"/>
                <w:sz w:val="16"/>
              </w:rPr>
              <w:t xml:space="preserve">        │  /api/be/* proxy          │  bearer    │                                          │</w:t>
            </w:r>
          </w:p>
          <w:p>
            <w:pPr>
              <w:spacing w:after="0" w:line="259" w:lineRule="auto"/>
            </w:pPr>
            <w:r>
              <w:rPr>
                <w:rFonts w:ascii="Consolas" w:hAnsi="Consolas"/>
                <w:color w:val="1A1726"/>
                <w:sz w:val="16"/>
              </w:rPr>
              <w:t xml:space="preserve">        └───────────────────────────┘            │   ┌────────────────────────────────────┐ │</w:t>
            </w:r>
          </w:p>
          <w:p>
            <w:pPr>
              <w:spacing w:after="0" w:line="259" w:lineRule="auto"/>
            </w:pPr>
            <w:r>
              <w:rPr>
                <w:rFonts w:ascii="Consolas" w:hAnsi="Consolas"/>
                <w:color w:val="1A1726"/>
                <w:sz w:val="16"/>
              </w:rPr>
              <w:t xml:space="preserve">                     ▲                           │   │  analysis pipeline — 14 stages     │ │</w:t>
            </w:r>
          </w:p>
          <w:p>
            <w:pPr>
              <w:spacing w:after="0" w:line="259" w:lineRule="auto"/>
            </w:pPr>
            <w:r>
              <w:rPr>
                <w:rFonts w:ascii="Consolas" w:hAnsi="Consolas"/>
                <w:color w:val="1A1726"/>
                <w:sz w:val="16"/>
              </w:rPr>
              <w:t xml:space="preserve">                     │ HTTPS (Traefik, ACME)     │   └────────────────────────────────────┘ │</w:t>
            </w:r>
          </w:p>
          <w:p>
            <w:pPr>
              <w:spacing w:after="0" w:line="259" w:lineRule="auto"/>
            </w:pPr>
            <w:r>
              <w:rPr>
                <w:rFonts w:ascii="Consolas" w:hAnsi="Consolas"/>
                <w:color w:val="1A1726"/>
                <w:sz w:val="16"/>
              </w:rPr>
              <w:t xml:space="preserve">                     │                           └──────────────────────────────────────────┘</w:t>
            </w:r>
          </w:p>
          <w:p>
            <w:pPr>
              <w:spacing w:after="0" w:line="259" w:lineRule="auto"/>
            </w:pPr>
            <w:r>
              <w:rPr>
                <w:rFonts w:ascii="Consolas" w:hAnsi="Consolas"/>
                <w:color w:val="1A1726"/>
                <w:sz w:val="16"/>
              </w:rPr>
              <w:t xml:space="preserve">              ┌──────┴──────┐                        │              │                 │</w:t>
            </w:r>
          </w:p>
          <w:p>
            <w:pPr>
              <w:spacing w:after="0" w:line="259" w:lineRule="auto"/>
            </w:pPr>
            <w:r>
              <w:rPr>
                <w:rFonts w:ascii="Consolas" w:hAnsi="Consolas"/>
                <w:color w:val="1A1726"/>
                <w:sz w:val="16"/>
              </w:rPr>
              <w:t xml:space="preserve">              │  investigator│                  Redis queue         │                 │</w:t>
            </w:r>
          </w:p>
          <w:p>
            <w:pPr>
              <w:spacing w:after="0" w:line="259" w:lineRule="auto"/>
            </w:pPr>
            <w:r>
              <w:rPr>
                <w:rFonts w:ascii="Consolas" w:hAnsi="Consolas"/>
                <w:color w:val="1A1726"/>
                <w:sz w:val="16"/>
              </w:rPr>
              <w:t xml:space="preserve">              └─────────────┘                        │              ▼                 ▼</w:t>
            </w:r>
          </w:p>
          <w:p>
            <w:pPr>
              <w:spacing w:after="0" w:line="259" w:lineRule="auto"/>
            </w:pPr>
            <w:r>
              <w:rPr>
                <w:rFonts w:ascii="Consolas" w:hAnsi="Consolas"/>
                <w:color w:val="1A1726"/>
                <w:sz w:val="16"/>
              </w:rPr>
              <w:t xml:space="preserve">                                             ┌───────▼──────┐  ┌──────────┐  ┌────────────────┐</w:t>
            </w:r>
          </w:p>
          <w:p>
            <w:pPr>
              <w:spacing w:after="0" w:line="259" w:lineRule="auto"/>
            </w:pPr>
            <w:r>
              <w:rPr>
                <w:rFonts w:ascii="Consolas" w:hAnsi="Consolas"/>
                <w:color w:val="1A1726"/>
                <w:sz w:val="16"/>
              </w:rPr>
              <w:t xml:space="preserve">                                             │  RQ worker(s)│  │PostgreSQL│  │ object storage │</w:t>
            </w:r>
          </w:p>
          <w:p>
            <w:pPr>
              <w:spacing w:after="0" w:line="259" w:lineRule="auto"/>
            </w:pPr>
            <w:r>
              <w:rPr>
                <w:rFonts w:ascii="Consolas" w:hAnsi="Consolas"/>
                <w:color w:val="1A1726"/>
                <w:sz w:val="16"/>
              </w:rPr>
              <w:t xml:space="preserve">                                             │  same image  │  │ 25 tables│  │ originals   RO │</w:t>
            </w:r>
          </w:p>
          <w:p>
            <w:pPr>
              <w:spacing w:after="0" w:line="259" w:lineRule="auto"/>
            </w:pPr>
            <w:r>
              <w:rPr>
                <w:rFonts w:ascii="Consolas" w:hAnsi="Consolas"/>
                <w:color w:val="1A1726"/>
                <w:sz w:val="16"/>
              </w:rPr>
              <w:t xml:space="preserve">                                             │  as the API  │  │          │  │ artifacts   RW │</w:t>
            </w:r>
          </w:p>
          <w:p>
            <w:pPr>
              <w:spacing w:after="0" w:line="259" w:lineRule="auto"/>
            </w:pPr>
            <w:r>
              <w:rPr>
                <w:rFonts w:ascii="Consolas" w:hAnsi="Consolas"/>
                <w:color w:val="1A1726"/>
                <w:sz w:val="16"/>
              </w:rPr>
              <w:t xml:space="preserve">                                             └──────────────┘  └──────────┘  └────────────────┘</w:t>
            </w:r>
          </w:p>
          <w:p>
            <w:pPr>
              <w:spacing w:after="0" w:line="259" w:lineRule="auto"/>
            </w:pPr>
            <w:r>
              <w:rPr>
                <w:rFonts w:ascii="Consolas" w:hAnsi="Consolas"/>
                <w:color w:val="1A1726"/>
                <w:sz w:val="16"/>
              </w:rPr>
              <w:t xml:space="preserve">        </w:t>
            </w:r>
          </w:p>
        </w:tc>
      </w:tr>
    </w:tbl>
    <w:p>
      <w:pPr>
        <w:spacing w:after="80"/>
      </w:pPr>
    </w:p>
    <w:p>
      <w:pPr>
        <w:spacing w:after="160"/>
        <w:jc w:val="both"/>
      </w:pPr>
      <w:r>
        <w:t xml:space="preserve">Two structural decisions in that diagram carry most of the security argument. </w:t>
      </w:r>
      <w:r>
        <w:rPr>
          <w:b/>
        </w:rPr>
        <w:t>The API has no public route.</w:t>
      </w:r>
      <w:r>
        <w:t xml:space="preserve"> Only the console is routed by the reverse proxy; the API is reachable only on a private Docker network, and the console reaches it server-side. </w:t>
      </w:r>
      <w:r>
        <w:rPr>
          <w:b/>
        </w:rPr>
        <w:t>Storage is split in two scopes.</w:t>
      </w:r>
      <w:r>
        <w:t xml:space="preserve"> </w:t>
      </w:r>
      <w:r>
        <w:rPr>
          <w:rFonts w:ascii="Consolas" w:hAnsi="Consolas"/>
          <w:color w:val="381A89"/>
          <w:sz w:val="20"/>
        </w:rPr>
        <w:t>originals</w:t>
      </w:r>
      <w:r>
        <w:t xml:space="preserve"> holds the exact bytes the claimant uploaded, written read-only and never modified; </w:t>
      </w:r>
      <w:r>
        <w:rPr>
          <w:rFonts w:ascii="Consolas" w:hAnsi="Consolas"/>
          <w:color w:val="381A89"/>
          <w:sz w:val="20"/>
        </w:rPr>
        <w:t>artifacts</w:t>
      </w:r>
      <w:r>
        <w:t xml:space="preserve"> holds derived data — page renders, error-level-analysis heatmaps, generated reports — which can be regenerated and purged independently. That split is what makes retention and secure deletion tractable without ever risking the evidence.</w:t>
      </w:r>
    </w:p>
    <w:p>
      <w:pPr>
        <w:pStyle w:val="Heading2"/>
      </w:pPr>
      <w:r>
        <w:t>5.2  Component decomposition</w:t>
      </w:r>
    </w:p>
    <w:p>
      <w:pPr>
        <w:keepNext/>
        <w:spacing w:after="60" w:before="120"/>
      </w:pPr>
      <w:r>
        <w:rPr>
          <w:rFonts w:ascii="Arial" w:hAnsi="Arial"/>
          <w:b/>
          <w:color w:val="381A89"/>
          <w:sz w:val="18"/>
        </w:rPr>
        <w:t xml:space="preserve">Table 6. </w:t>
      </w:r>
      <w:r>
        <w:rPr>
          <w:rFonts w:ascii="Arial" w:hAnsi="Arial"/>
          <w:color w:val="55516B"/>
          <w:sz w:val="18"/>
        </w:rPr>
        <w:t>Principal backend packages and their responsibilities.</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2948"/>
            <w:shd w:val="clear" w:color="auto" w:fill="2E1C6B"/>
          </w:tcPr>
          <w:p>
            <w:pPr>
              <w:spacing w:after="20" w:before="20" w:line="252" w:lineRule="auto"/>
            </w:pPr>
            <w:r>
              <w:rPr>
                <w:rFonts w:ascii="Arial" w:hAnsi="Arial"/>
                <w:b/>
                <w:color w:val="FFFFFF"/>
                <w:sz w:val="18"/>
              </w:rPr>
              <w:t>Package</w:t>
            </w:r>
          </w:p>
        </w:tc>
        <w:tc>
          <w:tcPr>
            <w:tcW w:type="dxa" w:w="6009"/>
            <w:shd w:val="clear" w:color="auto" w:fill="2E1C6B"/>
          </w:tcPr>
          <w:p>
            <w:pPr>
              <w:spacing w:after="20" w:before="20" w:line="252" w:lineRule="auto"/>
            </w:pPr>
            <w:r>
              <w:rPr>
                <w:rFonts w:ascii="Arial" w:hAnsi="Arial"/>
                <w:b/>
                <w:color w:val="FFFFFF"/>
                <w:sz w:val="18"/>
              </w:rPr>
              <w:t>Responsibility</w:t>
            </w:r>
          </w:p>
        </w:tc>
      </w:tr>
      <w:tr>
        <w:trPr>
          <w:cantSplit/>
        </w:trPr>
        <w:tc>
          <w:tcPr>
            <w:tcW w:type="dxa" w:w="2948"/>
          </w:tcPr>
          <w:p>
            <w:pPr>
              <w:spacing w:after="20" w:before="20" w:line="264" w:lineRule="auto"/>
            </w:pPr>
            <w:r>
              <w:rPr>
                <w:rFonts w:ascii="Consolas" w:hAnsi="Consolas"/>
                <w:color w:val="381A89"/>
                <w:sz w:val="17"/>
              </w:rPr>
              <w:t>app/api/routes/</w:t>
            </w:r>
          </w:p>
        </w:tc>
        <w:tc>
          <w:tcPr>
            <w:tcW w:type="dxa" w:w="6009"/>
          </w:tcPr>
          <w:p>
            <w:pPr>
              <w:spacing w:after="20" w:before="20" w:line="264" w:lineRule="auto"/>
            </w:pPr>
            <w:r>
              <w:rPr>
                <w:rFonts w:ascii="Arial" w:hAnsi="Arial"/>
                <w:sz w:val="19"/>
              </w:rPr>
              <w:t>Twelve routers — health, auth, dashboard, claims, documents, verification, investigations, reports, audit, users, admin — each endpoint declaring the permission it requires.</w:t>
            </w:r>
          </w:p>
        </w:tc>
      </w:tr>
      <w:tr>
        <w:trPr>
          <w:cantSplit/>
        </w:trPr>
        <w:tc>
          <w:tcPr>
            <w:tcW w:type="dxa" w:w="2948"/>
            <w:shd w:val="clear" w:color="auto" w:fill="F4F2FA"/>
          </w:tcPr>
          <w:p>
            <w:pPr>
              <w:spacing w:after="20" w:before="20" w:line="264" w:lineRule="auto"/>
            </w:pPr>
            <w:r>
              <w:rPr>
                <w:rFonts w:ascii="Consolas" w:hAnsi="Consolas"/>
                <w:color w:val="381A89"/>
                <w:sz w:val="17"/>
              </w:rPr>
              <w:t>app/core/</w:t>
            </w:r>
          </w:p>
        </w:tc>
        <w:tc>
          <w:tcPr>
            <w:tcW w:type="dxa" w:w="6009"/>
            <w:shd w:val="clear" w:color="auto" w:fill="F4F2FA"/>
          </w:tcPr>
          <w:p>
            <w:pPr>
              <w:spacing w:after="20" w:before="20" w:line="264" w:lineRule="auto"/>
            </w:pPr>
            <w:r>
              <w:rPr>
                <w:rFonts w:ascii="Arial" w:hAnsi="Arial"/>
                <w:sz w:val="19"/>
              </w:rPr>
              <w:t>Configuration, password hashing and JWT issue/verify, HMAC-signed object URLs, the RBAC matrix, the typed error hierarchy, the middleware stack and PII-aware logging.</w:t>
            </w:r>
          </w:p>
        </w:tc>
      </w:tr>
      <w:tr>
        <w:trPr>
          <w:cantSplit/>
        </w:trPr>
        <w:tc>
          <w:tcPr>
            <w:tcW w:type="dxa" w:w="2948"/>
          </w:tcPr>
          <w:p>
            <w:pPr>
              <w:spacing w:after="20" w:before="20" w:line="264" w:lineRule="auto"/>
            </w:pPr>
            <w:r>
              <w:rPr>
                <w:rFonts w:ascii="Consolas" w:hAnsi="Consolas"/>
                <w:color w:val="381A89"/>
                <w:sz w:val="17"/>
              </w:rPr>
              <w:t>app/db/</w:t>
            </w:r>
          </w:p>
        </w:tc>
        <w:tc>
          <w:tcPr>
            <w:tcW w:type="dxa" w:w="6009"/>
          </w:tcPr>
          <w:p>
            <w:pPr>
              <w:spacing w:after="20" w:before="20" w:line="264" w:lineRule="auto"/>
            </w:pPr>
            <w:r>
              <w:rPr>
                <w:rFonts w:ascii="Arial" w:hAnsi="Arial"/>
                <w:sz w:val="19"/>
              </w:rPr>
              <w:t>Declarative models over 25 tables, shared mixins, the canonical enumerations, Alembic migrations, and the idempotent seeder including the demonstration-document generators.</w:t>
            </w:r>
          </w:p>
        </w:tc>
      </w:tr>
      <w:tr>
        <w:trPr>
          <w:cantSplit/>
        </w:trPr>
        <w:tc>
          <w:tcPr>
            <w:tcW w:type="dxa" w:w="2948"/>
            <w:shd w:val="clear" w:color="auto" w:fill="F4F2FA"/>
          </w:tcPr>
          <w:p>
            <w:pPr>
              <w:spacing w:after="20" w:before="20" w:line="264" w:lineRule="auto"/>
            </w:pPr>
            <w:r>
              <w:rPr>
                <w:rFonts w:ascii="Consolas" w:hAnsi="Consolas"/>
                <w:color w:val="381A89"/>
                <w:sz w:val="17"/>
              </w:rPr>
              <w:t>app/services/pipeline.py</w:t>
            </w:r>
          </w:p>
        </w:tc>
        <w:tc>
          <w:tcPr>
            <w:tcW w:type="dxa" w:w="6009"/>
            <w:shd w:val="clear" w:color="auto" w:fill="F4F2FA"/>
          </w:tcPr>
          <w:p>
            <w:pPr>
              <w:spacing w:after="20" w:before="20" w:line="264" w:lineRule="auto"/>
            </w:pPr>
            <w:r>
              <w:rPr>
                <w:rFonts w:ascii="Arial" w:hAnsi="Arial"/>
                <w:sz w:val="19"/>
              </w:rPr>
              <w:t>The fourteen-stage orchestrator: stage timing, status, provider snapshot and per-stage detail, with error isolation by stage.</w:t>
            </w:r>
          </w:p>
        </w:tc>
      </w:tr>
      <w:tr>
        <w:trPr>
          <w:cantSplit/>
        </w:trPr>
        <w:tc>
          <w:tcPr>
            <w:tcW w:type="dxa" w:w="2948"/>
          </w:tcPr>
          <w:p>
            <w:pPr>
              <w:spacing w:after="20" w:before="20" w:line="264" w:lineRule="auto"/>
            </w:pPr>
            <w:r>
              <w:rPr>
                <w:rFonts w:ascii="Consolas" w:hAnsi="Consolas"/>
                <w:color w:val="381A89"/>
                <w:sz w:val="17"/>
              </w:rPr>
              <w:t>app/services/{ocr,classify,extract}/</w:t>
            </w:r>
          </w:p>
        </w:tc>
        <w:tc>
          <w:tcPr>
            <w:tcW w:type="dxa" w:w="6009"/>
          </w:tcPr>
          <w:p>
            <w:pPr>
              <w:spacing w:after="20" w:before="20" w:line="264" w:lineRule="auto"/>
            </w:pPr>
            <w:r>
              <w:rPr>
                <w:rFonts w:ascii="Arial" w:hAnsi="Arial"/>
                <w:sz w:val="19"/>
              </w:rPr>
              <w:t>Text recovery, lexical-structural document classification, and schema-driven field extraction with page coordinates.</w:t>
            </w:r>
          </w:p>
        </w:tc>
      </w:tr>
      <w:tr>
        <w:trPr>
          <w:cantSplit/>
        </w:trPr>
        <w:tc>
          <w:tcPr>
            <w:tcW w:type="dxa" w:w="2948"/>
            <w:shd w:val="clear" w:color="auto" w:fill="F4F2FA"/>
          </w:tcPr>
          <w:p>
            <w:pPr>
              <w:spacing w:after="20" w:before="20" w:line="264" w:lineRule="auto"/>
            </w:pPr>
            <w:r>
              <w:rPr>
                <w:rFonts w:ascii="Consolas" w:hAnsi="Consolas"/>
                <w:color w:val="381A89"/>
                <w:sz w:val="17"/>
              </w:rPr>
              <w:t>app/services/forensics/</w:t>
            </w:r>
          </w:p>
        </w:tc>
        <w:tc>
          <w:tcPr>
            <w:tcW w:type="dxa" w:w="6009"/>
            <w:shd w:val="clear" w:color="auto" w:fill="F4F2FA"/>
          </w:tcPr>
          <w:p>
            <w:pPr>
              <w:spacing w:after="20" w:before="20" w:line="264" w:lineRule="auto"/>
            </w:pPr>
            <w:r>
              <w:rPr>
                <w:rFonts w:ascii="Arial" w:hAnsi="Arial"/>
                <w:sz w:val="19"/>
              </w:rPr>
              <w:t>PDF structure and metadata, embedded-raster extraction, the pixel suite, EXIF analysis, and typography including exact per-character font resources.</w:t>
            </w:r>
          </w:p>
        </w:tc>
      </w:tr>
      <w:tr>
        <w:trPr>
          <w:cantSplit/>
        </w:trPr>
        <w:tc>
          <w:tcPr>
            <w:tcW w:type="dxa" w:w="2948"/>
          </w:tcPr>
          <w:p>
            <w:pPr>
              <w:spacing w:after="20" w:before="20" w:line="264" w:lineRule="auto"/>
            </w:pPr>
            <w:r>
              <w:rPr>
                <w:rFonts w:ascii="Consolas" w:hAnsi="Consolas"/>
                <w:color w:val="381A89"/>
                <w:sz w:val="17"/>
              </w:rPr>
              <w:t>app/services/{aigc,tampering,consistency,crossdoc,verification}/</w:t>
            </w:r>
          </w:p>
        </w:tc>
        <w:tc>
          <w:tcPr>
            <w:tcW w:type="dxa" w:w="6009"/>
          </w:tcPr>
          <w:p>
            <w:pPr>
              <w:spacing w:after="20" w:before="20" w:line="264" w:lineRule="auto"/>
            </w:pPr>
            <w:r>
              <w:rPr>
                <w:rFonts w:ascii="Arial" w:hAnsi="Arial"/>
                <w:sz w:val="19"/>
              </w:rPr>
              <w:t>The synthetic-media provider interface, the region-level correlation layer, the twenty-rule consistency engine, claim-bundle comparison with pairing policies, and the six trusted-source providers.</w:t>
            </w:r>
          </w:p>
        </w:tc>
      </w:tr>
      <w:tr>
        <w:trPr>
          <w:cantSplit/>
        </w:trPr>
        <w:tc>
          <w:tcPr>
            <w:tcW w:type="dxa" w:w="2948"/>
            <w:shd w:val="clear" w:color="auto" w:fill="F4F2FA"/>
          </w:tcPr>
          <w:p>
            <w:pPr>
              <w:spacing w:after="20" w:before="20" w:line="264" w:lineRule="auto"/>
            </w:pPr>
            <w:r>
              <w:rPr>
                <w:rFonts w:ascii="Consolas" w:hAnsi="Consolas"/>
                <w:color w:val="381A89"/>
                <w:sz w:val="17"/>
              </w:rPr>
              <w:t>app/services/risk/engine.py</w:t>
            </w:r>
          </w:p>
        </w:tc>
        <w:tc>
          <w:tcPr>
            <w:tcW w:type="dxa" w:w="6009"/>
            <w:shd w:val="clear" w:color="auto" w:fill="F4F2FA"/>
          </w:tcPr>
          <w:p>
            <w:pPr>
              <w:spacing w:after="20" w:before="20" w:line="264" w:lineRule="auto"/>
            </w:pPr>
            <w:r>
              <w:rPr>
                <w:rFonts w:ascii="Arial" w:hAnsi="Arial"/>
                <w:sz w:val="19"/>
              </w:rPr>
              <w:t>The deterministic scoring model: weights, severity multipliers, per-category saturation, banding, explanation and coverage disclosure.</w:t>
            </w:r>
          </w:p>
        </w:tc>
      </w:tr>
      <w:tr>
        <w:trPr>
          <w:cantSplit/>
        </w:trPr>
        <w:tc>
          <w:tcPr>
            <w:tcW w:type="dxa" w:w="2948"/>
          </w:tcPr>
          <w:p>
            <w:pPr>
              <w:spacing w:after="20" w:before="20" w:line="264" w:lineRule="auto"/>
            </w:pPr>
            <w:r>
              <w:rPr>
                <w:rFonts w:ascii="Consolas" w:hAnsi="Consolas"/>
                <w:color w:val="381A89"/>
                <w:sz w:val="17"/>
              </w:rPr>
              <w:t>app/services/findings_store.py</w:t>
            </w:r>
          </w:p>
        </w:tc>
        <w:tc>
          <w:tcPr>
            <w:tcW w:type="dxa" w:w="6009"/>
          </w:tcPr>
          <w:p>
            <w:pPr>
              <w:spacing w:after="20" w:before="20" w:line="264" w:lineRule="auto"/>
            </w:pPr>
            <w:r>
              <w:rPr>
                <w:rFonts w:ascii="Arial" w:hAnsi="Arial"/>
                <w:sz w:val="19"/>
              </w:rPr>
              <w:t>The only module that knows the mapping across the five finding tables; supplies one uniform read model and carries human review decisions forward across reprocessing.</w:t>
            </w:r>
          </w:p>
        </w:tc>
      </w:tr>
      <w:tr>
        <w:trPr>
          <w:cantSplit/>
        </w:trPr>
        <w:tc>
          <w:tcPr>
            <w:tcW w:type="dxa" w:w="2948"/>
            <w:shd w:val="clear" w:color="auto" w:fill="F4F2FA"/>
          </w:tcPr>
          <w:p>
            <w:pPr>
              <w:spacing w:after="20" w:before="20" w:line="264" w:lineRule="auto"/>
            </w:pPr>
            <w:r>
              <w:rPr>
                <w:rFonts w:ascii="Consolas" w:hAnsi="Consolas"/>
                <w:color w:val="381A89"/>
                <w:sz w:val="17"/>
              </w:rPr>
              <w:t>app/services/audit.py</w:t>
            </w:r>
          </w:p>
        </w:tc>
        <w:tc>
          <w:tcPr>
            <w:tcW w:type="dxa" w:w="6009"/>
            <w:shd w:val="clear" w:color="auto" w:fill="F4F2FA"/>
          </w:tcPr>
          <w:p>
            <w:pPr>
              <w:spacing w:after="20" w:before="20" w:line="264" w:lineRule="auto"/>
            </w:pPr>
            <w:r>
              <w:rPr>
                <w:rFonts w:ascii="Arial" w:hAnsi="Arial"/>
                <w:sz w:val="19"/>
              </w:rPr>
              <w:t>Append-only audit trail with a SHA-256 hash chain, PII redaction before insertion, and chain verification.</w:t>
            </w:r>
          </w:p>
        </w:tc>
      </w:tr>
      <w:tr>
        <w:trPr>
          <w:cantSplit/>
        </w:trPr>
        <w:tc>
          <w:tcPr>
            <w:tcW w:type="dxa" w:w="2948"/>
          </w:tcPr>
          <w:p>
            <w:pPr>
              <w:spacing w:after="20" w:before="20" w:line="264" w:lineRule="auto"/>
            </w:pPr>
            <w:r>
              <w:rPr>
                <w:rFonts w:ascii="Consolas" w:hAnsi="Consolas"/>
                <w:color w:val="381A89"/>
                <w:sz w:val="17"/>
              </w:rPr>
              <w:t>app/services/{storage,malware,reports}/</w:t>
            </w:r>
          </w:p>
        </w:tc>
        <w:tc>
          <w:tcPr>
            <w:tcW w:type="dxa" w:w="6009"/>
          </w:tcPr>
          <w:p>
            <w:pPr>
              <w:spacing w:after="20" w:before="20" w:line="264" w:lineRule="auto"/>
            </w:pPr>
            <w:r>
              <w:rPr>
                <w:rFonts w:ascii="Arial" w:hAnsi="Arial"/>
                <w:sz w:val="19"/>
              </w:rPr>
              <w:t>Storage scopes with key validation, the static and ClamAV scanners, and the ten-section PDF evidence report.</w:t>
            </w:r>
          </w:p>
        </w:tc>
      </w:tr>
      <w:tr>
        <w:trPr>
          <w:cantSplit/>
        </w:trPr>
        <w:tc>
          <w:tcPr>
            <w:tcW w:type="dxa" w:w="2948"/>
            <w:shd w:val="clear" w:color="auto" w:fill="F4F2FA"/>
          </w:tcPr>
          <w:p>
            <w:pPr>
              <w:spacing w:after="20" w:before="20" w:line="264" w:lineRule="auto"/>
            </w:pPr>
            <w:r>
              <w:rPr>
                <w:rFonts w:ascii="Consolas" w:hAnsi="Consolas"/>
                <w:color w:val="381A89"/>
                <w:sz w:val="17"/>
              </w:rPr>
              <w:t>app/workers/</w:t>
            </w:r>
          </w:p>
        </w:tc>
        <w:tc>
          <w:tcPr>
            <w:tcW w:type="dxa" w:w="6009"/>
            <w:shd w:val="clear" w:color="auto" w:fill="F4F2FA"/>
          </w:tcPr>
          <w:p>
            <w:pPr>
              <w:spacing w:after="20" w:before="20" w:line="264" w:lineRule="auto"/>
            </w:pPr>
            <w:r>
              <w:rPr>
                <w:rFonts w:ascii="Arial" w:hAnsi="Arial"/>
                <w:sz w:val="19"/>
              </w:rPr>
              <w:t>Queue submission with an in-process fallback, the analysis and retention tasks, and the worker entry point.</w:t>
            </w:r>
          </w:p>
        </w:tc>
      </w:tr>
    </w:tbl>
    <w:p>
      <w:pPr>
        <w:spacing w:after="40"/>
      </w:pPr>
    </w:p>
    <w:p>
      <w:pPr>
        <w:pStyle w:val="Heading2"/>
      </w:pPr>
      <w:r>
        <w:t>5.3  Data model</w:t>
      </w:r>
    </w:p>
    <w:p>
      <w:pPr>
        <w:spacing w:after="160"/>
        <w:jc w:val="both"/>
      </w:pPr>
      <w:r>
        <w:t>The schema is 25 tables in nine groups. Its shape follows the evidence rather than the screens: a document's pages, recognition results, extracted fields, metadata entries, findings, verification requests and risk assessments are each first-class records, because each must be independently re-derivable, independently retained and independently cited in a report.</w:t>
      </w:r>
    </w:p>
    <w:p>
      <w:pPr>
        <w:keepNext/>
        <w:spacing w:after="60" w:before="120"/>
      </w:pPr>
      <w:r>
        <w:rPr>
          <w:rFonts w:ascii="Arial" w:hAnsi="Arial"/>
          <w:b/>
          <w:color w:val="381A89"/>
          <w:sz w:val="18"/>
        </w:rPr>
        <w:t xml:space="preserve">Table 7. </w:t>
      </w:r>
      <w:r>
        <w:rPr>
          <w:rFonts w:ascii="Arial" w:hAnsi="Arial"/>
          <w:color w:val="55516B"/>
          <w:sz w:val="18"/>
        </w:rPr>
        <w:t>Schema groups. The full data dictionary is Appendix E.</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1928"/>
            <w:shd w:val="clear" w:color="auto" w:fill="2E1C6B"/>
          </w:tcPr>
          <w:p>
            <w:pPr>
              <w:spacing w:after="20" w:before="20" w:line="252" w:lineRule="auto"/>
            </w:pPr>
            <w:r>
              <w:rPr>
                <w:rFonts w:ascii="Arial" w:hAnsi="Arial"/>
                <w:b/>
                <w:color w:val="FFFFFF"/>
                <w:sz w:val="18"/>
              </w:rPr>
              <w:t>Group</w:t>
            </w:r>
          </w:p>
        </w:tc>
        <w:tc>
          <w:tcPr>
            <w:tcW w:type="dxa" w:w="7030"/>
            <w:shd w:val="clear" w:color="auto" w:fill="2E1C6B"/>
          </w:tcPr>
          <w:p>
            <w:pPr>
              <w:spacing w:after="20" w:before="20" w:line="252" w:lineRule="auto"/>
            </w:pPr>
            <w:r>
              <w:rPr>
                <w:rFonts w:ascii="Arial" w:hAnsi="Arial"/>
                <w:b/>
                <w:color w:val="FFFFFF"/>
                <w:sz w:val="18"/>
              </w:rPr>
              <w:t>Tables</w:t>
            </w:r>
          </w:p>
        </w:tc>
      </w:tr>
      <w:tr>
        <w:trPr>
          <w:cantSplit/>
        </w:trPr>
        <w:tc>
          <w:tcPr>
            <w:tcW w:type="dxa" w:w="1928"/>
          </w:tcPr>
          <w:p>
            <w:pPr>
              <w:spacing w:after="20" w:before="20" w:line="264" w:lineRule="auto"/>
            </w:pPr>
            <w:r>
              <w:rPr>
                <w:rFonts w:ascii="Arial" w:hAnsi="Arial"/>
                <w:sz w:val="19"/>
              </w:rPr>
              <w:t>Identity</w:t>
            </w:r>
          </w:p>
        </w:tc>
        <w:tc>
          <w:tcPr>
            <w:tcW w:type="dxa" w:w="7030"/>
          </w:tcPr>
          <w:p>
            <w:pPr>
              <w:spacing w:after="20" w:before="20" w:line="264" w:lineRule="auto"/>
            </w:pPr>
            <w:r>
              <w:rPr>
                <w:rFonts w:ascii="Consolas" w:hAnsi="Consolas"/>
                <w:color w:val="381A89"/>
                <w:sz w:val="17"/>
              </w:rPr>
              <w:t>roles</w:t>
            </w:r>
            <w:r>
              <w:rPr>
                <w:rFonts w:ascii="Arial" w:hAnsi="Arial"/>
                <w:sz w:val="19"/>
              </w:rPr>
              <w:t xml:space="preserve">, </w:t>
            </w:r>
            <w:r>
              <w:rPr>
                <w:rFonts w:ascii="Consolas" w:hAnsi="Consolas"/>
                <w:color w:val="381A89"/>
                <w:sz w:val="17"/>
              </w:rPr>
              <w:t>users</w:t>
            </w:r>
          </w:p>
        </w:tc>
      </w:tr>
      <w:tr>
        <w:trPr>
          <w:cantSplit/>
        </w:trPr>
        <w:tc>
          <w:tcPr>
            <w:tcW w:type="dxa" w:w="1928"/>
            <w:shd w:val="clear" w:color="auto" w:fill="F4F2FA"/>
          </w:tcPr>
          <w:p>
            <w:pPr>
              <w:spacing w:after="20" w:before="20" w:line="264" w:lineRule="auto"/>
            </w:pPr>
            <w:r>
              <w:rPr>
                <w:rFonts w:ascii="Arial" w:hAnsi="Arial"/>
                <w:sz w:val="19"/>
              </w:rPr>
              <w:t>Claim</w:t>
            </w:r>
          </w:p>
        </w:tc>
        <w:tc>
          <w:tcPr>
            <w:tcW w:type="dxa" w:w="7030"/>
            <w:shd w:val="clear" w:color="auto" w:fill="F4F2FA"/>
          </w:tcPr>
          <w:p>
            <w:pPr>
              <w:spacing w:after="20" w:before="20" w:line="264" w:lineRule="auto"/>
            </w:pPr>
            <w:r>
              <w:rPr>
                <w:rFonts w:ascii="Consolas" w:hAnsi="Consolas"/>
                <w:color w:val="381A89"/>
                <w:sz w:val="17"/>
              </w:rPr>
              <w:t>claims</w:t>
            </w:r>
          </w:p>
        </w:tc>
      </w:tr>
      <w:tr>
        <w:trPr>
          <w:cantSplit/>
        </w:trPr>
        <w:tc>
          <w:tcPr>
            <w:tcW w:type="dxa" w:w="1928"/>
          </w:tcPr>
          <w:p>
            <w:pPr>
              <w:spacing w:after="20" w:before="20" w:line="264" w:lineRule="auto"/>
            </w:pPr>
            <w:r>
              <w:rPr>
                <w:rFonts w:ascii="Arial" w:hAnsi="Arial"/>
                <w:sz w:val="19"/>
              </w:rPr>
              <w:t>Document</w:t>
            </w:r>
          </w:p>
        </w:tc>
        <w:tc>
          <w:tcPr>
            <w:tcW w:type="dxa" w:w="7030"/>
          </w:tcPr>
          <w:p>
            <w:pPr>
              <w:spacing w:after="20" w:before="20" w:line="264" w:lineRule="auto"/>
            </w:pPr>
            <w:r>
              <w:rPr>
                <w:rFonts w:ascii="Consolas" w:hAnsi="Consolas"/>
                <w:color w:val="381A89"/>
                <w:sz w:val="17"/>
              </w:rPr>
              <w:t>documents</w:t>
            </w:r>
            <w:r>
              <w:rPr>
                <w:rFonts w:ascii="Arial" w:hAnsi="Arial"/>
                <w:sz w:val="19"/>
              </w:rPr>
              <w:t xml:space="preserve">, </w:t>
            </w:r>
            <w:r>
              <w:rPr>
                <w:rFonts w:ascii="Consolas" w:hAnsi="Consolas"/>
                <w:color w:val="381A89"/>
                <w:sz w:val="17"/>
              </w:rPr>
              <w:t>document_pages</w:t>
            </w:r>
            <w:r>
              <w:rPr>
                <w:rFonts w:ascii="Arial" w:hAnsi="Arial"/>
                <w:sz w:val="19"/>
              </w:rPr>
              <w:t xml:space="preserve">, </w:t>
            </w:r>
            <w:r>
              <w:rPr>
                <w:rFonts w:ascii="Consolas" w:hAnsi="Consolas"/>
                <w:color w:val="381A89"/>
                <w:sz w:val="17"/>
              </w:rPr>
              <w:t>document_metadata</w:t>
            </w:r>
            <w:r>
              <w:rPr>
                <w:rFonts w:ascii="Arial" w:hAnsi="Arial"/>
                <w:sz w:val="19"/>
              </w:rPr>
              <w:t xml:space="preserve">, </w:t>
            </w:r>
            <w:r>
              <w:rPr>
                <w:rFonts w:ascii="Consolas" w:hAnsi="Consolas"/>
                <w:color w:val="381A89"/>
                <w:sz w:val="17"/>
              </w:rPr>
              <w:t>ocr_results</w:t>
            </w:r>
            <w:r>
              <w:rPr>
                <w:rFonts w:ascii="Arial" w:hAnsi="Arial"/>
                <w:sz w:val="19"/>
              </w:rPr>
              <w:t xml:space="preserve">, </w:t>
            </w:r>
            <w:r>
              <w:rPr>
                <w:rFonts w:ascii="Consolas" w:hAnsi="Consolas"/>
                <w:color w:val="381A89"/>
                <w:sz w:val="17"/>
              </w:rPr>
              <w:t>extracted_fields</w:t>
            </w:r>
          </w:p>
        </w:tc>
      </w:tr>
      <w:tr>
        <w:trPr>
          <w:cantSplit/>
        </w:trPr>
        <w:tc>
          <w:tcPr>
            <w:tcW w:type="dxa" w:w="1928"/>
            <w:shd w:val="clear" w:color="auto" w:fill="F4F2FA"/>
          </w:tcPr>
          <w:p>
            <w:pPr>
              <w:spacing w:after="20" w:before="20" w:line="264" w:lineRule="auto"/>
            </w:pPr>
            <w:r>
              <w:rPr>
                <w:rFonts w:ascii="Arial" w:hAnsi="Arial"/>
                <w:sz w:val="19"/>
              </w:rPr>
              <w:t>Analysis</w:t>
            </w:r>
          </w:p>
        </w:tc>
        <w:tc>
          <w:tcPr>
            <w:tcW w:type="dxa" w:w="7030"/>
            <w:shd w:val="clear" w:color="auto" w:fill="F4F2FA"/>
          </w:tcPr>
          <w:p>
            <w:pPr>
              <w:spacing w:after="20" w:before="20" w:line="264" w:lineRule="auto"/>
            </w:pPr>
            <w:r>
              <w:rPr>
                <w:rFonts w:ascii="Consolas" w:hAnsi="Consolas"/>
                <w:color w:val="381A89"/>
                <w:sz w:val="17"/>
              </w:rPr>
              <w:t>analysis_runs</w:t>
            </w:r>
            <w:r>
              <w:rPr>
                <w:rFonts w:ascii="Arial" w:hAnsi="Arial"/>
                <w:sz w:val="19"/>
              </w:rPr>
              <w:t xml:space="preserve">, </w:t>
            </w:r>
            <w:r>
              <w:rPr>
                <w:rFonts w:ascii="Consolas" w:hAnsi="Consolas"/>
                <w:color w:val="381A89"/>
                <w:sz w:val="17"/>
              </w:rPr>
              <w:t>risk_assessments</w:t>
            </w:r>
          </w:p>
        </w:tc>
      </w:tr>
      <w:tr>
        <w:trPr>
          <w:cantSplit/>
        </w:trPr>
        <w:tc>
          <w:tcPr>
            <w:tcW w:type="dxa" w:w="1928"/>
          </w:tcPr>
          <w:p>
            <w:pPr>
              <w:spacing w:after="20" w:before="20" w:line="264" w:lineRule="auto"/>
            </w:pPr>
            <w:r>
              <w:rPr>
                <w:rFonts w:ascii="Arial" w:hAnsi="Arial"/>
                <w:sz w:val="19"/>
              </w:rPr>
              <w:t>Findings</w:t>
            </w:r>
          </w:p>
        </w:tc>
        <w:tc>
          <w:tcPr>
            <w:tcW w:type="dxa" w:w="7030"/>
          </w:tcPr>
          <w:p>
            <w:pPr>
              <w:spacing w:after="20" w:before="20" w:line="264" w:lineRule="auto"/>
            </w:pPr>
            <w:r>
              <w:rPr>
                <w:rFonts w:ascii="Consolas" w:hAnsi="Consolas"/>
                <w:color w:val="381A89"/>
                <w:sz w:val="17"/>
              </w:rPr>
              <w:t>forensic_findings</w:t>
            </w:r>
            <w:r>
              <w:rPr>
                <w:rFonts w:ascii="Arial" w:hAnsi="Arial"/>
                <w:sz w:val="19"/>
              </w:rPr>
              <w:t xml:space="preserve">, </w:t>
            </w:r>
            <w:r>
              <w:rPr>
                <w:rFonts w:ascii="Consolas" w:hAnsi="Consolas"/>
                <w:color w:val="381A89"/>
                <w:sz w:val="17"/>
              </w:rPr>
              <w:t>aigc_findings</w:t>
            </w:r>
            <w:r>
              <w:rPr>
                <w:rFonts w:ascii="Arial" w:hAnsi="Arial"/>
                <w:sz w:val="19"/>
              </w:rPr>
              <w:t xml:space="preserve">, </w:t>
            </w:r>
            <w:r>
              <w:rPr>
                <w:rFonts w:ascii="Consolas" w:hAnsi="Consolas"/>
                <w:color w:val="381A89"/>
                <w:sz w:val="17"/>
              </w:rPr>
              <w:t>tampering_findings</w:t>
            </w:r>
            <w:r>
              <w:rPr>
                <w:rFonts w:ascii="Arial" w:hAnsi="Arial"/>
                <w:sz w:val="19"/>
              </w:rPr>
              <w:t xml:space="preserve">, </w:t>
            </w:r>
            <w:r>
              <w:rPr>
                <w:rFonts w:ascii="Consolas" w:hAnsi="Consolas"/>
                <w:color w:val="381A89"/>
                <w:sz w:val="17"/>
              </w:rPr>
              <w:t>consistency_findings</w:t>
            </w:r>
            <w:r>
              <w:rPr>
                <w:rFonts w:ascii="Arial" w:hAnsi="Arial"/>
                <w:sz w:val="19"/>
              </w:rPr>
              <w:t xml:space="preserve">, </w:t>
            </w:r>
            <w:r>
              <w:rPr>
                <w:rFonts w:ascii="Consolas" w:hAnsi="Consolas"/>
                <w:color w:val="381A89"/>
                <w:sz w:val="17"/>
              </w:rPr>
              <w:t>cross_document_findings</w:t>
            </w:r>
          </w:p>
        </w:tc>
      </w:tr>
      <w:tr>
        <w:trPr>
          <w:cantSplit/>
        </w:trPr>
        <w:tc>
          <w:tcPr>
            <w:tcW w:type="dxa" w:w="1928"/>
            <w:shd w:val="clear" w:color="auto" w:fill="F4F2FA"/>
          </w:tcPr>
          <w:p>
            <w:pPr>
              <w:spacing w:after="20" w:before="20" w:line="264" w:lineRule="auto"/>
            </w:pPr>
            <w:r>
              <w:rPr>
                <w:rFonts w:ascii="Arial" w:hAnsi="Arial"/>
                <w:sz w:val="19"/>
              </w:rPr>
              <w:t>Verification</w:t>
            </w:r>
          </w:p>
        </w:tc>
        <w:tc>
          <w:tcPr>
            <w:tcW w:type="dxa" w:w="7030"/>
            <w:shd w:val="clear" w:color="auto" w:fill="F4F2FA"/>
          </w:tcPr>
          <w:p>
            <w:pPr>
              <w:spacing w:after="20" w:before="20" w:line="264" w:lineRule="auto"/>
            </w:pPr>
            <w:r>
              <w:rPr>
                <w:rFonts w:ascii="Consolas" w:hAnsi="Consolas"/>
                <w:color w:val="381A89"/>
                <w:sz w:val="17"/>
              </w:rPr>
              <w:t>verification_requests</w:t>
            </w:r>
            <w:r>
              <w:rPr>
                <w:rFonts w:ascii="Arial" w:hAnsi="Arial"/>
                <w:sz w:val="19"/>
              </w:rPr>
              <w:t xml:space="preserve">, </w:t>
            </w:r>
            <w:r>
              <w:rPr>
                <w:rFonts w:ascii="Consolas" w:hAnsi="Consolas"/>
                <w:color w:val="381A89"/>
                <w:sz w:val="17"/>
              </w:rPr>
              <w:t>verification_results</w:t>
            </w:r>
          </w:p>
        </w:tc>
      </w:tr>
      <w:tr>
        <w:trPr>
          <w:cantSplit/>
        </w:trPr>
        <w:tc>
          <w:tcPr>
            <w:tcW w:type="dxa" w:w="1928"/>
          </w:tcPr>
          <w:p>
            <w:pPr>
              <w:spacing w:after="20" w:before="20" w:line="264" w:lineRule="auto"/>
            </w:pPr>
            <w:r>
              <w:rPr>
                <w:rFonts w:ascii="Arial" w:hAnsi="Arial"/>
                <w:sz w:val="19"/>
              </w:rPr>
              <w:t>Human process</w:t>
            </w:r>
          </w:p>
        </w:tc>
        <w:tc>
          <w:tcPr>
            <w:tcW w:type="dxa" w:w="7030"/>
          </w:tcPr>
          <w:p>
            <w:pPr>
              <w:spacing w:after="20" w:before="20" w:line="264" w:lineRule="auto"/>
            </w:pPr>
            <w:r>
              <w:rPr>
                <w:rFonts w:ascii="Consolas" w:hAnsi="Consolas"/>
                <w:color w:val="381A89"/>
                <w:sz w:val="17"/>
              </w:rPr>
              <w:t>investigations</w:t>
            </w:r>
            <w:r>
              <w:rPr>
                <w:rFonts w:ascii="Arial" w:hAnsi="Arial"/>
                <w:sz w:val="19"/>
              </w:rPr>
              <w:t xml:space="preserve">, </w:t>
            </w:r>
            <w:r>
              <w:rPr>
                <w:rFonts w:ascii="Consolas" w:hAnsi="Consolas"/>
                <w:color w:val="381A89"/>
                <w:sz w:val="17"/>
              </w:rPr>
              <w:t>investigation_notes</w:t>
            </w:r>
            <w:r>
              <w:rPr>
                <w:rFonts w:ascii="Arial" w:hAnsi="Arial"/>
                <w:sz w:val="19"/>
              </w:rPr>
              <w:t xml:space="preserve">, </w:t>
            </w:r>
            <w:r>
              <w:rPr>
                <w:rFonts w:ascii="Consolas" w:hAnsi="Consolas"/>
                <w:color w:val="381A89"/>
                <w:sz w:val="17"/>
              </w:rPr>
              <w:t>review_actions</w:t>
            </w:r>
          </w:p>
        </w:tc>
      </w:tr>
      <w:tr>
        <w:trPr>
          <w:cantSplit/>
        </w:trPr>
        <w:tc>
          <w:tcPr>
            <w:tcW w:type="dxa" w:w="1928"/>
            <w:shd w:val="clear" w:color="auto" w:fill="F4F2FA"/>
          </w:tcPr>
          <w:p>
            <w:pPr>
              <w:spacing w:after="20" w:before="20" w:line="264" w:lineRule="auto"/>
            </w:pPr>
            <w:r>
              <w:rPr>
                <w:rFonts w:ascii="Arial" w:hAnsi="Arial"/>
                <w:sz w:val="19"/>
              </w:rPr>
              <w:t>Output</w:t>
            </w:r>
          </w:p>
        </w:tc>
        <w:tc>
          <w:tcPr>
            <w:tcW w:type="dxa" w:w="7030"/>
            <w:shd w:val="clear" w:color="auto" w:fill="F4F2FA"/>
          </w:tcPr>
          <w:p>
            <w:pPr>
              <w:spacing w:after="20" w:before="20" w:line="264" w:lineRule="auto"/>
            </w:pPr>
            <w:r>
              <w:rPr>
                <w:rFonts w:ascii="Consolas" w:hAnsi="Consolas"/>
                <w:color w:val="381A89"/>
                <w:sz w:val="17"/>
              </w:rPr>
              <w:t>reports</w:t>
            </w:r>
          </w:p>
        </w:tc>
      </w:tr>
      <w:tr>
        <w:trPr>
          <w:cantSplit/>
        </w:trPr>
        <w:tc>
          <w:tcPr>
            <w:tcW w:type="dxa" w:w="1928"/>
          </w:tcPr>
          <w:p>
            <w:pPr>
              <w:spacing w:after="20" w:before="20" w:line="264" w:lineRule="auto"/>
            </w:pPr>
            <w:r>
              <w:rPr>
                <w:rFonts w:ascii="Arial" w:hAnsi="Arial"/>
                <w:sz w:val="19"/>
              </w:rPr>
              <w:t>Governance</w:t>
            </w:r>
          </w:p>
        </w:tc>
        <w:tc>
          <w:tcPr>
            <w:tcW w:type="dxa" w:w="7030"/>
          </w:tcPr>
          <w:p>
            <w:pPr>
              <w:spacing w:after="20" w:before="20" w:line="264" w:lineRule="auto"/>
            </w:pPr>
            <w:r>
              <w:rPr>
                <w:rFonts w:ascii="Consolas" w:hAnsi="Consolas"/>
                <w:color w:val="381A89"/>
                <w:sz w:val="17"/>
              </w:rPr>
              <w:t>audit_logs</w:t>
            </w:r>
            <w:r>
              <w:rPr>
                <w:rFonts w:ascii="Arial" w:hAnsi="Arial"/>
                <w:sz w:val="19"/>
              </w:rPr>
              <w:t xml:space="preserve">, </w:t>
            </w:r>
            <w:r>
              <w:rPr>
                <w:rFonts w:ascii="Consolas" w:hAnsi="Consolas"/>
                <w:color w:val="381A89"/>
                <w:sz w:val="17"/>
              </w:rPr>
              <w:t>detection_rules</w:t>
            </w:r>
            <w:r>
              <w:rPr>
                <w:rFonts w:ascii="Arial" w:hAnsi="Arial"/>
                <w:sz w:val="19"/>
              </w:rPr>
              <w:t xml:space="preserve">, </w:t>
            </w:r>
            <w:r>
              <w:rPr>
                <w:rFonts w:ascii="Consolas" w:hAnsi="Consolas"/>
                <w:color w:val="381A89"/>
                <w:sz w:val="17"/>
              </w:rPr>
              <w:t>provider_configs</w:t>
            </w:r>
            <w:r>
              <w:rPr>
                <w:rFonts w:ascii="Arial" w:hAnsi="Arial"/>
                <w:sz w:val="19"/>
              </w:rPr>
              <w:t xml:space="preserve">, </w:t>
            </w:r>
            <w:r>
              <w:rPr>
                <w:rFonts w:ascii="Consolas" w:hAnsi="Consolas"/>
                <w:color w:val="381A89"/>
                <w:sz w:val="17"/>
              </w:rPr>
              <w:t>system_settings</w:t>
            </w:r>
          </w:p>
        </w:tc>
      </w:tr>
    </w:tbl>
    <w:p>
      <w:pPr>
        <w:spacing w:after="40"/>
      </w:pPr>
    </w:p>
    <w:p>
      <w:pPr>
        <w:pStyle w:val="Heading3"/>
      </w:pPr>
      <w:r>
        <w:t>Why findings occupy five tables</w:t>
      </w:r>
    </w:p>
    <w:p>
      <w:pPr>
        <w:spacing w:after="160"/>
        <w:jc w:val="both"/>
      </w:pPr>
      <w:r>
        <w:t xml:space="preserve">The five finding tables share one evidence contract through a common mixin — code, category, severity, confidence, page, region, description, evidence, detector, model version, review status and reviewer — yet they are stored separately. The reason is that their provenance and their retention differ in kind. A deterministic rule failure and a model inference are not the same sort of claim about the world, and treating them as rows in one table would erase that distinction precisely where it matters. Each table also carries the columns its family actually needs: a tampering finding has a tamper type and the extracted field its region covers; a synthetic-media finding has the provider, its demo flag and the per-indicator scores; a cross-document finding belongs to a </w:t>
      </w:r>
      <w:r>
        <w:rPr>
          <w:i/>
        </w:rPr>
        <w:t>bundle</w:t>
      </w:r>
      <w:r>
        <w:t xml:space="preserve"> rather than to a single file and therefore carries a claim identifier, a counterpart document and both compared values.</w:t>
      </w:r>
    </w:p>
    <w:p>
      <w:pPr>
        <w:spacing w:after="160"/>
        <w:jc w:val="both"/>
      </w:pPr>
      <w:r>
        <w:t xml:space="preserve">The cost of that decision — five tables to query instead of one — is paid once, in </w:t>
      </w:r>
      <w:r>
        <w:rPr>
          <w:rFonts w:ascii="Consolas" w:hAnsi="Consolas"/>
          <w:color w:val="381A89"/>
          <w:sz w:val="20"/>
        </w:rPr>
        <w:t>findings_store.py</w:t>
      </w:r>
      <w:r>
        <w:t>, which is the only module aware of the mapping and which exposes a single uniform read model to the API, the risk engine and the report generator.</w:t>
      </w:r>
    </w:p>
    <w:p>
      <w:pPr>
        <w:pStyle w:val="Heading2"/>
      </w:pPr>
      <w:r>
        <w:t>5.4  The analysis pipeline</w:t>
      </w:r>
    </w:p>
    <w:p>
      <w:pPr>
        <w:spacing w:after="160"/>
        <w:jc w:val="both"/>
      </w:pPr>
      <w:r>
        <w:t xml:space="preserve">Fourteen stages run in a fixed order through a context manager that records, for each: status, start and finish time, duration, provider snapshot, message, finding count and a stage-specific detail blob. Stages are classified </w:t>
      </w:r>
      <w:r>
        <w:rPr>
          <w:i/>
        </w:rPr>
        <w:t>critical</w:t>
      </w:r>
      <w:r>
        <w:t xml:space="preserve"> or </w:t>
      </w:r>
      <w:r>
        <w:rPr>
          <w:i/>
        </w:rPr>
        <w:t>non-critical</w:t>
      </w:r>
      <w:r>
        <w:t>, which determines the outcome of the run as a whole.</w:t>
      </w:r>
    </w:p>
    <w:p>
      <w:pPr>
        <w:keepNext/>
        <w:spacing w:after="60" w:before="120"/>
      </w:pPr>
      <w:r>
        <w:rPr>
          <w:rFonts w:ascii="Arial" w:hAnsi="Arial"/>
          <w:b/>
          <w:color w:val="381A89"/>
          <w:sz w:val="18"/>
        </w:rPr>
        <w:t xml:space="preserve">Table 8. </w:t>
      </w:r>
      <w:r>
        <w:rPr>
          <w:rFonts w:ascii="Arial" w:hAnsi="Arial"/>
          <w:color w:val="55516B"/>
          <w:sz w:val="18"/>
        </w:rPr>
        <w:t>The fourteen pipeline stages in execution order.</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510"/>
            <w:shd w:val="clear" w:color="auto" w:fill="2E1C6B"/>
          </w:tcPr>
          <w:p>
            <w:pPr>
              <w:spacing w:after="20" w:before="20" w:line="252" w:lineRule="auto"/>
            </w:pPr>
            <w:r>
              <w:rPr>
                <w:rFonts w:ascii="Arial" w:hAnsi="Arial"/>
                <w:b/>
                <w:color w:val="FFFFFF"/>
                <w:sz w:val="17"/>
              </w:rPr>
              <w:t>#</w:t>
            </w:r>
          </w:p>
        </w:tc>
        <w:tc>
          <w:tcPr>
            <w:tcW w:type="dxa" w:w="1984"/>
            <w:shd w:val="clear" w:color="auto" w:fill="2E1C6B"/>
          </w:tcPr>
          <w:p>
            <w:pPr>
              <w:spacing w:after="20" w:before="20" w:line="252" w:lineRule="auto"/>
            </w:pPr>
            <w:r>
              <w:rPr>
                <w:rFonts w:ascii="Arial" w:hAnsi="Arial"/>
                <w:b/>
                <w:color w:val="FFFFFF"/>
                <w:sz w:val="17"/>
              </w:rPr>
              <w:t>Stage</w:t>
            </w:r>
          </w:p>
        </w:tc>
        <w:tc>
          <w:tcPr>
            <w:tcW w:type="dxa" w:w="680"/>
            <w:shd w:val="clear" w:color="auto" w:fill="2E1C6B"/>
          </w:tcPr>
          <w:p>
            <w:pPr>
              <w:spacing w:after="20" w:before="20" w:line="252" w:lineRule="auto"/>
            </w:pPr>
            <w:r>
              <w:rPr>
                <w:rFonts w:ascii="Arial" w:hAnsi="Arial"/>
                <w:b/>
                <w:color w:val="FFFFFF"/>
                <w:sz w:val="17"/>
              </w:rPr>
              <w:t>Crit.</w:t>
            </w:r>
          </w:p>
        </w:tc>
        <w:tc>
          <w:tcPr>
            <w:tcW w:type="dxa" w:w="5783"/>
            <w:shd w:val="clear" w:color="auto" w:fill="2E1C6B"/>
          </w:tcPr>
          <w:p>
            <w:pPr>
              <w:spacing w:after="20" w:before="20" w:line="252" w:lineRule="auto"/>
            </w:pPr>
            <w:r>
              <w:rPr>
                <w:rFonts w:ascii="Arial" w:hAnsi="Arial"/>
                <w:b/>
                <w:color w:val="FFFFFF"/>
                <w:sz w:val="17"/>
              </w:rPr>
              <w:t>Function</w:t>
            </w:r>
          </w:p>
        </w:tc>
      </w:tr>
      <w:tr>
        <w:trPr>
          <w:cantSplit/>
        </w:trPr>
        <w:tc>
          <w:tcPr>
            <w:tcW w:type="dxa" w:w="510"/>
          </w:tcPr>
          <w:p>
            <w:pPr>
              <w:spacing w:after="20" w:before="20" w:line="264" w:lineRule="auto"/>
            </w:pPr>
            <w:r>
              <w:rPr>
                <w:rFonts w:ascii="Arial" w:hAnsi="Arial"/>
                <w:sz w:val="18"/>
              </w:rPr>
              <w:t>1</w:t>
            </w:r>
          </w:p>
        </w:tc>
        <w:tc>
          <w:tcPr>
            <w:tcW w:type="dxa" w:w="1984"/>
          </w:tcPr>
          <w:p>
            <w:pPr>
              <w:spacing w:after="20" w:before="20" w:line="264" w:lineRule="auto"/>
            </w:pPr>
            <w:r>
              <w:rPr>
                <w:rFonts w:ascii="Arial" w:hAnsi="Arial"/>
                <w:sz w:val="18"/>
              </w:rPr>
              <w:t>File validation</w:t>
            </w:r>
          </w:p>
        </w:tc>
        <w:tc>
          <w:tcPr>
            <w:tcW w:type="dxa" w:w="680"/>
          </w:tcPr>
          <w:p>
            <w:pPr>
              <w:spacing w:after="20" w:before="20" w:line="264" w:lineRule="auto"/>
            </w:pPr>
            <w:r>
              <w:rPr>
                <w:rFonts w:ascii="Arial" w:hAnsi="Arial"/>
                <w:sz w:val="18"/>
              </w:rPr>
              <w:t>yes</w:t>
            </w:r>
          </w:p>
        </w:tc>
        <w:tc>
          <w:tcPr>
            <w:tcW w:type="dxa" w:w="5783"/>
          </w:tcPr>
          <w:p>
            <w:pPr>
              <w:spacing w:after="20" w:before="20" w:line="264" w:lineRule="auto"/>
            </w:pPr>
            <w:r>
              <w:rPr>
                <w:rFonts w:ascii="Arial" w:hAnsi="Arial"/>
                <w:sz w:val="18"/>
              </w:rPr>
              <w:t>Re-reads the stored original and recomputes its SHA-256 against the ingest hash; records size, MIME and page count; reports byte-identical duplicates already on record.</w:t>
            </w:r>
          </w:p>
        </w:tc>
      </w:tr>
      <w:tr>
        <w:trPr>
          <w:cantSplit/>
        </w:trPr>
        <w:tc>
          <w:tcPr>
            <w:tcW w:type="dxa" w:w="510"/>
            <w:shd w:val="clear" w:color="auto" w:fill="F4F2FA"/>
          </w:tcPr>
          <w:p>
            <w:pPr>
              <w:spacing w:after="20" w:before="20" w:line="264" w:lineRule="auto"/>
            </w:pPr>
            <w:r>
              <w:rPr>
                <w:rFonts w:ascii="Arial" w:hAnsi="Arial"/>
                <w:sz w:val="18"/>
              </w:rPr>
              <w:t>2</w:t>
            </w:r>
          </w:p>
        </w:tc>
        <w:tc>
          <w:tcPr>
            <w:tcW w:type="dxa" w:w="1984"/>
            <w:shd w:val="clear" w:color="auto" w:fill="F4F2FA"/>
          </w:tcPr>
          <w:p>
            <w:pPr>
              <w:spacing w:after="20" w:before="20" w:line="264" w:lineRule="auto"/>
            </w:pPr>
            <w:r>
              <w:rPr>
                <w:rFonts w:ascii="Arial" w:hAnsi="Arial"/>
                <w:sz w:val="18"/>
              </w:rPr>
              <w:t>Malware / security</w:t>
            </w:r>
          </w:p>
        </w:tc>
        <w:tc>
          <w:tcPr>
            <w:tcW w:type="dxa" w:w="680"/>
            <w:shd w:val="clear" w:color="auto" w:fill="F4F2FA"/>
          </w:tcPr>
          <w:p>
            <w:pPr>
              <w:spacing w:after="20" w:before="20" w:line="264" w:lineRule="auto"/>
            </w:pPr>
            <w:r>
              <w:rPr>
                <w:rFonts w:ascii="Arial" w:hAnsi="Arial"/>
                <w:sz w:val="18"/>
              </w:rPr>
              <w:t>yes</w:t>
            </w:r>
          </w:p>
        </w:tc>
        <w:tc>
          <w:tcPr>
            <w:tcW w:type="dxa" w:w="5783"/>
            <w:shd w:val="clear" w:color="auto" w:fill="F4F2FA"/>
          </w:tcPr>
          <w:p>
            <w:pPr>
              <w:spacing w:after="20" w:before="20" w:line="264" w:lineRule="auto"/>
            </w:pPr>
            <w:r>
              <w:rPr>
                <w:rFonts w:ascii="Arial" w:hAnsi="Arial"/>
                <w:sz w:val="18"/>
              </w:rPr>
              <w:t>Static active-content scan or ClamAV. An infected verdict quarantines the document and halts stages 3–13 without deleting anything.</w:t>
            </w:r>
          </w:p>
        </w:tc>
      </w:tr>
      <w:tr>
        <w:trPr>
          <w:cantSplit/>
        </w:trPr>
        <w:tc>
          <w:tcPr>
            <w:tcW w:type="dxa" w:w="510"/>
          </w:tcPr>
          <w:p>
            <w:pPr>
              <w:spacing w:after="20" w:before="20" w:line="264" w:lineRule="auto"/>
            </w:pPr>
            <w:r>
              <w:rPr>
                <w:rFonts w:ascii="Arial" w:hAnsi="Arial"/>
                <w:sz w:val="18"/>
              </w:rPr>
              <w:t>3</w:t>
            </w:r>
          </w:p>
        </w:tc>
        <w:tc>
          <w:tcPr>
            <w:tcW w:type="dxa" w:w="1984"/>
          </w:tcPr>
          <w:p>
            <w:pPr>
              <w:spacing w:after="20" w:before="20" w:line="264" w:lineRule="auto"/>
            </w:pPr>
            <w:r>
              <w:rPr>
                <w:rFonts w:ascii="Arial" w:hAnsi="Arial"/>
                <w:sz w:val="18"/>
              </w:rPr>
              <w:t>Page rendering</w:t>
            </w:r>
          </w:p>
        </w:tc>
        <w:tc>
          <w:tcPr>
            <w:tcW w:type="dxa" w:w="680"/>
          </w:tcPr>
          <w:p>
            <w:pPr>
              <w:spacing w:after="20" w:before="20" w:line="264" w:lineRule="auto"/>
            </w:pPr>
            <w:r>
              <w:rPr>
                <w:rFonts w:ascii="Arial" w:hAnsi="Arial"/>
                <w:sz w:val="18"/>
              </w:rPr>
              <w:t>yes</w:t>
            </w:r>
          </w:p>
        </w:tc>
        <w:tc>
          <w:tcPr>
            <w:tcW w:type="dxa" w:w="5783"/>
          </w:tcPr>
          <w:p>
            <w:pPr>
              <w:spacing w:after="20" w:before="20" w:line="264" w:lineRule="auto"/>
            </w:pPr>
            <w:r>
              <w:rPr>
                <w:rFonts w:ascii="Arial" w:hAnsi="Arial"/>
                <w:sz w:val="18"/>
              </w:rPr>
              <w:t>Rasterises each page to PNG plus a thumbnail at 150 dpi, maximum edge 2400 px, into the artifacts scope.</w:t>
            </w:r>
          </w:p>
        </w:tc>
      </w:tr>
      <w:tr>
        <w:trPr>
          <w:cantSplit/>
        </w:trPr>
        <w:tc>
          <w:tcPr>
            <w:tcW w:type="dxa" w:w="510"/>
            <w:shd w:val="clear" w:color="auto" w:fill="F4F2FA"/>
          </w:tcPr>
          <w:p>
            <w:pPr>
              <w:spacing w:after="20" w:before="20" w:line="264" w:lineRule="auto"/>
            </w:pPr>
            <w:r>
              <w:rPr>
                <w:rFonts w:ascii="Arial" w:hAnsi="Arial"/>
                <w:sz w:val="18"/>
              </w:rPr>
              <w:t>4</w:t>
            </w:r>
          </w:p>
        </w:tc>
        <w:tc>
          <w:tcPr>
            <w:tcW w:type="dxa" w:w="1984"/>
            <w:shd w:val="clear" w:color="auto" w:fill="F4F2FA"/>
          </w:tcPr>
          <w:p>
            <w:pPr>
              <w:spacing w:after="20" w:before="20" w:line="264" w:lineRule="auto"/>
            </w:pPr>
            <w:r>
              <w:rPr>
                <w:rFonts w:ascii="Arial" w:hAnsi="Arial"/>
                <w:sz w:val="18"/>
              </w:rPr>
              <w:t>OCR and text extraction</w:t>
            </w:r>
          </w:p>
        </w:tc>
        <w:tc>
          <w:tcPr>
            <w:tcW w:type="dxa" w:w="680"/>
            <w:shd w:val="clear" w:color="auto" w:fill="F4F2FA"/>
          </w:tcPr>
          <w:p>
            <w:pPr>
              <w:spacing w:after="20" w:before="20" w:line="264" w:lineRule="auto"/>
            </w:pPr>
            <w:r>
              <w:rPr>
                <w:rFonts w:ascii="Arial" w:hAnsi="Arial"/>
                <w:sz w:val="18"/>
              </w:rPr>
              <w:t>yes</w:t>
            </w:r>
          </w:p>
        </w:tc>
        <w:tc>
          <w:tcPr>
            <w:tcW w:type="dxa" w:w="5783"/>
            <w:shd w:val="clear" w:color="auto" w:fill="F4F2FA"/>
          </w:tcPr>
          <w:p>
            <w:pPr>
              <w:spacing w:after="20" w:before="20" w:line="264" w:lineRule="auto"/>
            </w:pPr>
            <w:r>
              <w:rPr>
                <w:rFonts w:ascii="Arial" w:hAnsi="Arial"/>
                <w:sz w:val="18"/>
              </w:rPr>
              <w:t>Up to 30 pages through the active provider; persists words, boxes and confidences per page and records which route was taken.</w:t>
            </w:r>
          </w:p>
        </w:tc>
      </w:tr>
      <w:tr>
        <w:trPr>
          <w:cantSplit/>
        </w:trPr>
        <w:tc>
          <w:tcPr>
            <w:tcW w:type="dxa" w:w="510"/>
          </w:tcPr>
          <w:p>
            <w:pPr>
              <w:spacing w:after="20" w:before="20" w:line="264" w:lineRule="auto"/>
            </w:pPr>
            <w:r>
              <w:rPr>
                <w:rFonts w:ascii="Arial" w:hAnsi="Arial"/>
                <w:sz w:val="18"/>
              </w:rPr>
              <w:t>5</w:t>
            </w:r>
          </w:p>
        </w:tc>
        <w:tc>
          <w:tcPr>
            <w:tcW w:type="dxa" w:w="1984"/>
          </w:tcPr>
          <w:p>
            <w:pPr>
              <w:spacing w:after="20" w:before="20" w:line="264" w:lineRule="auto"/>
            </w:pPr>
            <w:r>
              <w:rPr>
                <w:rFonts w:ascii="Arial" w:hAnsi="Arial"/>
                <w:sz w:val="18"/>
              </w:rPr>
              <w:t>Document classification</w:t>
            </w:r>
          </w:p>
        </w:tc>
        <w:tc>
          <w:tcPr>
            <w:tcW w:type="dxa" w:w="680"/>
          </w:tcPr>
          <w:p>
            <w:pPr>
              <w:spacing w:after="20" w:before="20" w:line="264" w:lineRule="auto"/>
            </w:pPr>
            <w:r>
              <w:rPr>
                <w:rFonts w:ascii="Arial" w:hAnsi="Arial"/>
                <w:sz w:val="18"/>
              </w:rPr>
              <w:t>yes</w:t>
            </w:r>
          </w:p>
        </w:tc>
        <w:tc>
          <w:tcPr>
            <w:tcW w:type="dxa" w:w="5783"/>
          </w:tcPr>
          <w:p>
            <w:pPr>
              <w:spacing w:after="20" w:before="20" w:line="264" w:lineRule="auto"/>
            </w:pPr>
            <w:r>
              <w:rPr>
                <w:rFonts w:ascii="Arial" w:hAnsi="Arial"/>
                <w:sz w:val="18"/>
              </w:rPr>
              <w:t xml:space="preserve">Weighted lexical and structural scoring against per-type signatures; below the score floor the type is </w:t>
            </w:r>
            <w:r>
              <w:rPr>
                <w:rFonts w:ascii="Consolas" w:hAnsi="Consolas"/>
                <w:color w:val="381A89"/>
                <w:sz w:val="16"/>
              </w:rPr>
              <w:t>other</w:t>
            </w:r>
            <w:r>
              <w:rPr>
                <w:rFonts w:ascii="Arial" w:hAnsi="Arial"/>
                <w:sz w:val="18"/>
              </w:rPr>
              <w:t>.</w:t>
            </w:r>
          </w:p>
        </w:tc>
      </w:tr>
      <w:tr>
        <w:trPr>
          <w:cantSplit/>
        </w:trPr>
        <w:tc>
          <w:tcPr>
            <w:tcW w:type="dxa" w:w="510"/>
            <w:shd w:val="clear" w:color="auto" w:fill="F4F2FA"/>
          </w:tcPr>
          <w:p>
            <w:pPr>
              <w:spacing w:after="20" w:before="20" w:line="264" w:lineRule="auto"/>
            </w:pPr>
            <w:r>
              <w:rPr>
                <w:rFonts w:ascii="Arial" w:hAnsi="Arial"/>
                <w:sz w:val="18"/>
              </w:rPr>
              <w:t>6</w:t>
            </w:r>
          </w:p>
        </w:tc>
        <w:tc>
          <w:tcPr>
            <w:tcW w:type="dxa" w:w="1984"/>
            <w:shd w:val="clear" w:color="auto" w:fill="F4F2FA"/>
          </w:tcPr>
          <w:p>
            <w:pPr>
              <w:spacing w:after="20" w:before="20" w:line="264" w:lineRule="auto"/>
            </w:pPr>
            <w:r>
              <w:rPr>
                <w:rFonts w:ascii="Arial" w:hAnsi="Arial"/>
                <w:sz w:val="18"/>
              </w:rPr>
              <w:t>Field extraction</w:t>
            </w:r>
          </w:p>
        </w:tc>
        <w:tc>
          <w:tcPr>
            <w:tcW w:type="dxa" w:w="680"/>
            <w:shd w:val="clear" w:color="auto" w:fill="F4F2FA"/>
          </w:tcPr>
          <w:p>
            <w:pPr>
              <w:spacing w:after="20" w:before="20" w:line="264" w:lineRule="auto"/>
            </w:pPr>
            <w:r>
              <w:rPr>
                <w:rFonts w:ascii="Arial" w:hAnsi="Arial"/>
                <w:sz w:val="18"/>
              </w:rPr>
              <w:t>yes</w:t>
            </w:r>
          </w:p>
        </w:tc>
        <w:tc>
          <w:tcPr>
            <w:tcW w:type="dxa" w:w="5783"/>
            <w:shd w:val="clear" w:color="auto" w:fill="F4F2FA"/>
          </w:tcPr>
          <w:p>
            <w:pPr>
              <w:spacing w:after="20" w:before="20" w:line="264" w:lineRule="auto"/>
            </w:pPr>
            <w:r>
              <w:rPr>
                <w:rFonts w:ascii="Arial" w:hAnsi="Arial"/>
                <w:sz w:val="18"/>
              </w:rPr>
              <w:t>Applies the schema for the detected type: label synonyms, column geometry and value patterns, with a bounding box and a confidence for every value.</w:t>
            </w:r>
          </w:p>
        </w:tc>
      </w:tr>
      <w:tr>
        <w:trPr>
          <w:cantSplit/>
        </w:trPr>
        <w:tc>
          <w:tcPr>
            <w:tcW w:type="dxa" w:w="510"/>
          </w:tcPr>
          <w:p>
            <w:pPr>
              <w:spacing w:after="20" w:before="20" w:line="264" w:lineRule="auto"/>
            </w:pPr>
            <w:r>
              <w:rPr>
                <w:rFonts w:ascii="Arial" w:hAnsi="Arial"/>
                <w:sz w:val="18"/>
              </w:rPr>
              <w:t>7</w:t>
            </w:r>
          </w:p>
        </w:tc>
        <w:tc>
          <w:tcPr>
            <w:tcW w:type="dxa" w:w="1984"/>
          </w:tcPr>
          <w:p>
            <w:pPr>
              <w:spacing w:after="20" w:before="20" w:line="264" w:lineRule="auto"/>
            </w:pPr>
            <w:r>
              <w:rPr>
                <w:rFonts w:ascii="Arial" w:hAnsi="Arial"/>
                <w:sz w:val="18"/>
              </w:rPr>
              <w:t>Metadata analysis</w:t>
            </w:r>
          </w:p>
        </w:tc>
        <w:tc>
          <w:tcPr>
            <w:tcW w:type="dxa" w:w="680"/>
          </w:tcPr>
          <w:p>
            <w:pPr>
              <w:spacing w:after="20" w:before="20" w:line="264" w:lineRule="auto"/>
            </w:pPr>
            <w:r>
              <w:rPr>
                <w:rFonts w:ascii="Arial" w:hAnsi="Arial"/>
                <w:sz w:val="18"/>
              </w:rPr>
              <w:t>no</w:t>
            </w:r>
          </w:p>
        </w:tc>
        <w:tc>
          <w:tcPr>
            <w:tcW w:type="dxa" w:w="5783"/>
          </w:tcPr>
          <w:p>
            <w:pPr>
              <w:spacing w:after="20" w:before="20" w:line="264" w:lineRule="auto"/>
            </w:pPr>
            <w:r>
              <w:rPr>
                <w:rFonts w:ascii="Arial" w:hAnsi="Arial"/>
                <w:sz w:val="18"/>
              </w:rPr>
              <w:t>PDF document information and XMP, cross-reference generations, byte markers, fonts and embedded-image inventory; EXIF for rasters.</w:t>
            </w:r>
          </w:p>
        </w:tc>
      </w:tr>
      <w:tr>
        <w:trPr>
          <w:cantSplit/>
        </w:trPr>
        <w:tc>
          <w:tcPr>
            <w:tcW w:type="dxa" w:w="510"/>
            <w:shd w:val="clear" w:color="auto" w:fill="F4F2FA"/>
          </w:tcPr>
          <w:p>
            <w:pPr>
              <w:spacing w:after="20" w:before="20" w:line="264" w:lineRule="auto"/>
            </w:pPr>
            <w:r>
              <w:rPr>
                <w:rFonts w:ascii="Arial" w:hAnsi="Arial"/>
                <w:sz w:val="18"/>
              </w:rPr>
              <w:t>8</w:t>
            </w:r>
          </w:p>
        </w:tc>
        <w:tc>
          <w:tcPr>
            <w:tcW w:type="dxa" w:w="1984"/>
            <w:shd w:val="clear" w:color="auto" w:fill="F4F2FA"/>
          </w:tcPr>
          <w:p>
            <w:pPr>
              <w:spacing w:after="20" w:before="20" w:line="264" w:lineRule="auto"/>
            </w:pPr>
            <w:r>
              <w:rPr>
                <w:rFonts w:ascii="Arial" w:hAnsi="Arial"/>
                <w:sz w:val="18"/>
              </w:rPr>
              <w:t>Image and PDF forensics</w:t>
            </w:r>
          </w:p>
        </w:tc>
        <w:tc>
          <w:tcPr>
            <w:tcW w:type="dxa" w:w="680"/>
            <w:shd w:val="clear" w:color="auto" w:fill="F4F2FA"/>
          </w:tcPr>
          <w:p>
            <w:pPr>
              <w:spacing w:after="20" w:before="20" w:line="264" w:lineRule="auto"/>
            </w:pPr>
            <w:r>
              <w:rPr>
                <w:rFonts w:ascii="Arial" w:hAnsi="Arial"/>
                <w:sz w:val="18"/>
              </w:rPr>
              <w:t>no</w:t>
            </w:r>
          </w:p>
        </w:tc>
        <w:tc>
          <w:tcPr>
            <w:tcW w:type="dxa" w:w="5783"/>
            <w:shd w:val="clear" w:color="auto" w:fill="F4F2FA"/>
          </w:tcPr>
          <w:p>
            <w:pPr>
              <w:spacing w:after="20" w:before="20" w:line="264" w:lineRule="auto"/>
            </w:pPr>
            <w:r>
              <w:rPr>
                <w:rFonts w:ascii="Arial" w:hAnsi="Arial"/>
                <w:sz w:val="18"/>
              </w:rPr>
              <w:t>The pixel suite over embedded rasters or the image itself, PDF font analysis, and typography analysis per recognised page; writes forensic overlay layers.</w:t>
            </w:r>
          </w:p>
        </w:tc>
      </w:tr>
      <w:tr>
        <w:trPr>
          <w:cantSplit/>
        </w:trPr>
        <w:tc>
          <w:tcPr>
            <w:tcW w:type="dxa" w:w="510"/>
          </w:tcPr>
          <w:p>
            <w:pPr>
              <w:spacing w:after="20" w:before="20" w:line="264" w:lineRule="auto"/>
            </w:pPr>
            <w:r>
              <w:rPr>
                <w:rFonts w:ascii="Arial" w:hAnsi="Arial"/>
                <w:sz w:val="18"/>
              </w:rPr>
              <w:t>9</w:t>
            </w:r>
          </w:p>
        </w:tc>
        <w:tc>
          <w:tcPr>
            <w:tcW w:type="dxa" w:w="1984"/>
          </w:tcPr>
          <w:p>
            <w:pPr>
              <w:spacing w:after="20" w:before="20" w:line="264" w:lineRule="auto"/>
            </w:pPr>
            <w:r>
              <w:rPr>
                <w:rFonts w:ascii="Arial" w:hAnsi="Arial"/>
                <w:sz w:val="18"/>
              </w:rPr>
              <w:t>Synthetic-media analysis</w:t>
            </w:r>
          </w:p>
        </w:tc>
        <w:tc>
          <w:tcPr>
            <w:tcW w:type="dxa" w:w="680"/>
          </w:tcPr>
          <w:p>
            <w:pPr>
              <w:spacing w:after="20" w:before="20" w:line="264" w:lineRule="auto"/>
            </w:pPr>
            <w:r>
              <w:rPr>
                <w:rFonts w:ascii="Arial" w:hAnsi="Arial"/>
                <w:sz w:val="18"/>
              </w:rPr>
              <w:t>no</w:t>
            </w:r>
          </w:p>
        </w:tc>
        <w:tc>
          <w:tcPr>
            <w:tcW w:type="dxa" w:w="5783"/>
          </w:tcPr>
          <w:p>
            <w:pPr>
              <w:spacing w:after="20" w:before="20" w:line="264" w:lineRule="auto"/>
            </w:pPr>
            <w:r>
              <w:rPr>
                <w:rFonts w:ascii="Arial" w:hAnsi="Arial"/>
                <w:sz w:val="18"/>
              </w:rPr>
              <w:t>Per page, up to 12 pages, through the active provider; emits a band, never a verdict.</w:t>
            </w:r>
          </w:p>
        </w:tc>
      </w:tr>
      <w:tr>
        <w:trPr>
          <w:cantSplit/>
        </w:trPr>
        <w:tc>
          <w:tcPr>
            <w:tcW w:type="dxa" w:w="510"/>
            <w:shd w:val="clear" w:color="auto" w:fill="F4F2FA"/>
          </w:tcPr>
          <w:p>
            <w:pPr>
              <w:spacing w:after="20" w:before="20" w:line="264" w:lineRule="auto"/>
            </w:pPr>
            <w:r>
              <w:rPr>
                <w:rFonts w:ascii="Arial" w:hAnsi="Arial"/>
                <w:sz w:val="18"/>
              </w:rPr>
              <w:t>10</w:t>
            </w:r>
          </w:p>
        </w:tc>
        <w:tc>
          <w:tcPr>
            <w:tcW w:type="dxa" w:w="1984"/>
            <w:shd w:val="clear" w:color="auto" w:fill="F4F2FA"/>
          </w:tcPr>
          <w:p>
            <w:pPr>
              <w:spacing w:after="20" w:before="20" w:line="264" w:lineRule="auto"/>
            </w:pPr>
            <w:r>
              <w:rPr>
                <w:rFonts w:ascii="Arial" w:hAnsi="Arial"/>
                <w:sz w:val="18"/>
              </w:rPr>
              <w:t>Tampering correlation</w:t>
            </w:r>
          </w:p>
        </w:tc>
        <w:tc>
          <w:tcPr>
            <w:tcW w:type="dxa" w:w="680"/>
            <w:shd w:val="clear" w:color="auto" w:fill="F4F2FA"/>
          </w:tcPr>
          <w:p>
            <w:pPr>
              <w:spacing w:after="20" w:before="20" w:line="264" w:lineRule="auto"/>
            </w:pPr>
            <w:r>
              <w:rPr>
                <w:rFonts w:ascii="Arial" w:hAnsi="Arial"/>
                <w:sz w:val="18"/>
              </w:rPr>
              <w:t>no</w:t>
            </w:r>
          </w:p>
        </w:tc>
        <w:tc>
          <w:tcPr>
            <w:tcW w:type="dxa" w:w="5783"/>
            <w:shd w:val="clear" w:color="auto" w:fill="F4F2FA"/>
          </w:tcPr>
          <w:p>
            <w:pPr>
              <w:spacing w:after="20" w:before="20" w:line="264" w:lineRule="auto"/>
            </w:pPr>
            <w:r>
              <w:rPr>
                <w:rFonts w:ascii="Arial" w:hAnsi="Arial"/>
                <w:sz w:val="18"/>
              </w:rPr>
              <w:t>Fuses overlapping suspect regions from independent detectors and names the region by intersecting it with the extracted fields.</w:t>
            </w:r>
          </w:p>
        </w:tc>
      </w:tr>
      <w:tr>
        <w:trPr>
          <w:cantSplit/>
        </w:trPr>
        <w:tc>
          <w:tcPr>
            <w:tcW w:type="dxa" w:w="510"/>
          </w:tcPr>
          <w:p>
            <w:pPr>
              <w:spacing w:after="20" w:before="20" w:line="264" w:lineRule="auto"/>
            </w:pPr>
            <w:r>
              <w:rPr>
                <w:rFonts w:ascii="Arial" w:hAnsi="Arial"/>
                <w:sz w:val="18"/>
              </w:rPr>
              <w:t>11</w:t>
            </w:r>
          </w:p>
        </w:tc>
        <w:tc>
          <w:tcPr>
            <w:tcW w:type="dxa" w:w="1984"/>
          </w:tcPr>
          <w:p>
            <w:pPr>
              <w:spacing w:after="20" w:before="20" w:line="264" w:lineRule="auto"/>
            </w:pPr>
            <w:r>
              <w:rPr>
                <w:rFonts w:ascii="Arial" w:hAnsi="Arial"/>
                <w:sz w:val="18"/>
              </w:rPr>
              <w:t>Consistency rules</w:t>
            </w:r>
          </w:p>
        </w:tc>
        <w:tc>
          <w:tcPr>
            <w:tcW w:type="dxa" w:w="680"/>
          </w:tcPr>
          <w:p>
            <w:pPr>
              <w:spacing w:after="20" w:before="20" w:line="264" w:lineRule="auto"/>
            </w:pPr>
            <w:r>
              <w:rPr>
                <w:rFonts w:ascii="Arial" w:hAnsi="Arial"/>
                <w:sz w:val="18"/>
              </w:rPr>
              <w:t>no</w:t>
            </w:r>
          </w:p>
        </w:tc>
        <w:tc>
          <w:tcPr>
            <w:tcW w:type="dxa" w:w="5783"/>
          </w:tcPr>
          <w:p>
            <w:pPr>
              <w:spacing w:after="20" w:before="20" w:line="264" w:lineRule="auto"/>
            </w:pPr>
            <w:r>
              <w:rPr>
                <w:rFonts w:ascii="Arial" w:hAnsi="Arial"/>
                <w:sz w:val="18"/>
              </w:rPr>
              <w:t>Twenty deterministic rules over the extracted fields, with administrator overrides applied; records passes and non-applicable outcomes as well as failures.</w:t>
            </w:r>
          </w:p>
        </w:tc>
      </w:tr>
      <w:tr>
        <w:trPr>
          <w:cantSplit/>
        </w:trPr>
        <w:tc>
          <w:tcPr>
            <w:tcW w:type="dxa" w:w="510"/>
            <w:shd w:val="clear" w:color="auto" w:fill="F4F2FA"/>
          </w:tcPr>
          <w:p>
            <w:pPr>
              <w:spacing w:after="20" w:before="20" w:line="264" w:lineRule="auto"/>
            </w:pPr>
            <w:r>
              <w:rPr>
                <w:rFonts w:ascii="Arial" w:hAnsi="Arial"/>
                <w:sz w:val="18"/>
              </w:rPr>
              <w:t>12</w:t>
            </w:r>
          </w:p>
        </w:tc>
        <w:tc>
          <w:tcPr>
            <w:tcW w:type="dxa" w:w="1984"/>
            <w:shd w:val="clear" w:color="auto" w:fill="F4F2FA"/>
          </w:tcPr>
          <w:p>
            <w:pPr>
              <w:spacing w:after="20" w:before="20" w:line="264" w:lineRule="auto"/>
            </w:pPr>
            <w:r>
              <w:rPr>
                <w:rFonts w:ascii="Arial" w:hAnsi="Arial"/>
                <w:sz w:val="18"/>
              </w:rPr>
              <w:t>Cross-document comparison</w:t>
            </w:r>
          </w:p>
        </w:tc>
        <w:tc>
          <w:tcPr>
            <w:tcW w:type="dxa" w:w="680"/>
            <w:shd w:val="clear" w:color="auto" w:fill="F4F2FA"/>
          </w:tcPr>
          <w:p>
            <w:pPr>
              <w:spacing w:after="20" w:before="20" w:line="264" w:lineRule="auto"/>
            </w:pPr>
            <w:r>
              <w:rPr>
                <w:rFonts w:ascii="Arial" w:hAnsi="Arial"/>
                <w:sz w:val="18"/>
              </w:rPr>
              <w:t>no</w:t>
            </w:r>
          </w:p>
        </w:tc>
        <w:tc>
          <w:tcPr>
            <w:tcW w:type="dxa" w:w="5783"/>
            <w:shd w:val="clear" w:color="auto" w:fill="F4F2FA"/>
          </w:tcPr>
          <w:p>
            <w:pPr>
              <w:spacing w:after="20" w:before="20" w:line="264" w:lineRule="auto"/>
            </w:pPr>
            <w:r>
              <w:rPr>
                <w:rFonts w:ascii="Arial" w:hAnsi="Arial"/>
                <w:sz w:val="18"/>
              </w:rPr>
              <w:t>Compares this document against every sibling in the claim and against the claim record, under pairing policies.</w:t>
            </w:r>
          </w:p>
        </w:tc>
      </w:tr>
      <w:tr>
        <w:trPr>
          <w:cantSplit/>
        </w:trPr>
        <w:tc>
          <w:tcPr>
            <w:tcW w:type="dxa" w:w="510"/>
          </w:tcPr>
          <w:p>
            <w:pPr>
              <w:spacing w:after="20" w:before="20" w:line="264" w:lineRule="auto"/>
            </w:pPr>
            <w:r>
              <w:rPr>
                <w:rFonts w:ascii="Arial" w:hAnsi="Arial"/>
                <w:sz w:val="18"/>
              </w:rPr>
              <w:t>13</w:t>
            </w:r>
          </w:p>
        </w:tc>
        <w:tc>
          <w:tcPr>
            <w:tcW w:type="dxa" w:w="1984"/>
          </w:tcPr>
          <w:p>
            <w:pPr>
              <w:spacing w:after="20" w:before="20" w:line="264" w:lineRule="auto"/>
            </w:pPr>
            <w:r>
              <w:rPr>
                <w:rFonts w:ascii="Arial" w:hAnsi="Arial"/>
                <w:sz w:val="18"/>
              </w:rPr>
              <w:t>Trusted-source verification</w:t>
            </w:r>
          </w:p>
        </w:tc>
        <w:tc>
          <w:tcPr>
            <w:tcW w:type="dxa" w:w="680"/>
          </w:tcPr>
          <w:p>
            <w:pPr>
              <w:spacing w:after="20" w:before="20" w:line="264" w:lineRule="auto"/>
            </w:pPr>
            <w:r>
              <w:rPr>
                <w:rFonts w:ascii="Arial" w:hAnsi="Arial"/>
                <w:sz w:val="18"/>
              </w:rPr>
              <w:t>no</w:t>
            </w:r>
          </w:p>
        </w:tc>
        <w:tc>
          <w:tcPr>
            <w:tcW w:type="dxa" w:w="5783"/>
          </w:tcPr>
          <w:p>
            <w:pPr>
              <w:spacing w:after="20" w:before="20" w:line="264" w:lineRule="auto"/>
            </w:pPr>
            <w:r>
              <w:rPr>
                <w:rFonts w:ascii="Arial" w:hAnsi="Arial"/>
                <w:sz w:val="18"/>
              </w:rPr>
              <w:t>Runs the request plan for the document type against the configured providers; a missing reference skips the request with a stated reason.</w:t>
            </w:r>
          </w:p>
        </w:tc>
      </w:tr>
      <w:tr>
        <w:trPr>
          <w:cantSplit/>
        </w:trPr>
        <w:tc>
          <w:tcPr>
            <w:tcW w:type="dxa" w:w="510"/>
            <w:shd w:val="clear" w:color="auto" w:fill="F4F2FA"/>
          </w:tcPr>
          <w:p>
            <w:pPr>
              <w:spacing w:after="20" w:before="20" w:line="264" w:lineRule="auto"/>
            </w:pPr>
            <w:r>
              <w:rPr>
                <w:rFonts w:ascii="Arial" w:hAnsi="Arial"/>
                <w:sz w:val="18"/>
              </w:rPr>
              <w:t>14</w:t>
            </w:r>
          </w:p>
        </w:tc>
        <w:tc>
          <w:tcPr>
            <w:tcW w:type="dxa" w:w="1984"/>
            <w:shd w:val="clear" w:color="auto" w:fill="F4F2FA"/>
          </w:tcPr>
          <w:p>
            <w:pPr>
              <w:spacing w:after="20" w:before="20" w:line="264" w:lineRule="auto"/>
            </w:pPr>
            <w:r>
              <w:rPr>
                <w:rFonts w:ascii="Arial" w:hAnsi="Arial"/>
                <w:sz w:val="18"/>
              </w:rPr>
              <w:t>Risk assessment</w:t>
            </w:r>
          </w:p>
        </w:tc>
        <w:tc>
          <w:tcPr>
            <w:tcW w:type="dxa" w:w="680"/>
            <w:shd w:val="clear" w:color="auto" w:fill="F4F2FA"/>
          </w:tcPr>
          <w:p>
            <w:pPr>
              <w:spacing w:after="20" w:before="20" w:line="264" w:lineRule="auto"/>
            </w:pPr>
            <w:r>
              <w:rPr>
                <w:rFonts w:ascii="Arial" w:hAnsi="Arial"/>
                <w:sz w:val="18"/>
              </w:rPr>
              <w:t>yes</w:t>
            </w:r>
          </w:p>
        </w:tc>
        <w:tc>
          <w:tcPr>
            <w:tcW w:type="dxa" w:w="5783"/>
            <w:shd w:val="clear" w:color="auto" w:fill="F4F2FA"/>
          </w:tcPr>
          <w:p>
            <w:pPr>
              <w:spacing w:after="20" w:before="20" w:line="264" w:lineRule="auto"/>
            </w:pPr>
            <w:r>
              <w:rPr>
                <w:rFonts w:ascii="Arial" w:hAnsi="Arial"/>
                <w:sz w:val="18"/>
              </w:rPr>
              <w:t>Combines persisted findings and verification outcomes with the stage-coverage map into a score, a band, an explanation and the published formula.</w:t>
            </w:r>
          </w:p>
        </w:tc>
      </w:tr>
    </w:tbl>
    <w:p>
      <w:pPr>
        <w:spacing w:after="40"/>
      </w:pPr>
    </w:p>
    <w:p>
      <w:pPr>
        <w:pStyle w:val="Heading3"/>
      </w:pPr>
      <w:r>
        <w:t>Error isolation</w:t>
      </w:r>
    </w:p>
    <w:p>
      <w:pPr>
        <w:spacing w:after="160"/>
        <w:jc w:val="both"/>
      </w:pPr>
      <w:r>
        <w:t xml:space="preserve">The pipeline's central operational property is that failure is scoped to a stage. A provider that cannot answer yields </w:t>
      </w:r>
      <w:r>
        <w:rPr>
          <w:rFonts w:ascii="Consolas" w:hAnsi="Consolas"/>
          <w:color w:val="381A89"/>
          <w:sz w:val="20"/>
        </w:rPr>
        <w:t>unavailable</w:t>
      </w:r>
      <w:r>
        <w:t xml:space="preserve"> and is retryable with the document untouched; any other exception yields </w:t>
      </w:r>
      <w:r>
        <w:rPr>
          <w:rFonts w:ascii="Consolas" w:hAnsi="Consolas"/>
          <w:color w:val="381A89"/>
          <w:sz w:val="20"/>
        </w:rPr>
        <w:t>failed</w:t>
      </w:r>
      <w:r>
        <w:t xml:space="preserve"> with the exception type recorded; a stage whose inputs are absent yields </w:t>
      </w:r>
      <w:r>
        <w:rPr>
          <w:rFonts w:ascii="Consolas" w:hAnsi="Consolas"/>
          <w:color w:val="381A89"/>
          <w:sz w:val="20"/>
        </w:rPr>
        <w:t>skipped</w:t>
      </w:r>
      <w:r>
        <w:t xml:space="preserve"> with a stated reason. A failed </w:t>
      </w:r>
      <w:r>
        <w:rPr>
          <w:b/>
        </w:rPr>
        <w:t>critical</w:t>
      </w:r>
      <w:r>
        <w:t xml:space="preserve"> stage fails the run; a failed non-critical stage marks it </w:t>
      </w:r>
      <w:r>
        <w:rPr>
          <w:rFonts w:ascii="Consolas" w:hAnsi="Consolas"/>
          <w:color w:val="381A89"/>
          <w:sz w:val="20"/>
        </w:rPr>
        <w:t>partial</w:t>
      </w:r>
      <w:r>
        <w:t>. In either case the document's processing message states that the original is preserved and can be reprocessed, and the risk assessment records which stages were degraded — so that the absence of findings in those areas is disclosed as omission rather than read as evidence of integrity.</w:t>
      </w:r>
    </w:p>
    <w:p>
      <w:pPr>
        <w:spacing w:after="160"/>
        <w:jc w:val="both"/>
      </w:pPr>
      <w:r>
        <w:t>The second invariant is that human judgement survives reprocessing. Before findings are regenerated, confirm and dismiss decisions are snapshotted and then re-applied to the equivalent new finding, matched on kind, code, page and a region bucketed at 24 pixels. Re-running analysis therefore cannot silently discard a reviewer's work.</w:t>
      </w:r>
    </w:p>
    <w:p>
      <w:pPr>
        <w:pStyle w:val="Heading2"/>
      </w:pPr>
      <w:r>
        <w:t>5.5  The risk model</w:t>
      </w:r>
    </w:p>
    <w:p>
      <w:pPr>
        <w:spacing w:after="160"/>
        <w:jc w:val="both"/>
      </w:pPr>
      <w:r>
        <w:t>The scoring model was required to be transparent, bounded, configurable and monotonic — and to be published with its own output, so that a reviewer can recompute it by hand. It has three steps.</w:t>
      </w:r>
    </w:p>
    <w:tbl>
      <w:tblPr>
        <w:tblW w:type="auto" w:w="0"/>
        <w:jc w:val="center"/>
        <w:tblLook w:firstColumn="1" w:firstRow="1" w:lastColumn="0" w:lastRow="0" w:noHBand="0" w:noVBand="1" w:val="04A0"/>
      </w:tblPr>
      <w:tblGrid>
        <w:gridCol w:w="9185"/>
      </w:tblGrid>
      <w:tr>
        <w:tc>
          <w:tcPr>
            <w:tcW w:type="dxa" w:w="9184"/>
            <w:tcBorders>
              <w:left w:val="single" w:sz="18" w:space="0" w:color="2E1C6B"/>
            </w:tcBorders>
            <w:shd w:val="clear" w:color="auto" w:fill="F2F0F8"/>
          </w:tcPr>
          <w:p>
            <w:pPr>
              <w:spacing w:after="0" w:line="259" w:lineRule="auto"/>
            </w:pPr>
            <w:r/>
            <w:r>
              <w:rPr>
                <w:rFonts w:ascii="Consolas" w:hAnsi="Consolas"/>
                <w:color w:val="1A1726"/>
                <w:sz w:val="19"/>
              </w:rPr>
              <w:t xml:space="preserve">        contribution(signal) = weight(code) × confidence × severity_multiplier</w:t>
            </w:r>
          </w:p>
          <w:p>
            <w:pPr>
              <w:spacing w:after="0" w:line="259" w:lineRule="auto"/>
            </w:pPr>
            <w:r>
              <w:rPr>
                <w:rFonts w:ascii="Consolas" w:hAnsi="Consolas"/>
                <w:color w:val="1A1726"/>
                <w:sz w:val="19"/>
              </w:rPr>
              <w:t xml:space="preserve"> </w:t>
            </w:r>
          </w:p>
          <w:p>
            <w:pPr>
              <w:spacing w:after="0" w:line="259" w:lineRule="auto"/>
            </w:pPr>
            <w:r>
              <w:rPr>
                <w:rFonts w:ascii="Consolas" w:hAnsi="Consolas"/>
                <w:color w:val="1A1726"/>
                <w:sz w:val="19"/>
              </w:rPr>
              <w:t xml:space="preserve">        category_score       = cap × (1 − exp(−1.3 × Σ contributions / cap))</w:t>
            </w:r>
          </w:p>
          <w:p>
            <w:pPr>
              <w:spacing w:after="0" w:line="259" w:lineRule="auto"/>
            </w:pPr>
            <w:r>
              <w:rPr>
                <w:rFonts w:ascii="Consolas" w:hAnsi="Consolas"/>
                <w:color w:val="1A1726"/>
                <w:sz w:val="19"/>
              </w:rPr>
              <w:t xml:space="preserve"> </w:t>
            </w:r>
          </w:p>
          <w:p>
            <w:pPr>
              <w:spacing w:after="0" w:line="259" w:lineRule="auto"/>
            </w:pPr>
            <w:r>
              <w:rPr>
                <w:rFonts w:ascii="Consolas" w:hAnsi="Consolas"/>
                <w:color w:val="1A1726"/>
                <w:sz w:val="19"/>
              </w:rPr>
              <w:t xml:space="preserve">        score                = round(100 × Σ category_scores / 72) − mitigation</w:t>
            </w:r>
          </w:p>
          <w:p>
            <w:pPr>
              <w:spacing w:after="0" w:line="259" w:lineRule="auto"/>
            </w:pPr>
            <w:r>
              <w:rPr>
                <w:rFonts w:ascii="Consolas" w:hAnsi="Consolas"/>
                <w:color w:val="1A1726"/>
                <w:sz w:val="19"/>
              </w:rPr>
              <w:t xml:space="preserve">        </w:t>
            </w:r>
          </w:p>
        </w:tc>
      </w:tr>
    </w:tbl>
    <w:p>
      <w:pPr>
        <w:spacing w:after="80"/>
      </w:pPr>
    </w:p>
    <w:p>
      <w:pPr>
        <w:spacing w:after="160"/>
        <w:jc w:val="both"/>
      </w:pPr>
      <w:r>
        <w:rPr>
          <w:b/>
        </w:rPr>
        <w:t>Severity multipliers</w:t>
      </w:r>
      <w:r>
        <w:t xml:space="preserve"> are info 0.35, low 0.60, medium 1.00, high 1.35, critical 1.60. </w:t>
      </w:r>
      <w:r>
        <w:rPr>
          <w:b/>
        </w:rPr>
        <w:t>Weights</w:t>
      </w:r>
      <w:r>
        <w:t xml:space="preserve"> are per finding code, stored in the </w:t>
      </w:r>
      <w:r>
        <w:rPr>
          <w:rFonts w:ascii="Consolas" w:hAnsi="Consolas"/>
          <w:color w:val="381A89"/>
          <w:sz w:val="20"/>
        </w:rPr>
        <w:t>detection_rules</w:t>
      </w:r>
      <w:r>
        <w:t xml:space="preserve"> table and editable by an administrator, with a per-category default when a code has no row. A </w:t>
      </w:r>
      <w:r>
        <w:rPr>
          <w:b/>
        </w:rPr>
        <w:t>dismissed</w:t>
      </w:r>
      <w:r>
        <w:t xml:space="preserve"> finding is excluded and the exclusion is reported with the score; a </w:t>
      </w:r>
      <w:r>
        <w:rPr>
          <w:b/>
        </w:rPr>
        <w:t>confirmed</w:t>
      </w:r>
      <w:r>
        <w:t xml:space="preserve"> finding has its confidence promoted to at least 0.95, because a human has established it.</w:t>
      </w:r>
    </w:p>
    <w:p>
      <w:pPr>
        <w:spacing w:after="160"/>
        <w:jc w:val="both"/>
      </w:pPr>
      <w:r>
        <w:t xml:space="preserve">The exponential form gives each category a </w:t>
      </w:r>
      <w:r>
        <w:rPr>
          <w:b/>
        </w:rPr>
        <w:t>saturating</w:t>
      </w:r>
      <w:r>
        <w:t xml:space="preserve"> contribution towards a ceiling. This is the mechanism that stops a crowd of weak signals in one family from outweighing a single decisive signal in another, while still allowing a genuinely decisive family to reach High Concern on its own.</w:t>
      </w:r>
    </w:p>
    <w:p>
      <w:pPr>
        <w:keepNext/>
        <w:spacing w:after="60" w:before="120"/>
      </w:pPr>
      <w:r>
        <w:rPr>
          <w:rFonts w:ascii="Arial" w:hAnsi="Arial"/>
          <w:b/>
          <w:color w:val="381A89"/>
          <w:sz w:val="18"/>
        </w:rPr>
        <w:t xml:space="preserve">Table 9. </w:t>
      </w:r>
      <w:r>
        <w:rPr>
          <w:rFonts w:ascii="Arial" w:hAnsi="Arial"/>
          <w:color w:val="55516B"/>
          <w:sz w:val="18"/>
        </w:rPr>
        <w:t>Per-category ceilings, and the reasoning for their ordering.</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2608"/>
            <w:shd w:val="clear" w:color="auto" w:fill="2E1C6B"/>
          </w:tcPr>
          <w:p>
            <w:pPr>
              <w:spacing w:after="20" w:before="20" w:line="252" w:lineRule="auto"/>
            </w:pPr>
            <w:r>
              <w:rPr>
                <w:rFonts w:ascii="Arial" w:hAnsi="Arial"/>
                <w:b/>
                <w:color w:val="FFFFFF"/>
                <w:sz w:val="18"/>
              </w:rPr>
              <w:t>Category</w:t>
            </w:r>
          </w:p>
        </w:tc>
        <w:tc>
          <w:tcPr>
            <w:tcW w:type="dxa" w:w="1020"/>
            <w:shd w:val="clear" w:color="auto" w:fill="2E1C6B"/>
          </w:tcPr>
          <w:p>
            <w:pPr>
              <w:spacing w:after="20" w:before="20" w:line="252" w:lineRule="auto"/>
            </w:pPr>
            <w:r>
              <w:rPr>
                <w:rFonts w:ascii="Arial" w:hAnsi="Arial"/>
                <w:b/>
                <w:color w:val="FFFFFF"/>
                <w:sz w:val="18"/>
              </w:rPr>
              <w:t>Ceiling</w:t>
            </w:r>
          </w:p>
        </w:tc>
        <w:tc>
          <w:tcPr>
            <w:tcW w:type="dxa" w:w="5329"/>
            <w:shd w:val="clear" w:color="auto" w:fill="2E1C6B"/>
          </w:tcPr>
          <w:p>
            <w:pPr>
              <w:spacing w:after="20" w:before="20" w:line="252" w:lineRule="auto"/>
            </w:pPr>
            <w:r>
              <w:rPr>
                <w:rFonts w:ascii="Arial" w:hAnsi="Arial"/>
                <w:b/>
                <w:color w:val="FFFFFF"/>
                <w:sz w:val="18"/>
              </w:rPr>
              <w:t>Reasoning</w:t>
            </w:r>
          </w:p>
        </w:tc>
      </w:tr>
      <w:tr>
        <w:trPr>
          <w:cantSplit/>
        </w:trPr>
        <w:tc>
          <w:tcPr>
            <w:tcW w:type="dxa" w:w="2608"/>
          </w:tcPr>
          <w:p>
            <w:pPr>
              <w:spacing w:after="20" w:before="20" w:line="264" w:lineRule="auto"/>
            </w:pPr>
            <w:r>
              <w:rPr>
                <w:rFonts w:ascii="Arial" w:hAnsi="Arial"/>
                <w:sz w:val="19"/>
              </w:rPr>
              <w:t>External verification</w:t>
            </w:r>
          </w:p>
        </w:tc>
        <w:tc>
          <w:tcPr>
            <w:tcW w:type="dxa" w:w="1020"/>
          </w:tcPr>
          <w:p>
            <w:pPr>
              <w:spacing w:after="20" w:before="20" w:line="264" w:lineRule="auto"/>
            </w:pPr>
            <w:r>
              <w:rPr>
                <w:rFonts w:ascii="Arial" w:hAnsi="Arial"/>
                <w:sz w:val="19"/>
              </w:rPr>
              <w:t>70</w:t>
            </w:r>
          </w:p>
        </w:tc>
        <w:tc>
          <w:tcPr>
            <w:tcW w:type="dxa" w:w="5329"/>
          </w:tcPr>
          <w:p>
            <w:pPr>
              <w:spacing w:after="20" w:before="20" w:line="264" w:lineRule="auto"/>
            </w:pPr>
            <w:r>
              <w:rPr>
                <w:rFonts w:ascii="Arial" w:hAnsi="Arial"/>
                <w:sz w:val="19"/>
              </w:rPr>
              <w:t>When the issuer's own record contradicts the document, that is the strongest evidence this platform can obtain.</w:t>
            </w:r>
          </w:p>
        </w:tc>
      </w:tr>
      <w:tr>
        <w:trPr>
          <w:cantSplit/>
        </w:trPr>
        <w:tc>
          <w:tcPr>
            <w:tcW w:type="dxa" w:w="2608"/>
            <w:shd w:val="clear" w:color="auto" w:fill="F4F2FA"/>
          </w:tcPr>
          <w:p>
            <w:pPr>
              <w:spacing w:after="20" w:before="20" w:line="264" w:lineRule="auto"/>
            </w:pPr>
            <w:r>
              <w:rPr>
                <w:rFonts w:ascii="Arial" w:hAnsi="Arial"/>
                <w:sz w:val="19"/>
              </w:rPr>
              <w:t>Tampering indicators</w:t>
            </w:r>
          </w:p>
        </w:tc>
        <w:tc>
          <w:tcPr>
            <w:tcW w:type="dxa" w:w="1020"/>
            <w:shd w:val="clear" w:color="auto" w:fill="F4F2FA"/>
          </w:tcPr>
          <w:p>
            <w:pPr>
              <w:spacing w:after="20" w:before="20" w:line="264" w:lineRule="auto"/>
            </w:pPr>
            <w:r>
              <w:rPr>
                <w:rFonts w:ascii="Arial" w:hAnsi="Arial"/>
                <w:sz w:val="19"/>
              </w:rPr>
              <w:t>58</w:t>
            </w:r>
          </w:p>
        </w:tc>
        <w:tc>
          <w:tcPr>
            <w:tcW w:type="dxa" w:w="5329"/>
            <w:shd w:val="clear" w:color="auto" w:fill="F4F2FA"/>
          </w:tcPr>
          <w:p>
            <w:pPr>
              <w:spacing w:after="20" w:before="20" w:line="264" w:lineRule="auto"/>
            </w:pPr>
            <w:r>
              <w:rPr>
                <w:rFonts w:ascii="Arial" w:hAnsi="Arial"/>
                <w:sz w:val="19"/>
              </w:rPr>
              <w:t>Requires independent detectors to agree on one region, so it is more than any single metric.</w:t>
            </w:r>
          </w:p>
        </w:tc>
      </w:tr>
      <w:tr>
        <w:trPr>
          <w:cantSplit/>
        </w:trPr>
        <w:tc>
          <w:tcPr>
            <w:tcW w:type="dxa" w:w="2608"/>
          </w:tcPr>
          <w:p>
            <w:pPr>
              <w:spacing w:after="20" w:before="20" w:line="264" w:lineRule="auto"/>
            </w:pPr>
            <w:r>
              <w:rPr>
                <w:rFonts w:ascii="Arial" w:hAnsi="Arial"/>
                <w:sz w:val="19"/>
              </w:rPr>
              <w:t>Internal consistency</w:t>
            </w:r>
          </w:p>
        </w:tc>
        <w:tc>
          <w:tcPr>
            <w:tcW w:type="dxa" w:w="1020"/>
          </w:tcPr>
          <w:p>
            <w:pPr>
              <w:spacing w:after="20" w:before="20" w:line="264" w:lineRule="auto"/>
            </w:pPr>
            <w:r>
              <w:rPr>
                <w:rFonts w:ascii="Arial" w:hAnsi="Arial"/>
                <w:sz w:val="19"/>
              </w:rPr>
              <w:t>50</w:t>
            </w:r>
          </w:p>
        </w:tc>
        <w:tc>
          <w:tcPr>
            <w:tcW w:type="dxa" w:w="5329"/>
          </w:tcPr>
          <w:p>
            <w:pPr>
              <w:spacing w:after="20" w:before="20" w:line="264" w:lineRule="auto"/>
            </w:pPr>
            <w:r>
              <w:rPr>
                <w:rFonts w:ascii="Arial" w:hAnsi="Arial"/>
                <w:sz w:val="19"/>
              </w:rPr>
              <w:t>Deterministic, but conditional on extraction being correct.</w:t>
            </w:r>
          </w:p>
        </w:tc>
      </w:tr>
      <w:tr>
        <w:trPr>
          <w:cantSplit/>
        </w:trPr>
        <w:tc>
          <w:tcPr>
            <w:tcW w:type="dxa" w:w="2608"/>
            <w:shd w:val="clear" w:color="auto" w:fill="F4F2FA"/>
          </w:tcPr>
          <w:p>
            <w:pPr>
              <w:spacing w:after="20" w:before="20" w:line="264" w:lineRule="auto"/>
            </w:pPr>
            <w:r>
              <w:rPr>
                <w:rFonts w:ascii="Arial" w:hAnsi="Arial"/>
                <w:sz w:val="19"/>
              </w:rPr>
              <w:t>Cross-document agreement</w:t>
            </w:r>
          </w:p>
        </w:tc>
        <w:tc>
          <w:tcPr>
            <w:tcW w:type="dxa" w:w="1020"/>
            <w:shd w:val="clear" w:color="auto" w:fill="F4F2FA"/>
          </w:tcPr>
          <w:p>
            <w:pPr>
              <w:spacing w:after="20" w:before="20" w:line="264" w:lineRule="auto"/>
            </w:pPr>
            <w:r>
              <w:rPr>
                <w:rFonts w:ascii="Arial" w:hAnsi="Arial"/>
                <w:sz w:val="19"/>
              </w:rPr>
              <w:t>50</w:t>
            </w:r>
          </w:p>
        </w:tc>
        <w:tc>
          <w:tcPr>
            <w:tcW w:type="dxa" w:w="5329"/>
            <w:shd w:val="clear" w:color="auto" w:fill="F4F2FA"/>
          </w:tcPr>
          <w:p>
            <w:pPr>
              <w:spacing w:after="20" w:before="20" w:line="264" w:lineRule="auto"/>
            </w:pPr>
            <w:r>
              <w:rPr>
                <w:rFonts w:ascii="Arial" w:hAnsi="Arial"/>
                <w:sz w:val="19"/>
              </w:rPr>
              <w:t>Deterministic, but conditional on both documents being extracted correctly.</w:t>
            </w:r>
          </w:p>
        </w:tc>
      </w:tr>
      <w:tr>
        <w:trPr>
          <w:cantSplit/>
        </w:trPr>
        <w:tc>
          <w:tcPr>
            <w:tcW w:type="dxa" w:w="2608"/>
          </w:tcPr>
          <w:p>
            <w:pPr>
              <w:spacing w:after="20" w:before="20" w:line="264" w:lineRule="auto"/>
            </w:pPr>
            <w:r>
              <w:rPr>
                <w:rFonts w:ascii="Arial" w:hAnsi="Arial"/>
                <w:sz w:val="19"/>
              </w:rPr>
              <w:t>File security</w:t>
            </w:r>
          </w:p>
        </w:tc>
        <w:tc>
          <w:tcPr>
            <w:tcW w:type="dxa" w:w="1020"/>
          </w:tcPr>
          <w:p>
            <w:pPr>
              <w:spacing w:after="20" w:before="20" w:line="264" w:lineRule="auto"/>
            </w:pPr>
            <w:r>
              <w:rPr>
                <w:rFonts w:ascii="Arial" w:hAnsi="Arial"/>
                <w:sz w:val="19"/>
              </w:rPr>
              <w:t>40</w:t>
            </w:r>
          </w:p>
        </w:tc>
        <w:tc>
          <w:tcPr>
            <w:tcW w:type="dxa" w:w="5329"/>
          </w:tcPr>
          <w:p>
            <w:pPr>
              <w:spacing w:after="20" w:before="20" w:line="264" w:lineRule="auto"/>
            </w:pPr>
            <w:r>
              <w:rPr>
                <w:rFonts w:ascii="Arial" w:hAnsi="Arial"/>
                <w:sz w:val="19"/>
              </w:rPr>
              <w:t>Decisive about the file, weaker about the claim.</w:t>
            </w:r>
          </w:p>
        </w:tc>
      </w:tr>
      <w:tr>
        <w:trPr>
          <w:cantSplit/>
        </w:trPr>
        <w:tc>
          <w:tcPr>
            <w:tcW w:type="dxa" w:w="2608"/>
            <w:shd w:val="clear" w:color="auto" w:fill="F4F2FA"/>
          </w:tcPr>
          <w:p>
            <w:pPr>
              <w:spacing w:after="20" w:before="20" w:line="264" w:lineRule="auto"/>
            </w:pPr>
            <w:r>
              <w:rPr>
                <w:rFonts w:ascii="Arial" w:hAnsi="Arial"/>
                <w:sz w:val="19"/>
              </w:rPr>
              <w:t>Document forensics</w:t>
            </w:r>
          </w:p>
        </w:tc>
        <w:tc>
          <w:tcPr>
            <w:tcW w:type="dxa" w:w="1020"/>
            <w:shd w:val="clear" w:color="auto" w:fill="F4F2FA"/>
          </w:tcPr>
          <w:p>
            <w:pPr>
              <w:spacing w:after="20" w:before="20" w:line="264" w:lineRule="auto"/>
            </w:pPr>
            <w:r>
              <w:rPr>
                <w:rFonts w:ascii="Arial" w:hAnsi="Arial"/>
                <w:sz w:val="19"/>
              </w:rPr>
              <w:t>34</w:t>
            </w:r>
          </w:p>
        </w:tc>
        <w:tc>
          <w:tcPr>
            <w:tcW w:type="dxa" w:w="5329"/>
            <w:shd w:val="clear" w:color="auto" w:fill="F4F2FA"/>
          </w:tcPr>
          <w:p>
            <w:pPr>
              <w:spacing w:after="20" w:before="20" w:line="264" w:lineRule="auto"/>
            </w:pPr>
            <w:r>
              <w:rPr>
                <w:rFonts w:ascii="Arial" w:hAnsi="Arial"/>
                <w:sz w:val="19"/>
              </w:rPr>
              <w:t>Individually noisy measurements with frequent benign explanations.</w:t>
            </w:r>
          </w:p>
        </w:tc>
      </w:tr>
      <w:tr>
        <w:trPr>
          <w:cantSplit/>
        </w:trPr>
        <w:tc>
          <w:tcPr>
            <w:tcW w:type="dxa" w:w="2608"/>
          </w:tcPr>
          <w:p>
            <w:pPr>
              <w:spacing w:after="20" w:before="20" w:line="264" w:lineRule="auto"/>
            </w:pPr>
            <w:r>
              <w:rPr>
                <w:rFonts w:ascii="Arial" w:hAnsi="Arial"/>
                <w:sz w:val="19"/>
              </w:rPr>
              <w:t>Metadata provenance</w:t>
            </w:r>
          </w:p>
        </w:tc>
        <w:tc>
          <w:tcPr>
            <w:tcW w:type="dxa" w:w="1020"/>
          </w:tcPr>
          <w:p>
            <w:pPr>
              <w:spacing w:after="20" w:before="20" w:line="264" w:lineRule="auto"/>
            </w:pPr>
            <w:r>
              <w:rPr>
                <w:rFonts w:ascii="Arial" w:hAnsi="Arial"/>
                <w:sz w:val="19"/>
              </w:rPr>
              <w:t>24</w:t>
            </w:r>
          </w:p>
        </w:tc>
        <w:tc>
          <w:tcPr>
            <w:tcW w:type="dxa" w:w="5329"/>
          </w:tcPr>
          <w:p>
            <w:pPr>
              <w:spacing w:after="20" w:before="20" w:line="264" w:lineRule="auto"/>
            </w:pPr>
            <w:r>
              <w:rPr>
                <w:rFonts w:ascii="Arial" w:hAnsi="Arial"/>
                <w:sz w:val="19"/>
              </w:rPr>
              <w:t>Trivially strippable and routinely rewritten by legitimate tooling.</w:t>
            </w:r>
          </w:p>
        </w:tc>
      </w:tr>
      <w:tr>
        <w:trPr>
          <w:cantSplit/>
        </w:trPr>
        <w:tc>
          <w:tcPr>
            <w:tcW w:type="dxa" w:w="2608"/>
            <w:shd w:val="clear" w:color="auto" w:fill="F4F2FA"/>
          </w:tcPr>
          <w:p>
            <w:pPr>
              <w:spacing w:after="20" w:before="20" w:line="264" w:lineRule="auto"/>
            </w:pPr>
            <w:r>
              <w:rPr>
                <w:rFonts w:ascii="Arial" w:hAnsi="Arial"/>
                <w:sz w:val="19"/>
              </w:rPr>
              <w:t>Synthetic-media indicators</w:t>
            </w:r>
          </w:p>
        </w:tc>
        <w:tc>
          <w:tcPr>
            <w:tcW w:type="dxa" w:w="1020"/>
            <w:shd w:val="clear" w:color="auto" w:fill="F4F2FA"/>
          </w:tcPr>
          <w:p>
            <w:pPr>
              <w:spacing w:after="20" w:before="20" w:line="264" w:lineRule="auto"/>
            </w:pPr>
            <w:r>
              <w:rPr>
                <w:rFonts w:ascii="Arial" w:hAnsi="Arial"/>
                <w:sz w:val="19"/>
              </w:rPr>
              <w:t>20</w:t>
            </w:r>
          </w:p>
        </w:tc>
        <w:tc>
          <w:tcPr>
            <w:tcW w:type="dxa" w:w="5329"/>
            <w:shd w:val="clear" w:color="auto" w:fill="F4F2FA"/>
          </w:tcPr>
          <w:p>
            <w:pPr>
              <w:spacing w:after="20" w:before="20" w:line="264" w:lineRule="auto"/>
            </w:pPr>
            <w:r>
              <w:rPr>
                <w:rFonts w:ascii="Arial" w:hAnsi="Arial"/>
                <w:sz w:val="19"/>
              </w:rPr>
              <w:t>Lowest, because the bundled provider is a heuristic rather than a calibrated model.</w:t>
            </w:r>
          </w:p>
        </w:tc>
      </w:tr>
    </w:tbl>
    <w:p>
      <w:pPr>
        <w:spacing w:after="40"/>
      </w:pPr>
    </w:p>
    <w:p>
      <w:pPr>
        <w:spacing w:after="160"/>
        <w:jc w:val="both"/>
      </w:pPr>
      <w:r>
        <w:rPr>
          <w:b/>
        </w:rPr>
        <w:t>Bands</w:t>
      </w:r>
      <w:r>
        <w:t xml:space="preserve"> are Low Concern below 40, Review Recommended 40–74 and High Concern 75 or above; the thresholds are system settings, validated as an increasing pair within 0–100. </w:t>
      </w:r>
      <w:r>
        <w:rPr>
          <w:b/>
        </w:rPr>
        <w:t>Mitigation</w:t>
      </w:r>
      <w:r>
        <w:t>: each corroborating external match credits 2 points, capped at 6 in total, and is suppressed entirely — with the suppression reported — whenever any high or critical signal is present. Corroboration may therefore lower a score that has no severe signal in it, and can never mask one that has.</w:t>
      </w:r>
    </w:p>
    <w:p>
      <w:pPr>
        <w:spacing w:after="160"/>
        <w:jc w:val="both"/>
      </w:pPr>
      <w:r>
        <w:t>Every assessment returns each signal with its weight, confidence and contribution, the per-category raw and saturated totals, the six principal contributors, a natural-language explanation, the coverage map, the weights version, the count of excluded dismissed signals, the formula as a string, and the fixed interpretation note. The score is reproducible from its own output.</w:t>
      </w:r>
    </w:p>
    <w:p>
      <w:pPr>
        <w:pStyle w:val="Heading2"/>
      </w:pPr>
      <w:r>
        <w:t>5.6  Security architecture</w:t>
      </w:r>
    </w:p>
    <w:p>
      <w:pPr>
        <w:spacing w:after="160"/>
        <w:jc w:val="both"/>
      </w:pPr>
      <w:r>
        <w:t>The platform holds medical treatment details, diagnoses, identity-document numbers, dates of birth, addresses and bank details. The controls were designed around that content rather than added afterwards.</w:t>
      </w:r>
    </w:p>
    <w:p>
      <w:pPr>
        <w:keepNext/>
        <w:spacing w:after="60" w:before="120"/>
      </w:pPr>
      <w:r>
        <w:rPr>
          <w:rFonts w:ascii="Arial" w:hAnsi="Arial"/>
          <w:b/>
          <w:color w:val="381A89"/>
          <w:sz w:val="18"/>
        </w:rPr>
        <w:t xml:space="preserve">Table 10. </w:t>
      </w:r>
      <w:r>
        <w:rPr>
          <w:rFonts w:ascii="Arial" w:hAnsi="Arial"/>
          <w:color w:val="55516B"/>
          <w:sz w:val="18"/>
        </w:rPr>
        <w:t>Threats and the controls that address them.</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2608"/>
            <w:shd w:val="clear" w:color="auto" w:fill="2E1C6B"/>
          </w:tcPr>
          <w:p>
            <w:pPr>
              <w:spacing w:after="20" w:before="20" w:line="252" w:lineRule="auto"/>
            </w:pPr>
            <w:r>
              <w:rPr>
                <w:rFonts w:ascii="Arial" w:hAnsi="Arial"/>
                <w:b/>
                <w:color w:val="FFFFFF"/>
                <w:sz w:val="17"/>
              </w:rPr>
              <w:t>Threat</w:t>
            </w:r>
          </w:p>
        </w:tc>
        <w:tc>
          <w:tcPr>
            <w:tcW w:type="dxa" w:w="6350"/>
            <w:shd w:val="clear" w:color="auto" w:fill="2E1C6B"/>
          </w:tcPr>
          <w:p>
            <w:pPr>
              <w:spacing w:after="20" w:before="20" w:line="252" w:lineRule="auto"/>
            </w:pPr>
            <w:r>
              <w:rPr>
                <w:rFonts w:ascii="Arial" w:hAnsi="Arial"/>
                <w:b/>
                <w:color w:val="FFFFFF"/>
                <w:sz w:val="17"/>
              </w:rPr>
              <w:t>Control</w:t>
            </w:r>
          </w:p>
        </w:tc>
      </w:tr>
      <w:tr>
        <w:trPr>
          <w:cantSplit/>
        </w:trPr>
        <w:tc>
          <w:tcPr>
            <w:tcW w:type="dxa" w:w="2608"/>
          </w:tcPr>
          <w:p>
            <w:pPr>
              <w:spacing w:after="20" w:before="20" w:line="264" w:lineRule="auto"/>
            </w:pPr>
            <w:r>
              <w:rPr>
                <w:rFonts w:ascii="Arial" w:hAnsi="Arial"/>
                <w:sz w:val="18"/>
              </w:rPr>
              <w:t>Stolen session token</w:t>
            </w:r>
          </w:p>
        </w:tc>
        <w:tc>
          <w:tcPr>
            <w:tcW w:type="dxa" w:w="6350"/>
          </w:tcPr>
          <w:p>
            <w:pPr>
              <w:spacing w:after="20" w:before="20" w:line="264" w:lineRule="auto"/>
            </w:pPr>
            <w:r>
              <w:rPr>
                <w:rFonts w:ascii="Arial" w:hAnsi="Arial"/>
                <w:sz w:val="18"/>
              </w:rPr>
              <w:t>The access token is held in an httpOnly, SameSite=Lax cookie and attached to API calls server-side, so it never enters the browser bundle; 45-minute access lifetime with a single transparent refresh; every action attributed in the audit trail.</w:t>
            </w:r>
          </w:p>
        </w:tc>
      </w:tr>
      <w:tr>
        <w:trPr>
          <w:cantSplit/>
        </w:trPr>
        <w:tc>
          <w:tcPr>
            <w:tcW w:type="dxa" w:w="2608"/>
            <w:shd w:val="clear" w:color="auto" w:fill="F4F2FA"/>
          </w:tcPr>
          <w:p>
            <w:pPr>
              <w:spacing w:after="20" w:before="20" w:line="264" w:lineRule="auto"/>
            </w:pPr>
            <w:r>
              <w:rPr>
                <w:rFonts w:ascii="Arial" w:hAnsi="Arial"/>
                <w:sz w:val="18"/>
              </w:rPr>
              <w:t>Credential stuffing</w:t>
            </w:r>
          </w:p>
        </w:tc>
        <w:tc>
          <w:tcPr>
            <w:tcW w:type="dxa" w:w="6350"/>
            <w:shd w:val="clear" w:color="auto" w:fill="F4F2FA"/>
          </w:tcPr>
          <w:p>
            <w:pPr>
              <w:spacing w:after="20" w:before="20" w:line="264" w:lineRule="auto"/>
            </w:pPr>
            <w:r>
              <w:rPr>
                <w:rFonts w:ascii="Arial" w:hAnsi="Arial"/>
                <w:sz w:val="18"/>
              </w:rPr>
              <w:t xml:space="preserve">Rate limits per IP </w:t>
            </w:r>
            <w:r>
              <w:rPr>
                <w:rFonts w:ascii="Arial" w:hAnsi="Arial"/>
                <w:i/>
                <w:sz w:val="18"/>
              </w:rPr>
              <w:t>and</w:t>
            </w:r>
            <w:r>
              <w:rPr>
                <w:rFonts w:ascii="Arial" w:hAnsi="Arial"/>
                <w:sz w:val="18"/>
              </w:rPr>
              <w:t xml:space="preserve"> per account on sign-in; lockout for 15 minutes after six failures; identical error wording for an unknown account and a wrong password.</w:t>
            </w:r>
          </w:p>
        </w:tc>
      </w:tr>
      <w:tr>
        <w:trPr>
          <w:cantSplit/>
        </w:trPr>
        <w:tc>
          <w:tcPr>
            <w:tcW w:type="dxa" w:w="2608"/>
          </w:tcPr>
          <w:p>
            <w:pPr>
              <w:spacing w:after="20" w:before="20" w:line="264" w:lineRule="auto"/>
            </w:pPr>
            <w:r>
              <w:rPr>
                <w:rFonts w:ascii="Arial" w:hAnsi="Arial"/>
                <w:sz w:val="18"/>
              </w:rPr>
              <w:t>Privilege escalation through the interface</w:t>
            </w:r>
          </w:p>
        </w:tc>
        <w:tc>
          <w:tcPr>
            <w:tcW w:type="dxa" w:w="6350"/>
          </w:tcPr>
          <w:p>
            <w:pPr>
              <w:spacing w:after="20" w:before="20" w:line="264" w:lineRule="auto"/>
            </w:pPr>
            <w:r>
              <w:rPr>
                <w:rFonts w:ascii="Arial" w:hAnsi="Arial"/>
                <w:sz w:val="18"/>
              </w:rPr>
              <w:t>Authorisation is enforced server-side on every mutating endpoint; the console's permission matrix only hides controls.</w:t>
            </w:r>
          </w:p>
        </w:tc>
      </w:tr>
      <w:tr>
        <w:trPr>
          <w:cantSplit/>
        </w:trPr>
        <w:tc>
          <w:tcPr>
            <w:tcW w:type="dxa" w:w="2608"/>
            <w:shd w:val="clear" w:color="auto" w:fill="F4F2FA"/>
          </w:tcPr>
          <w:p>
            <w:pPr>
              <w:spacing w:after="20" w:before="20" w:line="264" w:lineRule="auto"/>
            </w:pPr>
            <w:r>
              <w:rPr>
                <w:rFonts w:ascii="Arial" w:hAnsi="Arial"/>
                <w:sz w:val="18"/>
              </w:rPr>
              <w:t>Malicious upload</w:t>
            </w:r>
          </w:p>
        </w:tc>
        <w:tc>
          <w:tcPr>
            <w:tcW w:type="dxa" w:w="6350"/>
            <w:shd w:val="clear" w:color="auto" w:fill="F4F2FA"/>
          </w:tcPr>
          <w:p>
            <w:pPr>
              <w:spacing w:after="20" w:before="20" w:line="264" w:lineRule="auto"/>
            </w:pPr>
            <w:r>
              <w:rPr>
                <w:rFonts w:ascii="Arial" w:hAnsi="Arial"/>
                <w:sz w:val="18"/>
              </w:rPr>
              <w:t xml:space="preserve">Content type sniffed from magic bytes before the declared type or the filename is trusted; structural parse; static active-content and polyglot checks; optional ClamAV; a suspicious or infected verdict quarantines </w:t>
            </w:r>
            <w:r>
              <w:rPr>
                <w:rFonts w:ascii="Arial" w:hAnsi="Arial"/>
                <w:i/>
                <w:sz w:val="18"/>
              </w:rPr>
              <w:t>without</w:t>
            </w:r>
            <w:r>
              <w:rPr>
                <w:rFonts w:ascii="Arial" w:hAnsi="Arial"/>
                <w:sz w:val="18"/>
              </w:rPr>
              <w:t xml:space="preserve"> deleting.</w:t>
            </w:r>
          </w:p>
        </w:tc>
      </w:tr>
      <w:tr>
        <w:trPr>
          <w:cantSplit/>
        </w:trPr>
        <w:tc>
          <w:tcPr>
            <w:tcW w:type="dxa" w:w="2608"/>
          </w:tcPr>
          <w:p>
            <w:pPr>
              <w:spacing w:after="20" w:before="20" w:line="264" w:lineRule="auto"/>
            </w:pPr>
            <w:r>
              <w:rPr>
                <w:rFonts w:ascii="Arial" w:hAnsi="Arial"/>
                <w:sz w:val="18"/>
              </w:rPr>
              <w:t>Storage escape</w:t>
            </w:r>
          </w:p>
        </w:tc>
        <w:tc>
          <w:tcPr>
            <w:tcW w:type="dxa" w:w="6350"/>
          </w:tcPr>
          <w:p>
            <w:pPr>
              <w:spacing w:after="20" w:before="20" w:line="264" w:lineRule="auto"/>
            </w:pPr>
            <w:r>
              <w:rPr>
                <w:rFonts w:ascii="Arial" w:hAnsi="Arial"/>
                <w:sz w:val="18"/>
              </w:rPr>
              <w:t>Storage keys validated against a strict pattern and resolved paths checked against the scope root.</w:t>
            </w:r>
          </w:p>
        </w:tc>
      </w:tr>
      <w:tr>
        <w:trPr>
          <w:cantSplit/>
        </w:trPr>
        <w:tc>
          <w:tcPr>
            <w:tcW w:type="dxa" w:w="2608"/>
            <w:shd w:val="clear" w:color="auto" w:fill="F4F2FA"/>
          </w:tcPr>
          <w:p>
            <w:pPr>
              <w:spacing w:after="20" w:before="20" w:line="264" w:lineRule="auto"/>
            </w:pPr>
            <w:r>
              <w:rPr>
                <w:rFonts w:ascii="Arial" w:hAnsi="Arial"/>
                <w:sz w:val="18"/>
              </w:rPr>
              <w:t>Document exfiltration by URL guessing</w:t>
            </w:r>
          </w:p>
        </w:tc>
        <w:tc>
          <w:tcPr>
            <w:tcW w:type="dxa" w:w="6350"/>
            <w:shd w:val="clear" w:color="auto" w:fill="F4F2FA"/>
          </w:tcPr>
          <w:p>
            <w:pPr>
              <w:spacing w:after="20" w:before="20" w:line="264" w:lineRule="auto"/>
            </w:pPr>
            <w:r>
              <w:rPr>
                <w:rFonts w:ascii="Arial" w:hAnsi="Arial"/>
                <w:sz w:val="18"/>
              </w:rPr>
              <w:t xml:space="preserve">Nothing is public; bytes are served to an authenticated session or through an HMAC-signed link bound to the resource, the purpose and the user, default lifetime five minutes, with </w:t>
            </w:r>
            <w:r>
              <w:rPr>
                <w:rFonts w:ascii="Consolas" w:hAnsi="Consolas"/>
                <w:color w:val="381A89"/>
                <w:sz w:val="16"/>
              </w:rPr>
              <w:t>Cache-Control: private, no-store</w:t>
            </w:r>
            <w:r>
              <w:rPr>
                <w:rFonts w:ascii="Arial" w:hAnsi="Arial"/>
                <w:sz w:val="18"/>
              </w:rPr>
              <w:t>.</w:t>
            </w:r>
          </w:p>
        </w:tc>
      </w:tr>
      <w:tr>
        <w:trPr>
          <w:cantSplit/>
        </w:trPr>
        <w:tc>
          <w:tcPr>
            <w:tcW w:type="dxa" w:w="2608"/>
          </w:tcPr>
          <w:p>
            <w:pPr>
              <w:spacing w:after="20" w:before="20" w:line="264" w:lineRule="auto"/>
            </w:pPr>
            <w:r>
              <w:rPr>
                <w:rFonts w:ascii="Arial" w:hAnsi="Arial"/>
                <w:sz w:val="18"/>
              </w:rPr>
              <w:t>Tampering with the evidence record</w:t>
            </w:r>
          </w:p>
        </w:tc>
        <w:tc>
          <w:tcPr>
            <w:tcW w:type="dxa" w:w="6350"/>
          </w:tcPr>
          <w:p>
            <w:pPr>
              <w:spacing w:after="20" w:before="20" w:line="264" w:lineRule="auto"/>
            </w:pPr>
            <w:r>
              <w:rPr>
                <w:rFonts w:ascii="Arial" w:hAnsi="Arial"/>
                <w:sz w:val="18"/>
              </w:rPr>
              <w:t>Originals are write-once; findings carry detector and model version; the audit trail is append-only and hash-chained.</w:t>
            </w:r>
          </w:p>
        </w:tc>
      </w:tr>
      <w:tr>
        <w:trPr>
          <w:cantSplit/>
        </w:trPr>
        <w:tc>
          <w:tcPr>
            <w:tcW w:type="dxa" w:w="2608"/>
            <w:shd w:val="clear" w:color="auto" w:fill="F4F2FA"/>
          </w:tcPr>
          <w:p>
            <w:pPr>
              <w:spacing w:after="20" w:before="20" w:line="264" w:lineRule="auto"/>
            </w:pPr>
            <w:r>
              <w:rPr>
                <w:rFonts w:ascii="Arial" w:hAnsi="Arial"/>
                <w:sz w:val="18"/>
              </w:rPr>
              <w:t>Insider rewriting history</w:t>
            </w:r>
          </w:p>
        </w:tc>
        <w:tc>
          <w:tcPr>
            <w:tcW w:type="dxa" w:w="6350"/>
            <w:shd w:val="clear" w:color="auto" w:fill="F4F2FA"/>
          </w:tcPr>
          <w:p>
            <w:pPr>
              <w:spacing w:after="20" w:before="20" w:line="264" w:lineRule="auto"/>
            </w:pPr>
            <w:r>
              <w:rPr>
                <w:rFonts w:ascii="Consolas" w:hAnsi="Consolas"/>
                <w:color w:val="381A89"/>
                <w:sz w:val="16"/>
              </w:rPr>
              <w:t>entry_hash = sha256(prev_hash ‖ canonical(entry))</w:t>
            </w:r>
            <w:r>
              <w:rPr>
                <w:rFonts w:ascii="Arial" w:hAnsi="Arial"/>
                <w:sz w:val="18"/>
              </w:rPr>
              <w:t xml:space="preserve"> over a gap-free database-assigned ordinal; a verification endpoint recomputes the chain and names the first divergence.</w:t>
            </w:r>
          </w:p>
        </w:tc>
      </w:tr>
      <w:tr>
        <w:trPr>
          <w:cantSplit/>
        </w:trPr>
        <w:tc>
          <w:tcPr>
            <w:tcW w:type="dxa" w:w="2608"/>
          </w:tcPr>
          <w:p>
            <w:pPr>
              <w:spacing w:after="20" w:before="20" w:line="264" w:lineRule="auto"/>
            </w:pPr>
            <w:r>
              <w:rPr>
                <w:rFonts w:ascii="Arial" w:hAnsi="Arial"/>
                <w:sz w:val="18"/>
              </w:rPr>
              <w:t>Over-trusting the machine</w:t>
            </w:r>
          </w:p>
        </w:tc>
        <w:tc>
          <w:tcPr>
            <w:tcW w:type="dxa" w:w="6350"/>
          </w:tcPr>
          <w:p>
            <w:pPr>
              <w:spacing w:after="20" w:before="20" w:line="264" w:lineRule="auto"/>
            </w:pPr>
            <w:r>
              <w:rPr>
                <w:rFonts w:ascii="Arial" w:hAnsi="Arial"/>
                <w:sz w:val="18"/>
              </w:rPr>
              <w:t>Reasons are mandatory on adjudication; claim approval is refused while a high or critical finding is unadjudicated; every probabilistic signal ships with its uncertainty and its benign explanations.</w:t>
            </w:r>
          </w:p>
        </w:tc>
      </w:tr>
      <w:tr>
        <w:trPr>
          <w:cantSplit/>
        </w:trPr>
        <w:tc>
          <w:tcPr>
            <w:tcW w:type="dxa" w:w="2608"/>
            <w:shd w:val="clear" w:color="auto" w:fill="F4F2FA"/>
          </w:tcPr>
          <w:p>
            <w:pPr>
              <w:spacing w:after="20" w:before="20" w:line="264" w:lineRule="auto"/>
            </w:pPr>
            <w:r>
              <w:rPr>
                <w:rFonts w:ascii="Arial" w:hAnsi="Arial"/>
                <w:sz w:val="18"/>
              </w:rPr>
              <w:t>Leakage through logs</w:t>
            </w:r>
          </w:p>
        </w:tc>
        <w:tc>
          <w:tcPr>
            <w:tcW w:type="dxa" w:w="6350"/>
            <w:shd w:val="clear" w:color="auto" w:fill="F4F2FA"/>
          </w:tcPr>
          <w:p>
            <w:pPr>
              <w:spacing w:after="20" w:before="20" w:line="264" w:lineRule="auto"/>
            </w:pPr>
            <w:r>
              <w:rPr>
                <w:rFonts w:ascii="Arial" w:hAnsi="Arial"/>
                <w:sz w:val="18"/>
              </w:rPr>
              <w:t>Document bodies are never logged; the log formatter redacts emails, long digit strings and card-like numbers; audit rows drop secrets and special-category fields before insertion.</w:t>
            </w:r>
          </w:p>
        </w:tc>
      </w:tr>
      <w:tr>
        <w:trPr>
          <w:cantSplit/>
        </w:trPr>
        <w:tc>
          <w:tcPr>
            <w:tcW w:type="dxa" w:w="2608"/>
          </w:tcPr>
          <w:p>
            <w:pPr>
              <w:spacing w:after="20" w:before="20" w:line="264" w:lineRule="auto"/>
            </w:pPr>
            <w:r>
              <w:rPr>
                <w:rFonts w:ascii="Arial" w:hAnsi="Arial"/>
                <w:sz w:val="18"/>
              </w:rPr>
              <w:t>Demo output mistaken for a real confirmation</w:t>
            </w:r>
          </w:p>
        </w:tc>
        <w:tc>
          <w:tcPr>
            <w:tcW w:type="dxa" w:w="6350"/>
          </w:tcPr>
          <w:p>
            <w:pPr>
              <w:spacing w:after="20" w:before="20" w:line="264" w:lineRule="auto"/>
            </w:pPr>
            <w:r>
              <w:rPr>
                <w:rFonts w:ascii="Consolas" w:hAnsi="Consolas"/>
                <w:color w:val="381A89"/>
                <w:sz w:val="16"/>
              </w:rPr>
              <w:t>is_demo_data</w:t>
            </w:r>
            <w:r>
              <w:rPr>
                <w:rFonts w:ascii="Arial" w:hAnsi="Arial"/>
                <w:sz w:val="18"/>
              </w:rPr>
              <w:t xml:space="preserve"> on the result, a provider mode on the request, a badge in the console, an </w:t>
            </w:r>
            <w:r>
              <w:rPr>
                <w:rFonts w:ascii="Consolas" w:hAnsi="Consolas"/>
                <w:color w:val="381A89"/>
                <w:sz w:val="16"/>
              </w:rPr>
              <w:t>[EXTERNAL – DEMO]</w:t>
            </w:r>
            <w:r>
              <w:rPr>
                <w:rFonts w:ascii="Arial" w:hAnsi="Arial"/>
                <w:sz w:val="18"/>
              </w:rPr>
              <w:t xml:space="preserve"> marker in the report and a disclaimer beside every answer.</w:t>
            </w:r>
          </w:p>
        </w:tc>
      </w:tr>
    </w:tbl>
    <w:p>
      <w:pPr>
        <w:spacing w:after="40"/>
      </w:pPr>
    </w:p>
    <w:p>
      <w:pPr>
        <w:pStyle w:val="Heading3"/>
      </w:pPr>
      <w:r>
        <w:t>Separation of duties</w:t>
      </w:r>
    </w:p>
    <w:p>
      <w:pPr>
        <w:spacing w:after="160"/>
        <w:jc w:val="both"/>
      </w:pPr>
      <w:r>
        <w:t>Four roles share 33 permissions, arranged so that no single role can both establish a finding and dispose of the claim it belongs to.</w:t>
      </w:r>
    </w:p>
    <w:p>
      <w:pPr>
        <w:keepNext/>
        <w:spacing w:after="60" w:before="120"/>
      </w:pPr>
      <w:r>
        <w:rPr>
          <w:rFonts w:ascii="Arial" w:hAnsi="Arial"/>
          <w:b/>
          <w:color w:val="381A89"/>
          <w:sz w:val="18"/>
        </w:rPr>
        <w:t xml:space="preserve">Table 11. </w:t>
      </w:r>
      <w:r>
        <w:rPr>
          <w:rFonts w:ascii="Arial" w:hAnsi="Arial"/>
          <w:color w:val="55516B"/>
          <w:sz w:val="18"/>
        </w:rPr>
        <w:t>Role capabilities. The full permission matrix is enforced server-side on every endpoint.</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1701"/>
            <w:shd w:val="clear" w:color="auto" w:fill="2E1C6B"/>
          </w:tcPr>
          <w:p>
            <w:pPr>
              <w:spacing w:after="20" w:before="20" w:line="252" w:lineRule="auto"/>
            </w:pPr>
            <w:r>
              <w:rPr>
                <w:rFonts w:ascii="Arial" w:hAnsi="Arial"/>
                <w:b/>
                <w:color w:val="FFFFFF"/>
                <w:sz w:val="18"/>
              </w:rPr>
              <w:t>Role</w:t>
            </w:r>
          </w:p>
        </w:tc>
        <w:tc>
          <w:tcPr>
            <w:tcW w:type="dxa" w:w="680"/>
            <w:shd w:val="clear" w:color="auto" w:fill="2E1C6B"/>
          </w:tcPr>
          <w:p>
            <w:pPr>
              <w:spacing w:after="20" w:before="20" w:line="252" w:lineRule="auto"/>
            </w:pPr>
            <w:r>
              <w:rPr>
                <w:rFonts w:ascii="Arial" w:hAnsi="Arial"/>
                <w:b/>
                <w:color w:val="FFFFFF"/>
                <w:sz w:val="18"/>
              </w:rPr>
              <w:t>Perms</w:t>
            </w:r>
          </w:p>
        </w:tc>
        <w:tc>
          <w:tcPr>
            <w:tcW w:type="dxa" w:w="3515"/>
            <w:shd w:val="clear" w:color="auto" w:fill="2E1C6B"/>
          </w:tcPr>
          <w:p>
            <w:pPr>
              <w:spacing w:after="20" w:before="20" w:line="252" w:lineRule="auto"/>
            </w:pPr>
            <w:r>
              <w:rPr>
                <w:rFonts w:ascii="Arial" w:hAnsi="Arial"/>
                <w:b/>
                <w:color w:val="FFFFFF"/>
                <w:sz w:val="18"/>
              </w:rPr>
              <w:t>May</w:t>
            </w:r>
          </w:p>
        </w:tc>
        <w:tc>
          <w:tcPr>
            <w:tcW w:type="dxa" w:w="3061"/>
            <w:shd w:val="clear" w:color="auto" w:fill="2E1C6B"/>
          </w:tcPr>
          <w:p>
            <w:pPr>
              <w:spacing w:after="20" w:before="20" w:line="252" w:lineRule="auto"/>
            </w:pPr>
            <w:r>
              <w:rPr>
                <w:rFonts w:ascii="Arial" w:hAnsi="Arial"/>
                <w:b/>
                <w:color w:val="FFFFFF"/>
                <w:sz w:val="18"/>
              </w:rPr>
              <w:t>May not</w:t>
            </w:r>
          </w:p>
        </w:tc>
      </w:tr>
      <w:tr>
        <w:trPr>
          <w:cantSplit/>
        </w:trPr>
        <w:tc>
          <w:tcPr>
            <w:tcW w:type="dxa" w:w="1701"/>
          </w:tcPr>
          <w:p>
            <w:pPr>
              <w:spacing w:after="20" w:before="20" w:line="264" w:lineRule="auto"/>
            </w:pPr>
            <w:r>
              <w:rPr>
                <w:rFonts w:ascii="Arial" w:hAnsi="Arial"/>
                <w:sz w:val="19"/>
              </w:rPr>
              <w:t>Administrator</w:t>
            </w:r>
          </w:p>
        </w:tc>
        <w:tc>
          <w:tcPr>
            <w:tcW w:type="dxa" w:w="680"/>
          </w:tcPr>
          <w:p>
            <w:pPr>
              <w:spacing w:after="20" w:before="20" w:line="264" w:lineRule="auto"/>
            </w:pPr>
            <w:r>
              <w:rPr>
                <w:rFonts w:ascii="Arial" w:hAnsi="Arial"/>
                <w:sz w:val="19"/>
              </w:rPr>
              <w:t>33</w:t>
            </w:r>
          </w:p>
        </w:tc>
        <w:tc>
          <w:tcPr>
            <w:tcW w:type="dxa" w:w="3515"/>
          </w:tcPr>
          <w:p>
            <w:pPr>
              <w:spacing w:after="20" w:before="20" w:line="264" w:lineRule="auto"/>
            </w:pPr>
            <w:r>
              <w:rPr>
                <w:rFonts w:ascii="Arial" w:hAnsi="Arial"/>
                <w:sz w:val="19"/>
              </w:rPr>
              <w:t>Everything, including users, rules, providers, thresholds and the audit trail.</w:t>
            </w:r>
          </w:p>
        </w:tc>
        <w:tc>
          <w:tcPr>
            <w:tcW w:type="dxa" w:w="3061"/>
          </w:tcPr>
          <w:p>
            <w:pPr>
              <w:spacing w:after="20" w:before="20" w:line="264" w:lineRule="auto"/>
            </w:pPr>
            <w:r>
              <w:rPr>
                <w:rFonts w:ascii="Arial" w:hAnsi="Arial"/>
                <w:sz w:val="19"/>
              </w:rPr>
              <w:t>—</w:t>
            </w:r>
          </w:p>
        </w:tc>
      </w:tr>
      <w:tr>
        <w:trPr>
          <w:cantSplit/>
        </w:trPr>
        <w:tc>
          <w:tcPr>
            <w:tcW w:type="dxa" w:w="1701"/>
            <w:shd w:val="clear" w:color="auto" w:fill="F4F2FA"/>
          </w:tcPr>
          <w:p>
            <w:pPr>
              <w:spacing w:after="20" w:before="20" w:line="264" w:lineRule="auto"/>
            </w:pPr>
            <w:r>
              <w:rPr>
                <w:rFonts w:ascii="Arial" w:hAnsi="Arial"/>
                <w:sz w:val="19"/>
              </w:rPr>
              <w:t>Fraud Investigator</w:t>
            </w:r>
          </w:p>
        </w:tc>
        <w:tc>
          <w:tcPr>
            <w:tcW w:type="dxa" w:w="680"/>
            <w:shd w:val="clear" w:color="auto" w:fill="F4F2FA"/>
          </w:tcPr>
          <w:p>
            <w:pPr>
              <w:spacing w:after="20" w:before="20" w:line="264" w:lineRule="auto"/>
            </w:pPr>
            <w:r>
              <w:rPr>
                <w:rFonts w:ascii="Arial" w:hAnsi="Arial"/>
                <w:sz w:val="19"/>
              </w:rPr>
              <w:t>24</w:t>
            </w:r>
          </w:p>
        </w:tc>
        <w:tc>
          <w:tcPr>
            <w:tcW w:type="dxa" w:w="3515"/>
            <w:shd w:val="clear" w:color="auto" w:fill="F4F2FA"/>
          </w:tcPr>
          <w:p>
            <w:pPr>
              <w:spacing w:after="20" w:before="20" w:line="264" w:lineRule="auto"/>
            </w:pPr>
            <w:r>
              <w:rPr>
                <w:rFonts w:ascii="Arial" w:hAnsi="Arial"/>
                <w:sz w:val="19"/>
              </w:rPr>
              <w:t>Adjudicate findings, escalate, run verification, verify or reject a document, issue reports, read the audit trail.</w:t>
            </w:r>
          </w:p>
        </w:tc>
        <w:tc>
          <w:tcPr>
            <w:tcW w:type="dxa" w:w="3061"/>
            <w:shd w:val="clear" w:color="auto" w:fill="F4F2FA"/>
          </w:tcPr>
          <w:p>
            <w:pPr>
              <w:spacing w:after="20" w:before="20" w:line="264" w:lineRule="auto"/>
            </w:pPr>
            <w:r>
              <w:rPr>
                <w:rFonts w:ascii="Arial" w:hAnsi="Arial"/>
                <w:sz w:val="19"/>
              </w:rPr>
              <w:t>Create or decide a claim; administer rules, providers or users.</w:t>
            </w:r>
          </w:p>
        </w:tc>
      </w:tr>
      <w:tr>
        <w:trPr>
          <w:cantSplit/>
        </w:trPr>
        <w:tc>
          <w:tcPr>
            <w:tcW w:type="dxa" w:w="1701"/>
          </w:tcPr>
          <w:p>
            <w:pPr>
              <w:spacing w:after="20" w:before="20" w:line="264" w:lineRule="auto"/>
            </w:pPr>
            <w:r>
              <w:rPr>
                <w:rFonts w:ascii="Arial" w:hAnsi="Arial"/>
                <w:sz w:val="19"/>
              </w:rPr>
              <w:t>Claims Officer</w:t>
            </w:r>
          </w:p>
        </w:tc>
        <w:tc>
          <w:tcPr>
            <w:tcW w:type="dxa" w:w="680"/>
          </w:tcPr>
          <w:p>
            <w:pPr>
              <w:spacing w:after="20" w:before="20" w:line="264" w:lineRule="auto"/>
            </w:pPr>
            <w:r>
              <w:rPr>
                <w:rFonts w:ascii="Arial" w:hAnsi="Arial"/>
                <w:sz w:val="19"/>
              </w:rPr>
              <w:t>20</w:t>
            </w:r>
          </w:p>
        </w:tc>
        <w:tc>
          <w:tcPr>
            <w:tcW w:type="dxa" w:w="3515"/>
          </w:tcPr>
          <w:p>
            <w:pPr>
              <w:spacing w:after="20" w:before="20" w:line="264" w:lineRule="auto"/>
            </w:pPr>
            <w:r>
              <w:rPr>
                <w:rFonts w:ascii="Arial" w:hAnsi="Arial"/>
                <w:sz w:val="19"/>
              </w:rPr>
              <w:t>Create claims, upload documents, request information, record the claim decision, issue reports.</w:t>
            </w:r>
          </w:p>
        </w:tc>
        <w:tc>
          <w:tcPr>
            <w:tcW w:type="dxa" w:w="3061"/>
          </w:tcPr>
          <w:p>
            <w:pPr>
              <w:spacing w:after="20" w:before="20" w:line="264" w:lineRule="auto"/>
            </w:pPr>
            <w:r>
              <w:rPr>
                <w:rFonts w:ascii="Arial" w:hAnsi="Arial"/>
                <w:sz w:val="19"/>
              </w:rPr>
              <w:t>Confirm or dismiss a finding; read the audit trail.</w:t>
            </w:r>
          </w:p>
        </w:tc>
      </w:tr>
      <w:tr>
        <w:trPr>
          <w:cantSplit/>
        </w:trPr>
        <w:tc>
          <w:tcPr>
            <w:tcW w:type="dxa" w:w="1701"/>
            <w:shd w:val="clear" w:color="auto" w:fill="F4F2FA"/>
          </w:tcPr>
          <w:p>
            <w:pPr>
              <w:spacing w:after="20" w:before="20" w:line="264" w:lineRule="auto"/>
            </w:pPr>
            <w:r>
              <w:rPr>
                <w:rFonts w:ascii="Arial" w:hAnsi="Arial"/>
                <w:sz w:val="19"/>
              </w:rPr>
              <w:t>Reviewer</w:t>
            </w:r>
          </w:p>
        </w:tc>
        <w:tc>
          <w:tcPr>
            <w:tcW w:type="dxa" w:w="680"/>
            <w:shd w:val="clear" w:color="auto" w:fill="F4F2FA"/>
          </w:tcPr>
          <w:p>
            <w:pPr>
              <w:spacing w:after="20" w:before="20" w:line="264" w:lineRule="auto"/>
            </w:pPr>
            <w:r>
              <w:rPr>
                <w:rFonts w:ascii="Arial" w:hAnsi="Arial"/>
                <w:sz w:val="19"/>
              </w:rPr>
              <w:t>15</w:t>
            </w:r>
          </w:p>
        </w:tc>
        <w:tc>
          <w:tcPr>
            <w:tcW w:type="dxa" w:w="3515"/>
            <w:shd w:val="clear" w:color="auto" w:fill="F4F2FA"/>
          </w:tcPr>
          <w:p>
            <w:pPr>
              <w:spacing w:after="20" w:before="20" w:line="264" w:lineRule="auto"/>
            </w:pPr>
            <w:r>
              <w:rPr>
                <w:rFonts w:ascii="Arial" w:hAnsi="Arial"/>
                <w:sz w:val="19"/>
              </w:rPr>
              <w:t>Second-line confirm or dismiss of machine findings; add investigation notes.</w:t>
            </w:r>
          </w:p>
        </w:tc>
        <w:tc>
          <w:tcPr>
            <w:tcW w:type="dxa" w:w="3061"/>
            <w:shd w:val="clear" w:color="auto" w:fill="F4F2FA"/>
          </w:tcPr>
          <w:p>
            <w:pPr>
              <w:spacing w:after="20" w:before="20" w:line="264" w:lineRule="auto"/>
            </w:pPr>
            <w:r>
              <w:rPr>
                <w:rFonts w:ascii="Arial" w:hAnsi="Arial"/>
                <w:sz w:val="19"/>
              </w:rPr>
              <w:t>Escalate, decide a claim, or run verification.</w:t>
            </w:r>
          </w:p>
        </w:tc>
      </w:tr>
    </w:tbl>
    <w:p>
      <w:pPr>
        <w:spacing w:after="40"/>
      </w:pPr>
    </w:p>
    <w:p>
      <w:pPr>
        <w:pStyle w:val="Heading2"/>
      </w:pPr>
      <w:r>
        <w:t>5.7  Console architecture</w:t>
      </w:r>
    </w:p>
    <w:p>
      <w:pPr>
        <w:spacing w:after="160"/>
        <w:jc w:val="both"/>
      </w:pPr>
      <w:r>
        <w:t>The console is a Next.js App Router application in which server components are the default. Each authenticated screen is an asynchronous server component that reads the httpOnly cookie, calls the API directly from the server, and streams HTML. Client components exist only where interaction demands them.</w:t>
      </w:r>
    </w:p>
    <w:p>
      <w:pPr>
        <w:spacing w:after="160"/>
        <w:jc w:val="both"/>
      </w:pPr>
      <w:r>
        <w:t>Browser-side mutations go through a same-origin proxy route rather than to the API directly. That route exists for three reasons, and the trade-off is deliberate: no token ever reaches the browser; an image tag for a page render or a forensic overlay works without credentials in a query string; and an expired access token is refreshed transparently, once, using the refresh cookie, so an investigator is never signed out mid-review. Hop-by-hop headers and inbound cookies are stripped in both directions, and a rotated token is written back as a fresh httpOnly cookie.</w:t>
      </w:r>
    </w:p>
    <w:p>
      <w:pPr>
        <w:spacing w:after="160"/>
        <w:jc w:val="both"/>
      </w:pPr>
      <w:r>
        <w:t xml:space="preserve">List state — filters, pagination, sort — lives in the URL and is read server-side, so a filtered queue is linkable and survives a reload. There is no client-side data-fetching or state-management library: a mutation posts, then refreshes the server component tree. Caching is disabled throughout, and document renders carry </w:t>
      </w:r>
      <w:r>
        <w:rPr>
          <w:rFonts w:ascii="Consolas" w:hAnsi="Consolas"/>
          <w:color w:val="381A89"/>
          <w:sz w:val="20"/>
        </w:rPr>
        <w:t>Cache-Control: private, no-store</w:t>
      </w:r>
      <w:r>
        <w:t>.</w:t>
      </w:r>
    </w:p>
    <w:p>
      <w:pPr>
        <w:pStyle w:val="Heading3"/>
      </w:pPr>
      <w:r>
        <w:t>The investigation workstation</w:t>
      </w:r>
    </w:p>
    <w:p>
      <w:pPr>
        <w:spacing w:after="160"/>
        <w:jc w:val="both"/>
      </w:pPr>
      <w:r>
        <w:t>The workstation is the centre of the product and the design is split-screen by necessity: the document stays on the left while every panel on the right can draw a box around the pixels it is discussing. Two pieces of state are shared across the split — the active finding and the active extracted field — and they are mutually exclusive by construction. Clicking a finding, a risk contributor or an extracted field navigates the viewer to the right page and highlights the right region; clicking a region on the page selects the corresponding finding card. Regions are positioned as percentages of the page's own pixel space inside a nested transform, so highlights stay correct under zoom, rotation and fit-to-width scaling.</w:t>
      </w:r>
    </w:p>
    <w:p>
      <w:pPr>
        <w:pStyle w:val="Heading2"/>
      </w:pPr>
      <w:r>
        <w:t>5.8  Deployment architecture</w:t>
      </w:r>
    </w:p>
    <w:p>
      <w:pPr>
        <w:spacing w:after="160"/>
        <w:jc w:val="both"/>
      </w:pPr>
      <w:r>
        <w:t xml:space="preserve">The production deployment is a five-service Docker Compose project on a single host. Its security-relevant shape is that </w:t>
      </w:r>
      <w:r>
        <w:rPr>
          <w:b/>
        </w:rPr>
        <w:t>only the console is routed</w:t>
      </w:r>
      <w:r>
        <w:t>: the reverse proxy holds labels for the web service alone, and no service publishes a host port.</w:t>
      </w:r>
    </w:p>
    <w:p>
      <w:pPr>
        <w:keepNext/>
        <w:spacing w:after="60" w:before="120"/>
      </w:pPr>
      <w:r>
        <w:rPr>
          <w:rFonts w:ascii="Arial" w:hAnsi="Arial"/>
          <w:b/>
          <w:color w:val="381A89"/>
          <w:sz w:val="18"/>
        </w:rPr>
        <w:t xml:space="preserve">Table 12. </w:t>
      </w:r>
      <w:r>
        <w:rPr>
          <w:rFonts w:ascii="Arial" w:hAnsi="Arial"/>
          <w:color w:val="55516B"/>
          <w:sz w:val="18"/>
        </w:rPr>
        <w:t>Production services, networks and exposure.</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1361"/>
            <w:shd w:val="clear" w:color="auto" w:fill="2E1C6B"/>
          </w:tcPr>
          <w:p>
            <w:pPr>
              <w:spacing w:after="20" w:before="20" w:line="252" w:lineRule="auto"/>
            </w:pPr>
            <w:r>
              <w:rPr>
                <w:rFonts w:ascii="Arial" w:hAnsi="Arial"/>
                <w:b/>
                <w:color w:val="FFFFFF"/>
                <w:sz w:val="18"/>
              </w:rPr>
              <w:t>Service</w:t>
            </w:r>
          </w:p>
        </w:tc>
        <w:tc>
          <w:tcPr>
            <w:tcW w:type="dxa" w:w="2494"/>
            <w:shd w:val="clear" w:color="auto" w:fill="2E1C6B"/>
          </w:tcPr>
          <w:p>
            <w:pPr>
              <w:spacing w:after="20" w:before="20" w:line="252" w:lineRule="auto"/>
            </w:pPr>
            <w:r>
              <w:rPr>
                <w:rFonts w:ascii="Arial" w:hAnsi="Arial"/>
                <w:b/>
                <w:color w:val="FFFFFF"/>
                <w:sz w:val="18"/>
              </w:rPr>
              <w:t>Image</w:t>
            </w:r>
          </w:p>
        </w:tc>
        <w:tc>
          <w:tcPr>
            <w:tcW w:type="dxa" w:w="1587"/>
            <w:shd w:val="clear" w:color="auto" w:fill="2E1C6B"/>
          </w:tcPr>
          <w:p>
            <w:pPr>
              <w:spacing w:after="20" w:before="20" w:line="252" w:lineRule="auto"/>
            </w:pPr>
            <w:r>
              <w:rPr>
                <w:rFonts w:ascii="Arial" w:hAnsi="Arial"/>
                <w:b/>
                <w:color w:val="FFFFFF"/>
                <w:sz w:val="18"/>
              </w:rPr>
              <w:t>Networks</w:t>
            </w:r>
          </w:p>
        </w:tc>
        <w:tc>
          <w:tcPr>
            <w:tcW w:type="dxa" w:w="3515"/>
            <w:shd w:val="clear" w:color="auto" w:fill="2E1C6B"/>
          </w:tcPr>
          <w:p>
            <w:pPr>
              <w:spacing w:after="20" w:before="20" w:line="252" w:lineRule="auto"/>
            </w:pPr>
            <w:r>
              <w:rPr>
                <w:rFonts w:ascii="Arial" w:hAnsi="Arial"/>
                <w:b/>
                <w:color w:val="FFFFFF"/>
                <w:sz w:val="18"/>
              </w:rPr>
              <w:t>Exposure</w:t>
            </w:r>
          </w:p>
        </w:tc>
      </w:tr>
      <w:tr>
        <w:trPr>
          <w:cantSplit/>
        </w:trPr>
        <w:tc>
          <w:tcPr>
            <w:tcW w:type="dxa" w:w="1361"/>
          </w:tcPr>
          <w:p>
            <w:pPr>
              <w:spacing w:after="20" w:before="20" w:line="264" w:lineRule="auto"/>
            </w:pPr>
            <w:r>
              <w:rPr>
                <w:rFonts w:ascii="Consolas" w:hAnsi="Consolas"/>
                <w:color w:val="381A89"/>
                <w:sz w:val="17"/>
              </w:rPr>
              <w:t>postgres</w:t>
            </w:r>
          </w:p>
        </w:tc>
        <w:tc>
          <w:tcPr>
            <w:tcW w:type="dxa" w:w="2494"/>
          </w:tcPr>
          <w:p>
            <w:pPr>
              <w:spacing w:after="20" w:before="20" w:line="264" w:lineRule="auto"/>
            </w:pPr>
            <w:r>
              <w:rPr>
                <w:rFonts w:ascii="Arial" w:hAnsi="Arial"/>
                <w:sz w:val="19"/>
              </w:rPr>
              <w:t>postgres:16-alpine, data checksums enabled</w:t>
            </w:r>
          </w:p>
        </w:tc>
        <w:tc>
          <w:tcPr>
            <w:tcW w:type="dxa" w:w="1587"/>
          </w:tcPr>
          <w:p>
            <w:pPr>
              <w:spacing w:after="20" w:before="20" w:line="264" w:lineRule="auto"/>
            </w:pPr>
            <w:r>
              <w:rPr>
                <w:rFonts w:ascii="Arial" w:hAnsi="Arial"/>
                <w:sz w:val="19"/>
              </w:rPr>
              <w:t>internal only</w:t>
            </w:r>
          </w:p>
        </w:tc>
        <w:tc>
          <w:tcPr>
            <w:tcW w:type="dxa" w:w="3515"/>
          </w:tcPr>
          <w:p>
            <w:pPr>
              <w:spacing w:after="20" w:before="20" w:line="264" w:lineRule="auto"/>
            </w:pPr>
            <w:r>
              <w:rPr>
                <w:rFonts w:ascii="Arial" w:hAnsi="Arial"/>
                <w:sz w:val="19"/>
              </w:rPr>
              <w:t xml:space="preserve">None. Health-gated by </w:t>
            </w:r>
            <w:r>
              <w:rPr>
                <w:rFonts w:ascii="Consolas" w:hAnsi="Consolas"/>
                <w:color w:val="381A89"/>
                <w:sz w:val="17"/>
              </w:rPr>
              <w:t>pg_isready</w:t>
            </w:r>
            <w:r>
              <w:rPr>
                <w:rFonts w:ascii="Arial" w:hAnsi="Arial"/>
                <w:sz w:val="19"/>
              </w:rPr>
              <w:t>.</w:t>
            </w:r>
          </w:p>
        </w:tc>
      </w:tr>
      <w:tr>
        <w:trPr>
          <w:cantSplit/>
        </w:trPr>
        <w:tc>
          <w:tcPr>
            <w:tcW w:type="dxa" w:w="1361"/>
            <w:shd w:val="clear" w:color="auto" w:fill="F4F2FA"/>
          </w:tcPr>
          <w:p>
            <w:pPr>
              <w:spacing w:after="20" w:before="20" w:line="264" w:lineRule="auto"/>
            </w:pPr>
            <w:r>
              <w:rPr>
                <w:rFonts w:ascii="Consolas" w:hAnsi="Consolas"/>
                <w:color w:val="381A89"/>
                <w:sz w:val="17"/>
              </w:rPr>
              <w:t>redis</w:t>
            </w:r>
          </w:p>
        </w:tc>
        <w:tc>
          <w:tcPr>
            <w:tcW w:type="dxa" w:w="2494"/>
            <w:shd w:val="clear" w:color="auto" w:fill="F4F2FA"/>
          </w:tcPr>
          <w:p>
            <w:pPr>
              <w:spacing w:after="20" w:before="20" w:line="264" w:lineRule="auto"/>
            </w:pPr>
            <w:r>
              <w:rPr>
                <w:rFonts w:ascii="Arial" w:hAnsi="Arial"/>
                <w:sz w:val="19"/>
              </w:rPr>
              <w:t>redis:7-alpine, append-only persistence</w:t>
            </w:r>
          </w:p>
        </w:tc>
        <w:tc>
          <w:tcPr>
            <w:tcW w:type="dxa" w:w="1587"/>
            <w:shd w:val="clear" w:color="auto" w:fill="F4F2FA"/>
          </w:tcPr>
          <w:p>
            <w:pPr>
              <w:spacing w:after="20" w:before="20" w:line="264" w:lineRule="auto"/>
            </w:pPr>
            <w:r>
              <w:rPr>
                <w:rFonts w:ascii="Arial" w:hAnsi="Arial"/>
                <w:sz w:val="19"/>
              </w:rPr>
              <w:t>internal only</w:t>
            </w:r>
          </w:p>
        </w:tc>
        <w:tc>
          <w:tcPr>
            <w:tcW w:type="dxa" w:w="3515"/>
            <w:shd w:val="clear" w:color="auto" w:fill="F4F2FA"/>
          </w:tcPr>
          <w:p>
            <w:pPr>
              <w:spacing w:after="20" w:before="20" w:line="264" w:lineRule="auto"/>
            </w:pPr>
            <w:r>
              <w:rPr>
                <w:rFonts w:ascii="Arial" w:hAnsi="Arial"/>
                <w:sz w:val="19"/>
              </w:rPr>
              <w:t xml:space="preserve">None. Health-gated by </w:t>
            </w:r>
            <w:r>
              <w:rPr>
                <w:rFonts w:ascii="Consolas" w:hAnsi="Consolas"/>
                <w:color w:val="381A89"/>
                <w:sz w:val="17"/>
              </w:rPr>
              <w:t>redis-cli ping</w:t>
            </w:r>
            <w:r>
              <w:rPr>
                <w:rFonts w:ascii="Arial" w:hAnsi="Arial"/>
                <w:sz w:val="19"/>
              </w:rPr>
              <w:t>.</w:t>
            </w:r>
          </w:p>
        </w:tc>
      </w:tr>
      <w:tr>
        <w:trPr>
          <w:cantSplit/>
        </w:trPr>
        <w:tc>
          <w:tcPr>
            <w:tcW w:type="dxa" w:w="1361"/>
          </w:tcPr>
          <w:p>
            <w:pPr>
              <w:spacing w:after="20" w:before="20" w:line="264" w:lineRule="auto"/>
            </w:pPr>
            <w:r>
              <w:rPr>
                <w:rFonts w:ascii="Consolas" w:hAnsi="Consolas"/>
                <w:color w:val="381A89"/>
                <w:sz w:val="17"/>
              </w:rPr>
              <w:t>api</w:t>
            </w:r>
          </w:p>
        </w:tc>
        <w:tc>
          <w:tcPr>
            <w:tcW w:type="dxa" w:w="2494"/>
          </w:tcPr>
          <w:p>
            <w:pPr>
              <w:spacing w:after="20" w:before="20" w:line="264" w:lineRule="auto"/>
            </w:pPr>
            <w:r>
              <w:rPr>
                <w:rFonts w:ascii="Arial" w:hAnsi="Arial"/>
                <w:sz w:val="19"/>
              </w:rPr>
              <w:t xml:space="preserve">built from </w:t>
            </w:r>
            <w:r>
              <w:rPr>
                <w:rFonts w:ascii="Consolas" w:hAnsi="Consolas"/>
                <w:color w:val="381A89"/>
                <w:sz w:val="17"/>
              </w:rPr>
              <w:t>backend/</w:t>
            </w:r>
          </w:p>
        </w:tc>
        <w:tc>
          <w:tcPr>
            <w:tcW w:type="dxa" w:w="1587"/>
          </w:tcPr>
          <w:p>
            <w:pPr>
              <w:spacing w:after="20" w:before="20" w:line="264" w:lineRule="auto"/>
            </w:pPr>
            <w:r>
              <w:rPr>
                <w:rFonts w:ascii="Arial" w:hAnsi="Arial"/>
                <w:sz w:val="19"/>
              </w:rPr>
              <w:t>internal only</w:t>
            </w:r>
          </w:p>
        </w:tc>
        <w:tc>
          <w:tcPr>
            <w:tcW w:type="dxa" w:w="3515"/>
          </w:tcPr>
          <w:p>
            <w:pPr>
              <w:spacing w:after="20" w:before="20" w:line="264" w:lineRule="auto"/>
            </w:pPr>
            <w:r>
              <w:rPr>
                <w:rFonts w:ascii="Arial" w:hAnsi="Arial"/>
                <w:b/>
                <w:sz w:val="19"/>
              </w:rPr>
              <w:t>No proxy route and no host port.</w:t>
            </w:r>
            <w:r>
              <w:rPr>
                <w:rFonts w:ascii="Arial" w:hAnsi="Arial"/>
                <w:sz w:val="19"/>
              </w:rPr>
              <w:t xml:space="preserve"> Reached only as </w:t>
            </w:r>
            <w:r>
              <w:rPr>
                <w:rFonts w:ascii="Consolas" w:hAnsi="Consolas"/>
                <w:color w:val="381A89"/>
                <w:sz w:val="17"/>
              </w:rPr>
              <w:t>http://api:8000</w:t>
            </w:r>
            <w:r>
              <w:rPr>
                <w:rFonts w:ascii="Arial" w:hAnsi="Arial"/>
                <w:sz w:val="19"/>
              </w:rPr>
              <w:t xml:space="preserve"> from the console's server side.</w:t>
            </w:r>
          </w:p>
        </w:tc>
      </w:tr>
      <w:tr>
        <w:trPr>
          <w:cantSplit/>
        </w:trPr>
        <w:tc>
          <w:tcPr>
            <w:tcW w:type="dxa" w:w="1361"/>
            <w:shd w:val="clear" w:color="auto" w:fill="F4F2FA"/>
          </w:tcPr>
          <w:p>
            <w:pPr>
              <w:spacing w:after="20" w:before="20" w:line="264" w:lineRule="auto"/>
            </w:pPr>
            <w:r>
              <w:rPr>
                <w:rFonts w:ascii="Consolas" w:hAnsi="Consolas"/>
                <w:color w:val="381A89"/>
                <w:sz w:val="17"/>
              </w:rPr>
              <w:t>worker</w:t>
            </w:r>
          </w:p>
        </w:tc>
        <w:tc>
          <w:tcPr>
            <w:tcW w:type="dxa" w:w="2494"/>
            <w:shd w:val="clear" w:color="auto" w:fill="F4F2FA"/>
          </w:tcPr>
          <w:p>
            <w:pPr>
              <w:spacing w:after="20" w:before="20" w:line="264" w:lineRule="auto"/>
            </w:pPr>
            <w:r>
              <w:rPr>
                <w:rFonts w:ascii="Arial" w:hAnsi="Arial"/>
                <w:sz w:val="19"/>
              </w:rPr>
              <w:t xml:space="preserve">the same image as </w:t>
            </w:r>
            <w:r>
              <w:rPr>
                <w:rFonts w:ascii="Consolas" w:hAnsi="Consolas"/>
                <w:color w:val="381A89"/>
                <w:sz w:val="17"/>
              </w:rPr>
              <w:t>api</w:t>
            </w:r>
          </w:p>
        </w:tc>
        <w:tc>
          <w:tcPr>
            <w:tcW w:type="dxa" w:w="1587"/>
            <w:shd w:val="clear" w:color="auto" w:fill="F4F2FA"/>
          </w:tcPr>
          <w:p>
            <w:pPr>
              <w:spacing w:after="20" w:before="20" w:line="264" w:lineRule="auto"/>
            </w:pPr>
            <w:r>
              <w:rPr>
                <w:rFonts w:ascii="Arial" w:hAnsi="Arial"/>
                <w:sz w:val="19"/>
              </w:rPr>
              <w:t>internal only</w:t>
            </w:r>
          </w:p>
        </w:tc>
        <w:tc>
          <w:tcPr>
            <w:tcW w:type="dxa" w:w="3515"/>
            <w:shd w:val="clear" w:color="auto" w:fill="F4F2FA"/>
          </w:tcPr>
          <w:p>
            <w:pPr>
              <w:spacing w:after="20" w:before="20" w:line="264" w:lineRule="auto"/>
            </w:pPr>
            <w:r>
              <w:rPr>
                <w:rFonts w:ascii="Arial" w:hAnsi="Arial"/>
                <w:sz w:val="19"/>
              </w:rPr>
              <w:t xml:space="preserve">None. Scalable with </w:t>
            </w:r>
            <w:r>
              <w:rPr>
                <w:rFonts w:ascii="Consolas" w:hAnsi="Consolas"/>
                <w:color w:val="381A89"/>
                <w:sz w:val="17"/>
              </w:rPr>
              <w:t>--scale worker=n</w:t>
            </w:r>
            <w:r>
              <w:rPr>
                <w:rFonts w:ascii="Arial" w:hAnsi="Arial"/>
                <w:sz w:val="19"/>
              </w:rPr>
              <w:t>; its health check is explicitly disabled because the image's baked-in probe targets the API port a worker does not serve.</w:t>
            </w:r>
          </w:p>
        </w:tc>
      </w:tr>
      <w:tr>
        <w:trPr>
          <w:cantSplit/>
        </w:trPr>
        <w:tc>
          <w:tcPr>
            <w:tcW w:type="dxa" w:w="1361"/>
          </w:tcPr>
          <w:p>
            <w:pPr>
              <w:spacing w:after="20" w:before="20" w:line="264" w:lineRule="auto"/>
            </w:pPr>
            <w:r>
              <w:rPr>
                <w:rFonts w:ascii="Consolas" w:hAnsi="Consolas"/>
                <w:color w:val="381A89"/>
                <w:sz w:val="17"/>
              </w:rPr>
              <w:t>web</w:t>
            </w:r>
          </w:p>
        </w:tc>
        <w:tc>
          <w:tcPr>
            <w:tcW w:type="dxa" w:w="2494"/>
          </w:tcPr>
          <w:p>
            <w:pPr>
              <w:spacing w:after="20" w:before="20" w:line="264" w:lineRule="auto"/>
            </w:pPr>
            <w:r>
              <w:rPr>
                <w:rFonts w:ascii="Arial" w:hAnsi="Arial"/>
                <w:sz w:val="19"/>
              </w:rPr>
              <w:t xml:space="preserve">built from </w:t>
            </w:r>
            <w:r>
              <w:rPr>
                <w:rFonts w:ascii="Consolas" w:hAnsi="Consolas"/>
                <w:color w:val="381A89"/>
                <w:sz w:val="17"/>
              </w:rPr>
              <w:t>frontend/</w:t>
            </w:r>
            <w:r>
              <w:rPr>
                <w:rFonts w:ascii="Arial" w:hAnsi="Arial"/>
                <w:sz w:val="19"/>
              </w:rPr>
              <w:t>, standalone Next output</w:t>
            </w:r>
          </w:p>
        </w:tc>
        <w:tc>
          <w:tcPr>
            <w:tcW w:type="dxa" w:w="1587"/>
          </w:tcPr>
          <w:p>
            <w:pPr>
              <w:spacing w:after="20" w:before="20" w:line="264" w:lineRule="auto"/>
            </w:pPr>
            <w:r>
              <w:rPr>
                <w:rFonts w:ascii="Arial" w:hAnsi="Arial"/>
                <w:sz w:val="19"/>
              </w:rPr>
              <w:t>internal + ingress</w:t>
            </w:r>
          </w:p>
        </w:tc>
        <w:tc>
          <w:tcPr>
            <w:tcW w:type="dxa" w:w="3515"/>
          </w:tcPr>
          <w:p>
            <w:pPr>
              <w:spacing w:after="20" w:before="20" w:line="264" w:lineRule="auto"/>
            </w:pPr>
            <w:r>
              <w:rPr>
                <w:rFonts w:ascii="Arial" w:hAnsi="Arial"/>
                <w:sz w:val="19"/>
              </w:rPr>
              <w:t>The only routed service: host rule on the application domain, TLS with automatic certificate issuance, and a permanent redirect from HTTP.</w:t>
            </w:r>
          </w:p>
        </w:tc>
      </w:tr>
    </w:tbl>
    <w:p>
      <w:pPr>
        <w:spacing w:after="40"/>
      </w:pPr>
    </w:p>
    <w:p>
      <w:pPr>
        <w:spacing w:after="160"/>
        <w:jc w:val="both"/>
      </w:pPr>
      <w:r>
        <w:t>Both images run as unprivileged users. The backend image serves both the API and the worker — the command differs, the code does not — and installs the pipeline's system dependencies explicitly: Tesseract for pixel recognition, Poppler for PDF rasterisation, libmagic for content sniffing at ingest, and the OpenCV runtime libraries for the forensic metrics. The console image bakes only public configuration at build time, so the same image can be promoted between environments. The API's entrypoint waits for the database, applies migrations, and seeds only when explicitly asked — a production database is never populated with demonstration claims by a container restart.</w:t>
      </w:r>
    </w:p>
    <w:p>
      <w:r>
        <w:br w:type="page"/>
      </w:r>
    </w:p>
    <w:p>
      <w:pPr>
        <w:pStyle w:val="Heading1"/>
      </w:pPr>
      <w:r>
        <w:t>6  Implementation</w:t>
      </w:r>
    </w:p>
    <w:p>
      <w:pPr>
        <w:spacing w:after="160"/>
        <w:jc w:val="both"/>
      </w:pPr>
      <w:r>
        <w:t>The implemented system is 18,725 lines of Python across 110 modules, 11,077 lines of TypeScript across 81 modules, and 2,039 lines of tests. This section documents each subsystem, concentrating on the decisions that were not obvious and on the measurements that had to be abandoned or reinterpreted. Detector parameters are collected in Appendix A.</w:t>
      </w:r>
    </w:p>
    <w:p>
      <w:pPr>
        <w:pStyle w:val="Heading2"/>
      </w:pPr>
      <w:r>
        <w:t>6.1  Ingest and validation</w:t>
      </w:r>
    </w:p>
    <w:p>
      <w:pPr>
        <w:spacing w:after="160"/>
        <w:jc w:val="both"/>
      </w:pPr>
      <w:r>
        <w:t>Ingest is the one path in the system that must never be permissive and never be destructive. It proceeds in seven ordered steps, and the order is itself a control:</w:t>
      </w:r>
    </w:p>
    <w:p>
      <w:pPr>
        <w:pStyle w:val="ListNumber"/>
        <w:spacing w:after="80" w:line="288" w:lineRule="auto"/>
        <w:ind w:left="397"/>
      </w:pPr>
      <w:r>
        <w:t>Stream the upload with a hard byte ceiling, aborting above the configured maximum rather than buffering an arbitrarily large body.</w:t>
      </w:r>
    </w:p>
    <w:p>
      <w:pPr>
        <w:pStyle w:val="ListNumber"/>
        <w:spacing w:after="80" w:line="288" w:lineRule="auto"/>
        <w:ind w:left="397"/>
      </w:pPr>
      <w:r>
        <w:t xml:space="preserve">Sniff the content type from magic bytes. The declared MIME type and the filename are </w:t>
      </w:r>
      <w:r>
        <w:rPr>
          <w:i/>
        </w:rPr>
        <w:t>evidence about the claimant's software</w:t>
      </w:r>
      <w:r>
        <w:t>, not trusted input; anything outside PDF, JPEG, PNG and TIFF is rejected.</w:t>
      </w:r>
    </w:p>
    <w:p>
      <w:pPr>
        <w:pStyle w:val="ListNumber"/>
        <w:spacing w:after="80" w:line="288" w:lineRule="auto"/>
        <w:ind w:left="397"/>
      </w:pPr>
      <w:r>
        <w:t>Validate the extension and record any disagreement with the sniffed type as a warning rather than a rejection — a legitimate document with a wrong extension should not be lost, but the discrepancy belongs in the record.</w:t>
      </w:r>
    </w:p>
    <w:p>
      <w:pPr>
        <w:pStyle w:val="ListNumber"/>
        <w:spacing w:after="80" w:line="288" w:lineRule="auto"/>
        <w:ind w:left="397"/>
      </w:pPr>
      <w:r>
        <w:t>Parse structurally. A PDF that will not open, or an image that will not decode, is rejected as corrupt rather than stored, because an unparseable file cannot be analysed and storing it would create the appearance of coverage.</w:t>
      </w:r>
    </w:p>
    <w:p>
      <w:pPr>
        <w:pStyle w:val="ListNumber"/>
        <w:spacing w:after="80" w:line="288" w:lineRule="auto"/>
        <w:ind w:left="397"/>
      </w:pPr>
      <w:r>
        <w:t>Check page count and decoded resolution against limits.</w:t>
      </w:r>
    </w:p>
    <w:p>
      <w:pPr>
        <w:pStyle w:val="ListNumber"/>
        <w:spacing w:after="80" w:line="288" w:lineRule="auto"/>
        <w:ind w:left="397"/>
      </w:pPr>
      <w:r>
        <w:t>Compute the SHA-256 of the bytes and look for an existing document with the same hash. A duplicate is reported as a warning with the reference of the other copy; both copies are kept.</w:t>
      </w:r>
    </w:p>
    <w:p>
      <w:pPr>
        <w:pStyle w:val="ListNumber"/>
        <w:spacing w:after="80" w:line="288" w:lineRule="auto"/>
        <w:ind w:left="397"/>
      </w:pPr>
      <w:r>
        <w:t xml:space="preserve">Write once to the </w:t>
      </w:r>
      <w:r>
        <w:rPr>
          <w:rFonts w:ascii="Consolas" w:hAnsi="Consolas"/>
          <w:color w:val="381A89"/>
          <w:sz w:val="20"/>
        </w:rPr>
        <w:t>originals</w:t>
      </w:r>
      <w:r>
        <w:t xml:space="preserve"> scope — fsync, atomic rename, mode </w:t>
      </w:r>
      <w:r>
        <w:rPr>
          <w:rFonts w:ascii="Consolas" w:hAnsi="Consolas"/>
          <w:color w:val="381A89"/>
          <w:sz w:val="20"/>
        </w:rPr>
        <w:t>0o440</w:t>
      </w:r>
      <w:r>
        <w:t xml:space="preserve"> — then create the document row. Filenames are sanitised and never used as storage keys.</w:t>
      </w:r>
    </w:p>
    <w:p>
      <w:pPr>
        <w:spacing w:after="160"/>
        <w:jc w:val="both"/>
      </w:pPr>
      <w:r>
        <w:t>The hash taken at this point is the document's identity for the rest of its life. Stage 1 of the pipeline re-reads the stored bytes and recomputes it; a divergence fails the stage. It is printed in the evidence report and returned in a response header when the original is downloaded, so a third party can confirm that the bytes they hold are the bytes that were analysed.</w:t>
      </w:r>
    </w:p>
    <w:p>
      <w:pPr>
        <w:pStyle w:val="Heading2"/>
      </w:pPr>
      <w:r>
        <w:t>6.2  Rendering, OCR and field extraction</w:t>
      </w:r>
    </w:p>
    <w:p>
      <w:pPr>
        <w:spacing w:after="160"/>
        <w:jc w:val="both"/>
      </w:pPr>
      <w:r>
        <w:t>Pages are rasterised at 150 dpi with a 2400-pixel maximum edge into the artifacts scope, together with thumbnails. The render is the coordinate space in which every region in the product is expressed, which is why it is produced before recognition rather than on demand.</w:t>
      </w:r>
    </w:p>
    <w:p>
      <w:pPr>
        <w:pStyle w:val="Heading3"/>
      </w:pPr>
      <w:r>
        <w:t>Recognition</w:t>
      </w:r>
    </w:p>
    <w:p>
      <w:pPr>
        <w:spacing w:after="160"/>
        <w:jc w:val="both"/>
      </w:pPr>
      <w:r>
        <w:t xml:space="preserve">Three recognition strategies sit behind one provider interface. The default </w:t>
      </w:r>
      <w:r>
        <w:rPr>
          <w:b/>
        </w:rPr>
        <w:t>hybrid</w:t>
      </w:r>
      <w:r>
        <w:t xml:space="preserve"> provider tries a PDF's embedded text layer first and keeps it when it yields at least twelve words, falling through to pixel recognition otherwise, and records which route it took and why. The </w:t>
      </w:r>
      <w:r>
        <w:rPr>
          <w:b/>
        </w:rPr>
        <w:t>text-layer</w:t>
      </w:r>
      <w:r>
        <w:t xml:space="preserve"> provider reads characters and coordinates directly with </w:t>
      </w:r>
      <w:r>
        <w:rPr>
          <w:rFonts w:ascii="Consolas" w:hAnsi="Consolas"/>
          <w:color w:val="381A89"/>
          <w:sz w:val="20"/>
        </w:rPr>
        <w:t>pdfplumber</w:t>
      </w:r>
      <w:r>
        <w:t xml:space="preserve">, clusters them into lines by vertical position, scales PDF points into render pixels, and reports a fixed confidence of 0.995 — because it is exact character data, not recognition, and pretending to be uncertain about it would be dishonest in the other direction. The </w:t>
      </w:r>
      <w:r>
        <w:rPr>
          <w:b/>
        </w:rPr>
        <w:t>Tesseract</w:t>
      </w:r>
      <w:r>
        <w:t xml:space="preserve"> provider handles scans and photographs, returning per-word text, boxes and confidences. A </w:t>
      </w:r>
      <w:r>
        <w:rPr>
          <w:b/>
        </w:rPr>
        <w:t>fixture</w:t>
      </w:r>
      <w:r>
        <w:t xml:space="preserve"> provider replays stored results for offline demonstrations.</w:t>
      </w:r>
    </w:p>
    <w:p>
      <w:pPr>
        <w:pStyle w:val="Heading3"/>
      </w:pPr>
      <w:r>
        <w:t>Schema-driven extraction</w:t>
      </w:r>
    </w:p>
    <w:p>
      <w:pPr>
        <w:spacing w:after="160"/>
        <w:jc w:val="both"/>
      </w:pPr>
      <w:r>
        <w:t xml:space="preserve">Extraction is declarative. A library of 60 field specifications — each with a label synonym list, value patterns, a value type and a group — is composed into 12 document-type schemas that declare which fields are expected and which are </w:t>
      </w:r>
      <w:r>
        <w:rPr>
          <w:i/>
        </w:rPr>
        <w:t>required</w:t>
      </w:r>
      <w:r>
        <w:t xml:space="preserve">. Requiredness is a property of the type, not of the field: a patient name is required on a medical invoice and meaningless on a vehicle registration. The </w:t>
      </w:r>
      <w:r>
        <w:rPr>
          <w:rFonts w:ascii="Consolas" w:hAnsi="Consolas"/>
          <w:color w:val="381A89"/>
          <w:sz w:val="20"/>
        </w:rPr>
        <w:t>other</w:t>
      </w:r>
      <w:r>
        <w:t xml:space="preserve"> type declares no required fields at all, because an unclassified document has no contract to violate.</w:t>
      </w:r>
    </w:p>
    <w:p>
      <w:pPr>
        <w:spacing w:after="160"/>
        <w:jc w:val="both"/>
      </w:pPr>
      <w:r>
        <w:t xml:space="preserve">The engine builds a view of each recognised line with character spans, per-span confidence and a column-gap threshold derived from the median glyph height, then matches labels. The non-obvious part is what counts as a label match, and it took three iterations to get right. A candidate label counts only when a separator character follows it, or the label owns the whole line — as in a stacked form or an identity card — or a column gap at least as wide as the threshold appears both before and after it. Without that third condition the phrase </w:t>
      </w:r>
      <w:r>
        <w:rPr>
          <w:i/>
        </w:rPr>
        <w:t>MEDICAL INVOICE</w:t>
      </w:r>
      <w:r>
        <w:t xml:space="preserve"> in a letterhead is read as the label “Invoice”, and the line </w:t>
      </w:r>
      <w:r>
        <w:rPr>
          <w:i/>
        </w:rPr>
        <w:t>Surgeon fee – laparoscopic procedure 1 1,850.00</w:t>
      </w:r>
      <w:r>
        <w:t xml:space="preserve"> is read as the label “procedure”. Both failures were observed and both are now regression tests.</w:t>
      </w:r>
    </w:p>
    <w:p>
      <w:pPr>
        <w:spacing w:after="160"/>
        <w:jc w:val="both"/>
      </w:pPr>
      <w:r>
        <w:t>Values are trimmed by type, cut short when the next known label appears on the same line, and may fall to the following line only for fields that declare it, at a confidence penalty. A confidence is composed from the recognition confidence, the quality of the label match, the next-line penalty and whether the value normalises to its declared type; organisation names may be recovered from the first line of page one only when it matches that field's own marker family. Line items are matched as a description followed by two or three numbers, skipping rows containing total, tax or discount terms. Every value is persisted with its raw text, its normalised form, its type, its confidence, its page, its bounding box and its provenance — one of recognition, next-line recognition, pattern, letterhead or inference.</w:t>
      </w:r>
    </w:p>
    <w:tbl>
      <w:tblPr>
        <w:tblW w:type="auto" w:w="0"/>
        <w:tblLook w:firstColumn="1" w:firstRow="1" w:lastColumn="0" w:lastRow="0" w:noHBand="0" w:noVBand="1" w:val="04A0"/>
      </w:tblPr>
      <w:tblGrid>
        <w:gridCol w:w="9185"/>
      </w:tblGrid>
      <w:tr>
        <w:tc>
          <w:tcPr>
            <w:tcW w:type="dxa" w:w="9184"/>
            <w:tcBorders>
              <w:left w:val="single" w:sz="24" w:space="0" w:color="2E1C6B"/>
            </w:tcBorders>
            <w:shd w:val="clear" w:color="auto" w:fill="F7F6FB"/>
          </w:tcPr>
          <w:p>
            <w:pPr>
              <w:spacing w:after="60"/>
            </w:pPr>
            <w:r>
              <w:rPr>
                <w:rFonts w:ascii="Arial" w:hAnsi="Arial"/>
                <w:b/>
                <w:color w:val="381A89"/>
                <w:sz w:val="21"/>
              </w:rPr>
              <w:t>Why every value carries a box</w:t>
            </w:r>
          </w:p>
          <w:p>
            <w:pPr>
              <w:spacing w:after="0" w:line="288" w:lineRule="auto"/>
              <w:jc w:val="both"/>
            </w:pPr>
            <w:r>
              <w:rPr>
                <w:sz w:val="21"/>
              </w:rPr>
              <w:t xml:space="preserve">The bounding box is not a convenience for the interface; it is what makes a finding checkable. A consistency rule that reports “the printed total does not match the sum of its own line items” is only useful if the reviewer can see </w:t>
            </w:r>
            <w:r>
              <w:rPr>
                <w:i/>
                <w:sz w:val="21"/>
              </w:rPr>
              <w:t>which</w:t>
            </w:r>
            <w:r>
              <w:rPr>
                <w:sz w:val="21"/>
              </w:rPr>
              <w:t xml:space="preserve"> printed total the rule read. Without coordinates, the rule's claim is unfalsifiable from the reviewer's position, and an extraction error becomes indistinguishable from a document defect.</w:t>
            </w:r>
          </w:p>
        </w:tc>
      </w:tr>
    </w:tbl>
    <w:p>
      <w:pPr>
        <w:spacing w:after="80"/>
      </w:pPr>
    </w:p>
    <w:p>
      <w:pPr>
        <w:pStyle w:val="Heading2"/>
      </w:pPr>
      <w:r>
        <w:t>6.3  Forensic detectors</w:t>
      </w:r>
    </w:p>
    <w:p>
      <w:pPr>
        <w:spacing w:after="160"/>
        <w:jc w:val="both"/>
      </w:pPr>
      <w:r>
        <w:t>Four detector families measure the file itself. Their thresholds, evidence keys and confidence functions are tabulated in Appendix A; this section records the three decisions that shaped them.</w:t>
      </w:r>
    </w:p>
    <w:p>
      <w:pPr>
        <w:pStyle w:val="Heading3"/>
      </w:pPr>
      <w:r>
        <w:t>Statistical significance, not per-block thresholds</w:t>
      </w:r>
    </w:p>
    <w:p>
      <w:pPr>
        <w:spacing w:after="160"/>
        <w:jc w:val="both"/>
      </w:pPr>
      <w:r>
        <w:t>The first implementation of error-level analysis and noise-residual analysis computed a per-block z-score and flagged outliers. On claim documents this does not work in either direction. A document page is mostly blank paper, and its content blocks vary enormously — body text, a logo, a signature, a photograph — so no single block is ever a significant outlier against the page as a whole, while lowering the threshold floods the report with the pre-printed furniture of the template.</w:t>
      </w:r>
    </w:p>
    <w:p>
      <w:pPr>
        <w:spacing w:after="160"/>
        <w:jc w:val="both"/>
      </w:pPr>
      <w:r>
        <w:t>The implemented approach establishes region significance statistically. A content mask first excludes blank paper by local standard deviation. A sliding window then runs a two-sample comparison of the window against the remainder of the page's content blocks, and a region is reported only when it clears both a z threshold and a minimum effect size, with overlapping same-direction hits merged. Reporting is capped at the strongest two or three regions per metric, because a list of twenty regions is not an investigative lead.</w:t>
      </w:r>
    </w:p>
    <w:p>
      <w:pPr>
        <w:pStyle w:val="Heading3"/>
      </w:pPr>
      <w:r>
        <w:t>Two detectors measured but deliberately not raised</w:t>
      </w:r>
    </w:p>
    <w:p>
      <w:pPr>
        <w:spacing w:after="160"/>
        <w:jc w:val="both"/>
      </w:pPr>
      <w:r>
        <w:t>Resampling periodicity and JPEG lattice energy are standard image-forensic measurements and both are implemented. On text-heavy rasters both are confounded by the subject matter: printed text has a regular line pitch and crisp stroke gradients, which produce precisely the periodicity and the block-edge energy these metrics look for. Measured on a document image, they fire on essentially every input.</w:t>
      </w:r>
    </w:p>
    <w:p>
      <w:pPr>
        <w:spacing w:after="160"/>
        <w:jc w:val="both"/>
      </w:pPr>
      <w:r>
        <w:t xml:space="preserve">Both are therefore computed and retained in the evidence blob as context, flagged </w:t>
      </w:r>
      <w:r>
        <w:rPr>
          <w:rFonts w:ascii="Consolas" w:hAnsi="Consolas"/>
          <w:color w:val="381A89"/>
          <w:sz w:val="20"/>
        </w:rPr>
        <w:t>signal_suppressed_for_text</w:t>
      </w:r>
      <w:r>
        <w:t xml:space="preserve"> with the reason, and suppressed as signals once text dominance passes a threshold. A detector that fires on every input is worse than no detector, because it trains the reviewer to ignore the category — but deleting the measurement would also delete the reviewer's ability to see that it was considered.</w:t>
      </w:r>
    </w:p>
    <w:p>
      <w:pPr>
        <w:pStyle w:val="Heading3"/>
      </w:pPr>
      <w:r>
        <w:t>Pixel forensics do not run on vector page renders</w:t>
      </w:r>
    </w:p>
    <w:p>
      <w:pPr>
        <w:spacing w:after="160"/>
        <w:jc w:val="both"/>
      </w:pPr>
      <w:r>
        <w:t xml:space="preserve">Error-level analysis, noise residual, compression history and resampling carry information only where there is a real capture or compression history. A page rendered from vector PDF content has none: measuring it measures the renderer. For PDFs the raster suite therefore runs over </w:t>
      </w:r>
      <w:r>
        <w:rPr>
          <w:i/>
        </w:rPr>
        <w:t>embedded</w:t>
      </w:r>
      <w:r>
        <w:t xml:space="preserve"> raster objects — where a scan or a pasted graphic actually lives — and when a page has no embedded rasters the stage records </w:t>
      </w:r>
      <w:r>
        <w:rPr>
          <w:rFonts w:ascii="Consolas" w:hAnsi="Consolas"/>
          <w:color w:val="381A89"/>
          <w:sz w:val="20"/>
        </w:rPr>
        <w:t>not_applicable</w:t>
      </w:r>
      <w:r>
        <w:t xml:space="preserve"> explicitly rather than reporting noise. Structural, metadata, font and typography analysis carry the forensic signal for digital PDFs, and it is there that the strongest single measurement in the platform sits.</w:t>
      </w:r>
    </w:p>
    <w:p>
      <w:pPr>
        <w:pStyle w:val="Heading3"/>
      </w:pPr>
      <w:r>
        <w:t>Exact per-character font analysis</w:t>
      </w:r>
    </w:p>
    <w:p>
      <w:pPr>
        <w:spacing w:after="160"/>
        <w:jc w:val="both"/>
      </w:pPr>
      <w:r>
        <w:t xml:space="preserve">For digital PDFs the typography detector does not estimate. It reads the font resource each character was drawn from, clusters characters into lines by baseline with a size-proportional tolerance, and reports a line in which a minority of characters come from a different font resource than the dominant one. This is an exact structural fact about the file rather than a statistical inference about pixels, which is why it carries the highest source reliability in the correlation layer and one of the highest weights in the risk model. It is the measurement that identifies a re-typed total: </w:t>
      </w:r>
      <w:r>
        <w:rPr>
          <w:i/>
        </w:rPr>
        <w:t>“Font change inside a text line: “$8,500.00” (page 1)”</w:t>
      </w:r>
      <w:r>
        <w:t>.</w:t>
      </w:r>
    </w:p>
    <w:p>
      <w:pPr>
        <w:pStyle w:val="Heading2"/>
      </w:pPr>
      <w:r>
        <w:t>6.4  Tampering correlation</w:t>
      </w:r>
    </w:p>
    <w:p>
      <w:pPr>
        <w:spacing w:after="160"/>
        <w:jc w:val="both"/>
      </w:pPr>
      <w:r>
        <w:t>Tampering is implemented as a correlation layer rather than a detector, because any single forensic metric on a document page is noisy. Overlapping suspect regions emitted by the independent detectors are merged with a small slack, and their confidences are combined by a noisy-OR damped by each source's reliability:</w:t>
      </w:r>
    </w:p>
    <w:tbl>
      <w:tblPr>
        <w:tblW w:type="auto" w:w="0"/>
        <w:jc w:val="center"/>
        <w:tblLook w:firstColumn="1" w:firstRow="1" w:lastColumn="0" w:lastRow="0" w:noHBand="0" w:noVBand="1" w:val="04A0"/>
      </w:tblPr>
      <w:tblGrid>
        <w:gridCol w:w="9185"/>
      </w:tblGrid>
      <w:tr>
        <w:tc>
          <w:tcPr>
            <w:tcW w:type="dxa" w:w="9184"/>
            <w:tcBorders>
              <w:left w:val="single" w:sz="18" w:space="0" w:color="2E1C6B"/>
            </w:tcBorders>
            <w:shd w:val="clear" w:color="auto" w:fill="F2F0F8"/>
          </w:tcPr>
          <w:p>
            <w:pPr>
              <w:spacing w:after="0" w:line="259" w:lineRule="auto"/>
            </w:pPr>
            <w:r/>
            <w:r>
              <w:rPr>
                <w:rFonts w:ascii="Consolas" w:hAnsi="Consolas"/>
                <w:color w:val="1A1726"/>
                <w:sz w:val="19"/>
              </w:rPr>
              <w:t>combined = clamp( 1 − Π ( 1 − confidence_i × reliability_i ), 0, 0.93 )</w:t>
            </w:r>
          </w:p>
        </w:tc>
      </w:tr>
    </w:tbl>
    <w:p>
      <w:pPr>
        <w:spacing w:after="80"/>
      </w:pPr>
    </w:p>
    <w:p>
      <w:pPr>
        <w:spacing w:after="160"/>
        <w:jc w:val="both"/>
      </w:pPr>
      <w:r>
        <w:t xml:space="preserve">Source reliabilities run from 0.90 for an exact PDF font mix down to 0.48 for an isolated low-confidence recognition island (Appendix A.6). A region is reported only when a high-reliability source fires </w:t>
      </w:r>
      <w:r>
        <w:rPr>
          <w:b/>
        </w:rPr>
        <w:t>or</w:t>
      </w:r>
      <w:r>
        <w:t xml:space="preserve"> at least two independent sources overlap on the same area, and the combined confidence clears 0.45.</w:t>
      </w:r>
    </w:p>
    <w:p>
      <w:pPr>
        <w:spacing w:after="160"/>
        <w:jc w:val="both"/>
      </w:pPr>
      <w:r>
        <w:t xml:space="preserve">The region is then </w:t>
      </w:r>
      <w:r>
        <w:rPr>
          <w:i/>
        </w:rPr>
        <w:t>named</w:t>
      </w:r>
      <w:r>
        <w:t xml:space="preserve"> by intersecting it with the extracted fields, which is what turns a measurement into a sentence an investigator can act on. The tamper type follows from the field's value type where the region covers a field — money gives an edited amount, a date gives a modified date, an identifier gives an altered identifier, a party name gives a replaced name — and from the contributing source where it does not. Thirteen tamper types are produced in total. The region comes from measurement; the label comes from extraction; the finding records both, along with which detectors agreed, their individual confidences and boxes, and the reliability table used.</w:t>
      </w:r>
    </w:p>
    <w:p>
      <w:pPr>
        <w:pStyle w:val="Heading2"/>
      </w:pPr>
      <w:r>
        <w:t>6.5  The consistency rule engine</w:t>
      </w:r>
    </w:p>
    <w:p>
      <w:pPr>
        <w:spacing w:after="160"/>
        <w:jc w:val="both"/>
      </w:pPr>
      <w:r>
        <w:t>Twenty deterministic rules over the extracted fields are the most trustworthy signals in the platform — subject to extraction being correct, which is why every rule finding carries the fields it used, their values and their own confidences and boxes. Rules are declarative: each states its code, name, description, default severity, weight, the document types it applies to, and its parameters, all of which an administrator can override at run time.</w:t>
      </w:r>
    </w:p>
    <w:p>
      <w:pPr>
        <w:keepNext/>
        <w:spacing w:after="60" w:before="120"/>
      </w:pPr>
      <w:r>
        <w:rPr>
          <w:rFonts w:ascii="Arial" w:hAnsi="Arial"/>
          <w:b/>
          <w:color w:val="381A89"/>
          <w:sz w:val="18"/>
        </w:rPr>
        <w:t xml:space="preserve">Table 13. </w:t>
      </w:r>
      <w:r>
        <w:rPr>
          <w:rFonts w:ascii="Arial" w:hAnsi="Arial"/>
          <w:color w:val="55516B"/>
          <w:sz w:val="18"/>
        </w:rPr>
        <w:t>The twenty consistency rules by family. Severities and weights are the seeded defaults.</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1928"/>
            <w:shd w:val="clear" w:color="auto" w:fill="2E1C6B"/>
          </w:tcPr>
          <w:p>
            <w:pPr>
              <w:spacing w:after="20" w:before="20" w:line="252" w:lineRule="auto"/>
            </w:pPr>
            <w:r>
              <w:rPr>
                <w:rFonts w:ascii="Arial" w:hAnsi="Arial"/>
                <w:b/>
                <w:color w:val="FFFFFF"/>
                <w:sz w:val="18"/>
              </w:rPr>
              <w:t>Family</w:t>
            </w:r>
          </w:p>
        </w:tc>
        <w:tc>
          <w:tcPr>
            <w:tcW w:type="dxa" w:w="7030"/>
            <w:shd w:val="clear" w:color="auto" w:fill="2E1C6B"/>
          </w:tcPr>
          <w:p>
            <w:pPr>
              <w:spacing w:after="20" w:before="20" w:line="252" w:lineRule="auto"/>
            </w:pPr>
            <w:r>
              <w:rPr>
                <w:rFonts w:ascii="Arial" w:hAnsi="Arial"/>
                <w:b/>
                <w:color w:val="FFFFFF"/>
                <w:sz w:val="18"/>
              </w:rPr>
              <w:t>Rules</w:t>
            </w:r>
          </w:p>
        </w:tc>
      </w:tr>
      <w:tr>
        <w:trPr>
          <w:cantSplit/>
        </w:trPr>
        <w:tc>
          <w:tcPr>
            <w:tcW w:type="dxa" w:w="1928"/>
          </w:tcPr>
          <w:p>
            <w:pPr>
              <w:spacing w:after="20" w:before="20" w:line="264" w:lineRule="auto"/>
            </w:pPr>
            <w:r>
              <w:rPr>
                <w:rFonts w:ascii="Arial" w:hAnsi="Arial"/>
                <w:sz w:val="19"/>
              </w:rPr>
              <w:t>Arithmetic</w:t>
            </w:r>
          </w:p>
        </w:tc>
        <w:tc>
          <w:tcPr>
            <w:tcW w:type="dxa" w:w="7030"/>
          </w:tcPr>
          <w:p>
            <w:pPr>
              <w:spacing w:after="20" w:before="20" w:line="264" w:lineRule="auto"/>
            </w:pPr>
            <w:r>
              <w:rPr>
                <w:rFonts w:ascii="Consolas" w:hAnsi="Consolas"/>
                <w:color w:val="381A89"/>
                <w:sz w:val="17"/>
              </w:rPr>
              <w:t>LINE_ITEM_SUM_MISMATCH</w:t>
            </w:r>
            <w:r>
              <w:rPr>
                <w:rFonts w:ascii="Arial" w:hAnsi="Arial"/>
                <w:sz w:val="19"/>
              </w:rPr>
              <w:t xml:space="preserve"> (high), </w:t>
            </w:r>
            <w:r>
              <w:rPr>
                <w:rFonts w:ascii="Consolas" w:hAnsi="Consolas"/>
                <w:color w:val="381A89"/>
                <w:sz w:val="17"/>
              </w:rPr>
              <w:t>TOTAL_ARITHMETIC_MISMATCH</w:t>
            </w:r>
            <w:r>
              <w:rPr>
                <w:rFonts w:ascii="Arial" w:hAnsi="Arial"/>
                <w:sz w:val="19"/>
              </w:rPr>
              <w:t xml:space="preserve"> (high), </w:t>
            </w:r>
            <w:r>
              <w:rPr>
                <w:rFonts w:ascii="Consolas" w:hAnsi="Consolas"/>
                <w:color w:val="381A89"/>
                <w:sz w:val="17"/>
              </w:rPr>
              <w:t>TAX_CALCULATION_MISMATCH</w:t>
            </w:r>
            <w:r>
              <w:rPr>
                <w:rFonts w:ascii="Arial" w:hAnsi="Arial"/>
                <w:sz w:val="19"/>
              </w:rPr>
              <w:t xml:space="preserve"> (medium), </w:t>
            </w:r>
            <w:r>
              <w:rPr>
                <w:rFonts w:ascii="Consolas" w:hAnsi="Consolas"/>
                <w:color w:val="381A89"/>
                <w:sz w:val="17"/>
              </w:rPr>
              <w:t>BALANCE_MISMATCH</w:t>
            </w:r>
            <w:r>
              <w:rPr>
                <w:rFonts w:ascii="Arial" w:hAnsi="Arial"/>
                <w:sz w:val="19"/>
              </w:rPr>
              <w:t xml:space="preserve"> (medium), </w:t>
            </w:r>
            <w:r>
              <w:rPr>
                <w:rFonts w:ascii="Consolas" w:hAnsi="Consolas"/>
                <w:color w:val="381A89"/>
                <w:sz w:val="17"/>
              </w:rPr>
              <w:t>AMOUNT_PAID_EXCEEDS_TOTAL</w:t>
            </w:r>
            <w:r>
              <w:rPr>
                <w:rFonts w:ascii="Arial" w:hAnsi="Arial"/>
                <w:sz w:val="19"/>
              </w:rPr>
              <w:t xml:space="preserve"> (medium), </w:t>
            </w:r>
            <w:r>
              <w:rPr>
                <w:rFonts w:ascii="Consolas" w:hAnsi="Consolas"/>
                <w:color w:val="381A89"/>
                <w:sz w:val="17"/>
              </w:rPr>
              <w:t>NON_POSITIVE_TOTAL</w:t>
            </w:r>
            <w:r>
              <w:rPr>
                <w:rFonts w:ascii="Arial" w:hAnsi="Arial"/>
                <w:sz w:val="19"/>
              </w:rPr>
              <w:t xml:space="preserve"> (medium), </w:t>
            </w:r>
            <w:r>
              <w:rPr>
                <w:rFonts w:ascii="Consolas" w:hAnsi="Consolas"/>
                <w:color w:val="381A89"/>
                <w:sz w:val="17"/>
              </w:rPr>
              <w:t>DUPLICATE_LINE_ITEMS</w:t>
            </w:r>
            <w:r>
              <w:rPr>
                <w:rFonts w:ascii="Arial" w:hAnsi="Arial"/>
                <w:sz w:val="19"/>
              </w:rPr>
              <w:t xml:space="preserve"> (low)</w:t>
            </w:r>
          </w:p>
        </w:tc>
      </w:tr>
      <w:tr>
        <w:trPr>
          <w:cantSplit/>
        </w:trPr>
        <w:tc>
          <w:tcPr>
            <w:tcW w:type="dxa" w:w="1928"/>
            <w:shd w:val="clear" w:color="auto" w:fill="F4F2FA"/>
          </w:tcPr>
          <w:p>
            <w:pPr>
              <w:spacing w:after="20" w:before="20" w:line="264" w:lineRule="auto"/>
            </w:pPr>
            <w:r>
              <w:rPr>
                <w:rFonts w:ascii="Arial" w:hAnsi="Arial"/>
                <w:sz w:val="19"/>
              </w:rPr>
              <w:t>Dates</w:t>
            </w:r>
          </w:p>
        </w:tc>
        <w:tc>
          <w:tcPr>
            <w:tcW w:type="dxa" w:w="7030"/>
            <w:shd w:val="clear" w:color="auto" w:fill="F4F2FA"/>
          </w:tcPr>
          <w:p>
            <w:pPr>
              <w:spacing w:after="20" w:before="20" w:line="264" w:lineRule="auto"/>
            </w:pPr>
            <w:r>
              <w:rPr>
                <w:rFonts w:ascii="Consolas" w:hAnsi="Consolas"/>
                <w:color w:val="381A89"/>
                <w:sz w:val="17"/>
              </w:rPr>
              <w:t>TREATMENT_AFTER_INVOICE</w:t>
            </w:r>
            <w:r>
              <w:rPr>
                <w:rFonts w:ascii="Arial" w:hAnsi="Arial"/>
                <w:sz w:val="19"/>
              </w:rPr>
              <w:t xml:space="preserve"> (high), </w:t>
            </w:r>
            <w:r>
              <w:rPr>
                <w:rFonts w:ascii="Consolas" w:hAnsi="Consolas"/>
                <w:color w:val="381A89"/>
                <w:sz w:val="17"/>
              </w:rPr>
              <w:t>ADMISSION_AFTER_DISCHARGE</w:t>
            </w:r>
            <w:r>
              <w:rPr>
                <w:rFonts w:ascii="Arial" w:hAnsi="Arial"/>
                <w:sz w:val="19"/>
              </w:rPr>
              <w:t xml:space="preserve"> (high), </w:t>
            </w:r>
            <w:r>
              <w:rPr>
                <w:rFonts w:ascii="Consolas" w:hAnsi="Consolas"/>
                <w:color w:val="381A89"/>
                <w:sz w:val="17"/>
              </w:rPr>
              <w:t>SERVICE_OUTSIDE_POLICY_WINDOW</w:t>
            </w:r>
            <w:r>
              <w:rPr>
                <w:rFonts w:ascii="Arial" w:hAnsi="Arial"/>
                <w:sz w:val="19"/>
              </w:rPr>
              <w:t xml:space="preserve"> (high), </w:t>
            </w:r>
            <w:r>
              <w:rPr>
                <w:rFonts w:ascii="Consolas" w:hAnsi="Consolas"/>
                <w:color w:val="381A89"/>
                <w:sz w:val="17"/>
              </w:rPr>
              <w:t>DOCUMENT_EXPIRED_AT_EVENT</w:t>
            </w:r>
            <w:r>
              <w:rPr>
                <w:rFonts w:ascii="Arial" w:hAnsi="Arial"/>
                <w:sz w:val="19"/>
              </w:rPr>
              <w:t xml:space="preserve"> (medium), </w:t>
            </w:r>
            <w:r>
              <w:rPr>
                <w:rFonts w:ascii="Consolas" w:hAnsi="Consolas"/>
                <w:color w:val="381A89"/>
                <w:sz w:val="17"/>
              </w:rPr>
              <w:t>FUTURE_DATED_DOCUMENT</w:t>
            </w:r>
            <w:r>
              <w:rPr>
                <w:rFonts w:ascii="Arial" w:hAnsi="Arial"/>
                <w:sz w:val="19"/>
              </w:rPr>
              <w:t xml:space="preserve"> (medium), </w:t>
            </w:r>
            <w:r>
              <w:rPr>
                <w:rFonts w:ascii="Consolas" w:hAnsi="Consolas"/>
                <w:color w:val="381A89"/>
                <w:sz w:val="17"/>
              </w:rPr>
              <w:t>IMPLAUSIBLE_DATE_OF_BIRTH</w:t>
            </w:r>
            <w:r>
              <w:rPr>
                <w:rFonts w:ascii="Arial" w:hAnsi="Arial"/>
                <w:sz w:val="19"/>
              </w:rPr>
              <w:t xml:space="preserve"> (medium)</w:t>
            </w:r>
          </w:p>
        </w:tc>
      </w:tr>
      <w:tr>
        <w:trPr>
          <w:cantSplit/>
        </w:trPr>
        <w:tc>
          <w:tcPr>
            <w:tcW w:type="dxa" w:w="1928"/>
          </w:tcPr>
          <w:p>
            <w:pPr>
              <w:spacing w:after="20" w:before="20" w:line="264" w:lineRule="auto"/>
            </w:pPr>
            <w:r>
              <w:rPr>
                <w:rFonts w:ascii="Arial" w:hAnsi="Arial"/>
                <w:sz w:val="19"/>
              </w:rPr>
              <w:t>Identity and format</w:t>
            </w:r>
          </w:p>
        </w:tc>
        <w:tc>
          <w:tcPr>
            <w:tcW w:type="dxa" w:w="7030"/>
          </w:tcPr>
          <w:p>
            <w:pPr>
              <w:spacing w:after="20" w:before="20" w:line="264" w:lineRule="auto"/>
            </w:pPr>
            <w:r>
              <w:rPr>
                <w:rFonts w:ascii="Consolas" w:hAnsi="Consolas"/>
                <w:color w:val="381A89"/>
                <w:sz w:val="17"/>
              </w:rPr>
              <w:t>VIN_CHECK_DIGIT_INVALID</w:t>
            </w:r>
            <w:r>
              <w:rPr>
                <w:rFonts w:ascii="Arial" w:hAnsi="Arial"/>
                <w:sz w:val="19"/>
              </w:rPr>
              <w:t xml:space="preserve"> (high, ISO 3779), </w:t>
            </w:r>
            <w:r>
              <w:rPr>
                <w:rFonts w:ascii="Consolas" w:hAnsi="Consolas"/>
                <w:color w:val="381A89"/>
                <w:sz w:val="17"/>
              </w:rPr>
              <w:t>IBAN_CHECKSUM_INVALID</w:t>
            </w:r>
            <w:r>
              <w:rPr>
                <w:rFonts w:ascii="Arial" w:hAnsi="Arial"/>
                <w:sz w:val="19"/>
              </w:rPr>
              <w:t xml:space="preserve"> (high, ISO 13616 mod-97), </w:t>
            </w:r>
            <w:r>
              <w:rPr>
                <w:rFonts w:ascii="Consolas" w:hAnsi="Consolas"/>
                <w:color w:val="381A89"/>
                <w:sz w:val="17"/>
              </w:rPr>
              <w:t>MISSING_REQUIRED_FIELD</w:t>
            </w:r>
            <w:r>
              <w:rPr>
                <w:rFonts w:ascii="Arial" w:hAnsi="Arial"/>
                <w:sz w:val="19"/>
              </w:rPr>
              <w:t xml:space="preserve"> (medium), </w:t>
            </w:r>
            <w:r>
              <w:rPr>
                <w:rFonts w:ascii="Consolas" w:hAnsi="Consolas"/>
                <w:color w:val="381A89"/>
                <w:sz w:val="17"/>
              </w:rPr>
              <w:t>CURRENCY_AMBIGUOUS</w:t>
            </w:r>
            <w:r>
              <w:rPr>
                <w:rFonts w:ascii="Arial" w:hAnsi="Arial"/>
                <w:sz w:val="19"/>
              </w:rPr>
              <w:t xml:space="preserve"> (medium), </w:t>
            </w:r>
            <w:r>
              <w:rPr>
                <w:rFonts w:ascii="Consolas" w:hAnsi="Consolas"/>
                <w:color w:val="381A89"/>
                <w:sz w:val="17"/>
              </w:rPr>
              <w:t>IDENTIFIER_FORMAT_UNEXPECTED</w:t>
            </w:r>
            <w:r>
              <w:rPr>
                <w:rFonts w:ascii="Arial" w:hAnsi="Arial"/>
                <w:sz w:val="19"/>
              </w:rPr>
              <w:t xml:space="preserve"> (low), </w:t>
            </w:r>
            <w:r>
              <w:rPr>
                <w:rFonts w:ascii="Consolas" w:hAnsi="Consolas"/>
                <w:color w:val="381A89"/>
                <w:sz w:val="17"/>
              </w:rPr>
              <w:t>INTERNAL_NAME_MISMATCH</w:t>
            </w:r>
            <w:r>
              <w:rPr>
                <w:rFonts w:ascii="Arial" w:hAnsi="Arial"/>
                <w:sz w:val="19"/>
              </w:rPr>
              <w:t xml:space="preserve"> (low), </w:t>
            </w:r>
            <w:r>
              <w:rPr>
                <w:rFonts w:ascii="Consolas" w:hAnsi="Consolas"/>
                <w:color w:val="381A89"/>
                <w:sz w:val="17"/>
              </w:rPr>
              <w:t>LOW_CONFIDENCE_CRITICAL_FIELD</w:t>
            </w:r>
            <w:r>
              <w:rPr>
                <w:rFonts w:ascii="Arial" w:hAnsi="Arial"/>
                <w:sz w:val="19"/>
              </w:rPr>
              <w:t xml:space="preserve"> (low)</w:t>
            </w:r>
          </w:p>
        </w:tc>
      </w:tr>
    </w:tbl>
    <w:p>
      <w:pPr>
        <w:spacing w:after="40"/>
      </w:pPr>
    </w:p>
    <w:p>
      <w:pPr>
        <w:spacing w:after="160"/>
        <w:jc w:val="both"/>
      </w:pPr>
      <w:r>
        <w:t xml:space="preserve">Two implementation properties matter more than the rule list. First, </w:t>
      </w:r>
      <w:r>
        <w:rPr>
          <w:b/>
        </w:rPr>
        <w:t>every rule reports three outcomes</w:t>
      </w:r>
      <w:r>
        <w:t xml:space="preserve">: failed, passed, or not applicable with the reason. The console displays all three. A green tick is what makes a Low Concern assessment meaningful rather than merely empty — “twelve checks were applicable and eleven passed” is a finding; “no findings” is an absence that could equally mean nothing was checked. Second, </w:t>
      </w:r>
      <w:r>
        <w:rPr>
          <w:b/>
        </w:rPr>
        <w:t>a rule that raises is isolated</w:t>
      </w:r>
      <w:r>
        <w:t>: the outcome is recorded as an error for that rule alone and logged, so a defect in one rule cannot fail the stage or the run. That behaviour has its own test, using a deliberately broken rule.</w:t>
      </w:r>
    </w:p>
    <w:p>
      <w:pPr>
        <w:pStyle w:val="Heading2"/>
      </w:pPr>
      <w:r>
        <w:t>6.6  Cross-document comparison</w:t>
      </w:r>
    </w:p>
    <w:p>
      <w:pPr>
        <w:spacing w:after="160"/>
        <w:jc w:val="both"/>
      </w:pPr>
      <w:r>
        <w:t>Seventeen fields are compared across the documents of a claim and against the claim record, with a comparison mode per field: fuzzy token-set matching for names, exact-after-normalisation for identifiers, day granularity for dates, and a proportional tolerance for money.</w:t>
      </w:r>
    </w:p>
    <w:p>
      <w:pPr>
        <w:spacing w:after="160"/>
        <w:jc w:val="both"/>
      </w:pPr>
      <w:r>
        <w:t xml:space="preserve">The substantive problem here is not comparison but </w:t>
      </w:r>
      <w:r>
        <w:rPr>
          <w:i/>
        </w:rPr>
        <w:t>deciding what may be compared</w:t>
      </w:r>
      <w:r>
        <w:t xml:space="preserve">. Comparing every field across every pair of documents manufactures findings from legitimate differences: two separate invoices in one claim are not expected to carry the same total, and a dependant's date of birth is not expected to match the policyholder's. Each comparable field therefore declares a </w:t>
      </w:r>
      <w:r>
        <w:rPr>
          <w:b/>
        </w:rPr>
        <w:t>pairing policy</w:t>
      </w:r>
      <w:r>
        <w:t>.</w:t>
      </w:r>
    </w:p>
    <w:p>
      <w:pPr>
        <w:keepNext/>
        <w:spacing w:after="60" w:before="120"/>
      </w:pPr>
      <w:r>
        <w:rPr>
          <w:rFonts w:ascii="Arial" w:hAnsi="Arial"/>
          <w:b/>
          <w:color w:val="381A89"/>
          <w:sz w:val="18"/>
        </w:rPr>
        <w:t xml:space="preserve">Table 14. </w:t>
      </w:r>
      <w:r>
        <w:rPr>
          <w:rFonts w:ascii="Arial" w:hAnsi="Arial"/>
          <w:color w:val="55516B"/>
          <w:sz w:val="18"/>
        </w:rPr>
        <w:t>Pairing policies. A comparison outside its policy is recorded as skipped, with the reason.</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1474"/>
            <w:shd w:val="clear" w:color="auto" w:fill="2E1C6B"/>
          </w:tcPr>
          <w:p>
            <w:pPr>
              <w:spacing w:after="20" w:before="20" w:line="252" w:lineRule="auto"/>
            </w:pPr>
            <w:r>
              <w:rPr>
                <w:rFonts w:ascii="Arial" w:hAnsi="Arial"/>
                <w:b/>
                <w:color w:val="FFFFFF"/>
                <w:sz w:val="18"/>
              </w:rPr>
              <w:t>Policy</w:t>
            </w:r>
          </w:p>
        </w:tc>
        <w:tc>
          <w:tcPr>
            <w:tcW w:type="dxa" w:w="4195"/>
            <w:shd w:val="clear" w:color="auto" w:fill="2E1C6B"/>
          </w:tcPr>
          <w:p>
            <w:pPr>
              <w:spacing w:after="20" w:before="20" w:line="252" w:lineRule="auto"/>
            </w:pPr>
            <w:r>
              <w:rPr>
                <w:rFonts w:ascii="Arial" w:hAnsi="Arial"/>
                <w:b/>
                <w:color w:val="FFFFFF"/>
                <w:sz w:val="18"/>
              </w:rPr>
              <w:t>Fields</w:t>
            </w:r>
          </w:p>
        </w:tc>
        <w:tc>
          <w:tcPr>
            <w:tcW w:type="dxa" w:w="3288"/>
            <w:shd w:val="clear" w:color="auto" w:fill="2E1C6B"/>
          </w:tcPr>
          <w:p>
            <w:pPr>
              <w:spacing w:after="20" w:before="20" w:line="252" w:lineRule="auto"/>
            </w:pPr>
            <w:r>
              <w:rPr>
                <w:rFonts w:ascii="Arial" w:hAnsi="Arial"/>
                <w:b/>
                <w:color w:val="FFFFFF"/>
                <w:sz w:val="18"/>
              </w:rPr>
              <w:t>Rule</w:t>
            </w:r>
          </w:p>
        </w:tc>
      </w:tr>
      <w:tr>
        <w:trPr>
          <w:cantSplit/>
        </w:trPr>
        <w:tc>
          <w:tcPr>
            <w:tcW w:type="dxa" w:w="1474"/>
          </w:tcPr>
          <w:p>
            <w:pPr>
              <w:spacing w:after="20" w:before="20" w:line="264" w:lineRule="auto"/>
            </w:pPr>
            <w:r>
              <w:rPr>
                <w:rFonts w:ascii="Consolas" w:hAnsi="Consolas"/>
                <w:color w:val="381A89"/>
                <w:sz w:val="17"/>
              </w:rPr>
              <w:t>any</w:t>
            </w:r>
          </w:p>
        </w:tc>
        <w:tc>
          <w:tcPr>
            <w:tcW w:type="dxa" w:w="4195"/>
          </w:tcPr>
          <w:p>
            <w:pPr>
              <w:spacing w:after="20" w:before="20" w:line="264" w:lineRule="auto"/>
            </w:pPr>
            <w:r>
              <w:rPr>
                <w:rFonts w:ascii="Arial" w:hAnsi="Arial"/>
                <w:sz w:val="19"/>
              </w:rPr>
              <w:t>policy number, claim number, patient / insured / customer name, provider name, incident date, vehicle registration, VIN, currency</w:t>
            </w:r>
          </w:p>
        </w:tc>
        <w:tc>
          <w:tcPr>
            <w:tcW w:type="dxa" w:w="3288"/>
          </w:tcPr>
          <w:p>
            <w:pPr>
              <w:spacing w:after="20" w:before="20" w:line="264" w:lineRule="auto"/>
            </w:pPr>
            <w:r>
              <w:rPr>
                <w:rFonts w:ascii="Arial" w:hAnsi="Arial"/>
                <w:sz w:val="19"/>
              </w:rPr>
              <w:t>Compare across every pair of documents holding the field.</w:t>
            </w:r>
          </w:p>
        </w:tc>
      </w:tr>
      <w:tr>
        <w:trPr>
          <w:cantSplit/>
        </w:trPr>
        <w:tc>
          <w:tcPr>
            <w:tcW w:type="dxa" w:w="1474"/>
            <w:shd w:val="clear" w:color="auto" w:fill="F4F2FA"/>
          </w:tcPr>
          <w:p>
            <w:pPr>
              <w:spacing w:after="20" w:before="20" w:line="264" w:lineRule="auto"/>
            </w:pPr>
            <w:r>
              <w:rPr>
                <w:rFonts w:ascii="Consolas" w:hAnsi="Consolas"/>
                <w:color w:val="381A89"/>
                <w:sz w:val="17"/>
              </w:rPr>
              <w:t>same_party</w:t>
            </w:r>
          </w:p>
        </w:tc>
        <w:tc>
          <w:tcPr>
            <w:tcW w:type="dxa" w:w="4195"/>
            <w:shd w:val="clear" w:color="auto" w:fill="F4F2FA"/>
          </w:tcPr>
          <w:p>
            <w:pPr>
              <w:spacing w:after="20" w:before="20" w:line="264" w:lineRule="auto"/>
            </w:pPr>
            <w:r>
              <w:rPr>
                <w:rFonts w:ascii="Arial" w:hAnsi="Arial"/>
                <w:sz w:val="19"/>
              </w:rPr>
              <w:t>date of birth, national identifier, diagnosis, treatment, admission and discharge dates</w:t>
            </w:r>
          </w:p>
        </w:tc>
        <w:tc>
          <w:tcPr>
            <w:tcW w:type="dxa" w:w="3288"/>
            <w:shd w:val="clear" w:color="auto" w:fill="F4F2FA"/>
          </w:tcPr>
          <w:p>
            <w:pPr>
              <w:spacing w:after="20" w:before="20" w:line="264" w:lineRule="auto"/>
            </w:pPr>
            <w:r>
              <w:rPr>
                <w:rFonts w:ascii="Arial" w:hAnsi="Arial"/>
                <w:sz w:val="19"/>
              </w:rPr>
              <w:t>Compare only when both documents record the value for the same individual, resolved by subject.</w:t>
            </w:r>
          </w:p>
        </w:tc>
      </w:tr>
      <w:tr>
        <w:trPr>
          <w:cantSplit/>
        </w:trPr>
        <w:tc>
          <w:tcPr>
            <w:tcW w:type="dxa" w:w="1474"/>
          </w:tcPr>
          <w:p>
            <w:pPr>
              <w:spacing w:after="20" w:before="20" w:line="264" w:lineRule="auto"/>
            </w:pPr>
            <w:r>
              <w:rPr>
                <w:rFonts w:ascii="Consolas" w:hAnsi="Consolas"/>
                <w:color w:val="381A89"/>
                <w:sz w:val="17"/>
              </w:rPr>
              <w:t>same_invoice</w:t>
            </w:r>
          </w:p>
        </w:tc>
        <w:tc>
          <w:tcPr>
            <w:tcW w:type="dxa" w:w="4195"/>
          </w:tcPr>
          <w:p>
            <w:pPr>
              <w:spacing w:after="20" w:before="20" w:line="264" w:lineRule="auto"/>
            </w:pPr>
            <w:r>
              <w:rPr>
                <w:rFonts w:ascii="Arial" w:hAnsi="Arial"/>
                <w:sz w:val="19"/>
              </w:rPr>
              <w:t>total amount</w:t>
            </w:r>
          </w:p>
        </w:tc>
        <w:tc>
          <w:tcPr>
            <w:tcW w:type="dxa" w:w="3288"/>
          </w:tcPr>
          <w:p>
            <w:pPr>
              <w:spacing w:after="20" w:before="20" w:line="264" w:lineRule="auto"/>
            </w:pPr>
            <w:r>
              <w:rPr>
                <w:rFonts w:ascii="Arial" w:hAnsi="Arial"/>
                <w:sz w:val="19"/>
              </w:rPr>
              <w:t>Compare only when both documents cite the same invoice, or one is a settlement document for the other.</w:t>
            </w:r>
          </w:p>
        </w:tc>
      </w:tr>
    </w:tbl>
    <w:p>
      <w:pPr>
        <w:spacing w:after="40"/>
      </w:pPr>
    </w:p>
    <w:p>
      <w:pPr>
        <w:spacing w:after="160"/>
        <w:jc w:val="both"/>
      </w:pPr>
      <w:r>
        <w:t xml:space="preserve">Subject resolution is what makes the </w:t>
      </w:r>
      <w:r>
        <w:rPr>
          <w:rFonts w:ascii="Consolas" w:hAnsi="Consolas"/>
          <w:color w:val="381A89"/>
          <w:sz w:val="20"/>
        </w:rPr>
        <w:t>same_party</w:t>
      </w:r>
      <w:r>
        <w:t xml:space="preserve"> policy work: a date of birth on a hospital invoice belongs to the </w:t>
      </w:r>
      <w:r>
        <w:rPr>
          <w:i/>
        </w:rPr>
        <w:t>patient</w:t>
      </w:r>
      <w:r>
        <w:t xml:space="preserve">, not to the policyholder who submitted the claim. Same-person matching is deliberately strict and order-sensitive, because a shared surname is not identity — “Daniel Okonkwo” against “Amelia R. Okonkwo” scores 0.73 against a 0.80 threshold and is correctly treated as a different person. Skipped comparisons are still recorded and displayed with a human-readable reason, so the reviewer can see what was </w:t>
      </w:r>
      <w:r>
        <w:rPr>
          <w:i/>
        </w:rPr>
        <w:t>not</w:t>
      </w:r>
      <w:r>
        <w:t xml:space="preserve"> compared and why; that list is as much a part of the evidence as the mismatches.</w:t>
      </w:r>
    </w:p>
    <w:p>
      <w:pPr>
        <w:pStyle w:val="Heading2"/>
      </w:pPr>
      <w:r>
        <w:t>6.7  Synthetic-media analysis</w:t>
      </w:r>
    </w:p>
    <w:p>
      <w:pPr>
        <w:spacing w:after="160"/>
        <w:jc w:val="both"/>
      </w:pPr>
      <w:r>
        <w:t xml:space="preserve">The bundled provider is a deterministic, fully explainable eight-feature detector — </w:t>
      </w:r>
      <w:r>
        <w:rPr>
          <w:b/>
        </w:rPr>
        <w:t>not a trained classifier</w:t>
      </w:r>
      <w:r>
        <w:t>, and labelled as such everywhere its output appears. It measures spectral high-frequency share, noise-field uniformity, cross-channel detail correlation, edge-gradient kurtosis, capture-provenance completeness, text-rendering irregularity, block-variance entropy and colour-palette density, with published weights summing to one (Appendix A.7). Scores for a lossless page render are damped, since a vector-rendered page is not photographic.</w:t>
      </w:r>
    </w:p>
    <w:p>
      <w:pPr>
        <w:spacing w:after="160"/>
        <w:jc w:val="both"/>
      </w:pPr>
      <w:r>
        <w:t>Output is always a band: no significant indicators, weak, possible, or notable. There is no code path that can emit “definitely AI-generated” or a fraud verdict. The finding carries every raw measurement, the weight table, the damping factor and the provider's disclaimer. Consistently with its epistemic status, the synthetic-media category has the lowest ceiling in the risk model and a modest weight — a heuristic indicator should not on its own move a document into Review Recommended. The production seam is implemented and tested: it posts the page to a configured endpoint, expects a numeric likelihood with indicators, and raises rather than fabricating a score when the response is missing or malformed.</w:t>
      </w:r>
    </w:p>
    <w:p>
      <w:pPr>
        <w:pStyle w:val="Heading2"/>
      </w:pPr>
      <w:r>
        <w:t>6.8  Trusted-source verification</w:t>
      </w:r>
    </w:p>
    <w:p>
      <w:pPr>
        <w:spacing w:after="160"/>
        <w:jc w:val="both"/>
      </w:pPr>
      <w:r>
        <w:t>Six verification routes sit behind one provider interface: policy, provider accreditation, invoice, identity, vehicle and settlement. The document type determines the request plan — a medical invoice triggers policy, provider and invoice lookups; a repair estimate triggers vehicle and policy — and each request is built from the extracted fields, backfilled from the claim record where the document is silent. A missing primary reference skips the request with a stated reason rather than sending an empty query.</w:t>
      </w:r>
    </w:p>
    <w:p>
      <w:pPr>
        <w:spacing w:after="160"/>
        <w:jc w:val="both"/>
      </w:pPr>
      <w:r>
        <w:t xml:space="preserve">Each provider returns named checks, each with what the source record holds, what the document says, and whether they agree. </w:t>
      </w:r>
      <w:r>
        <w:rPr>
          <w:b/>
        </w:rPr>
        <w:t>Outcome grading distinguishes contradiction from missing detail</w:t>
      </w:r>
      <w:r>
        <w:t>, which is the distinction that matters to an investigator:</w:t>
      </w:r>
    </w:p>
    <w:p>
      <w:pPr>
        <w:keepNext/>
        <w:spacing w:after="60" w:before="120"/>
      </w:pPr>
      <w:r>
        <w:rPr>
          <w:rFonts w:ascii="Arial" w:hAnsi="Arial"/>
          <w:b/>
          <w:color w:val="381A89"/>
          <w:sz w:val="18"/>
        </w:rPr>
        <w:t xml:space="preserve">Table 15. </w:t>
      </w:r>
      <w:r>
        <w:rPr>
          <w:rFonts w:ascii="Arial" w:hAnsi="Arial"/>
          <w:color w:val="55516B"/>
          <w:sz w:val="18"/>
        </w:rPr>
        <w:t>Verification outcome grading.</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1701"/>
            <w:shd w:val="clear" w:color="auto" w:fill="2E1C6B"/>
          </w:tcPr>
          <w:p>
            <w:pPr>
              <w:spacing w:after="20" w:before="20" w:line="252" w:lineRule="auto"/>
            </w:pPr>
            <w:r>
              <w:rPr>
                <w:rFonts w:ascii="Arial" w:hAnsi="Arial"/>
                <w:b/>
                <w:color w:val="FFFFFF"/>
                <w:sz w:val="18"/>
              </w:rPr>
              <w:t>Outcome</w:t>
            </w:r>
          </w:p>
        </w:tc>
        <w:tc>
          <w:tcPr>
            <w:tcW w:type="dxa" w:w="7257"/>
            <w:shd w:val="clear" w:color="auto" w:fill="2E1C6B"/>
          </w:tcPr>
          <w:p>
            <w:pPr>
              <w:spacing w:after="20" w:before="20" w:line="252" w:lineRule="auto"/>
            </w:pPr>
            <w:r>
              <w:rPr>
                <w:rFonts w:ascii="Arial" w:hAnsi="Arial"/>
                <w:b/>
                <w:color w:val="FFFFFF"/>
                <w:sz w:val="18"/>
              </w:rPr>
              <w:t>Meaning</w:t>
            </w:r>
          </w:p>
        </w:tc>
      </w:tr>
      <w:tr>
        <w:trPr>
          <w:cantSplit/>
        </w:trPr>
        <w:tc>
          <w:tcPr>
            <w:tcW w:type="dxa" w:w="1701"/>
          </w:tcPr>
          <w:p>
            <w:pPr>
              <w:spacing w:after="20" w:before="20" w:line="264" w:lineRule="auto"/>
            </w:pPr>
            <w:r>
              <w:rPr>
                <w:rFonts w:ascii="Consolas" w:hAnsi="Consolas"/>
                <w:color w:val="381A89"/>
                <w:sz w:val="17"/>
              </w:rPr>
              <w:t>match</w:t>
            </w:r>
          </w:p>
        </w:tc>
        <w:tc>
          <w:tcPr>
            <w:tcW w:type="dxa" w:w="7257"/>
          </w:tcPr>
          <w:p>
            <w:pPr>
              <w:spacing w:after="20" w:before="20" w:line="264" w:lineRule="auto"/>
            </w:pPr>
            <w:r>
              <w:rPr>
                <w:rFonts w:ascii="Arial" w:hAnsi="Arial"/>
                <w:sz w:val="19"/>
              </w:rPr>
              <w:t>Every evaluable check agrees.</w:t>
            </w:r>
          </w:p>
        </w:tc>
      </w:tr>
      <w:tr>
        <w:trPr>
          <w:cantSplit/>
        </w:trPr>
        <w:tc>
          <w:tcPr>
            <w:tcW w:type="dxa" w:w="1701"/>
            <w:shd w:val="clear" w:color="auto" w:fill="F4F2FA"/>
          </w:tcPr>
          <w:p>
            <w:pPr>
              <w:spacing w:after="20" w:before="20" w:line="264" w:lineRule="auto"/>
            </w:pPr>
            <w:r>
              <w:rPr>
                <w:rFonts w:ascii="Consolas" w:hAnsi="Consolas"/>
                <w:color w:val="381A89"/>
                <w:sz w:val="17"/>
              </w:rPr>
              <w:t>partial_match</w:t>
            </w:r>
          </w:p>
        </w:tc>
        <w:tc>
          <w:tcPr>
            <w:tcW w:type="dxa" w:w="7257"/>
            <w:shd w:val="clear" w:color="auto" w:fill="F4F2FA"/>
          </w:tcPr>
          <w:p>
            <w:pPr>
              <w:spacing w:after="20" w:before="20" w:line="264" w:lineRule="auto"/>
            </w:pPr>
            <w:r>
              <w:rPr>
                <w:rFonts w:ascii="Arial" w:hAnsi="Arial"/>
                <w:sz w:val="19"/>
              </w:rPr>
              <w:t>A peripheral check disagrees, or no check could be evaluated.</w:t>
            </w:r>
          </w:p>
        </w:tc>
      </w:tr>
      <w:tr>
        <w:trPr>
          <w:cantSplit/>
        </w:trPr>
        <w:tc>
          <w:tcPr>
            <w:tcW w:type="dxa" w:w="1701"/>
          </w:tcPr>
          <w:p>
            <w:pPr>
              <w:spacing w:after="20" w:before="20" w:line="264" w:lineRule="auto"/>
            </w:pPr>
            <w:r>
              <w:rPr>
                <w:rFonts w:ascii="Consolas" w:hAnsi="Consolas"/>
                <w:color w:val="381A89"/>
                <w:sz w:val="17"/>
              </w:rPr>
              <w:t>mismatch</w:t>
            </w:r>
          </w:p>
        </w:tc>
        <w:tc>
          <w:tcPr>
            <w:tcW w:type="dxa" w:w="7257"/>
          </w:tcPr>
          <w:p>
            <w:pPr>
              <w:spacing w:after="20" w:before="20" w:line="264" w:lineRule="auto"/>
            </w:pPr>
            <w:r>
              <w:rPr>
                <w:rFonts w:ascii="Arial" w:hAnsi="Arial"/>
                <w:sz w:val="19"/>
              </w:rPr>
              <w:t xml:space="preserve">A </w:t>
            </w:r>
            <w:r>
              <w:rPr>
                <w:rFonts w:ascii="Arial" w:hAnsi="Arial"/>
                <w:b/>
                <w:sz w:val="19"/>
              </w:rPr>
              <w:t>critical</w:t>
            </w:r>
            <w:r>
              <w:rPr>
                <w:rFonts w:ascii="Arial" w:hAnsi="Arial"/>
                <w:sz w:val="19"/>
              </w:rPr>
              <w:t xml:space="preserve"> check disagrees — the record exists and does not support the document. Examples: the policy is not active, the service date falls outside cover, the amount disagrees with the issuer's record, the identity document is reported lost, the vehicle carries a write-off marker.</w:t>
            </w:r>
          </w:p>
        </w:tc>
      </w:tr>
      <w:tr>
        <w:trPr>
          <w:cantSplit/>
        </w:trPr>
        <w:tc>
          <w:tcPr>
            <w:tcW w:type="dxa" w:w="1701"/>
            <w:shd w:val="clear" w:color="auto" w:fill="F4F2FA"/>
          </w:tcPr>
          <w:p>
            <w:pPr>
              <w:spacing w:after="20" w:before="20" w:line="264" w:lineRule="auto"/>
            </w:pPr>
            <w:r>
              <w:rPr>
                <w:rFonts w:ascii="Consolas" w:hAnsi="Consolas"/>
                <w:color w:val="381A89"/>
                <w:sz w:val="17"/>
              </w:rPr>
              <w:t>not_found</w:t>
            </w:r>
          </w:p>
        </w:tc>
        <w:tc>
          <w:tcPr>
            <w:tcW w:type="dxa" w:w="7257"/>
            <w:shd w:val="clear" w:color="auto" w:fill="F4F2FA"/>
          </w:tcPr>
          <w:p>
            <w:pPr>
              <w:spacing w:after="20" w:before="20" w:line="264" w:lineRule="auto"/>
            </w:pPr>
            <w:r>
              <w:rPr>
                <w:rFonts w:ascii="Arial" w:hAnsi="Arial"/>
                <w:sz w:val="19"/>
              </w:rPr>
              <w:t>No such record. Informative, but not a contradiction.</w:t>
            </w:r>
          </w:p>
        </w:tc>
      </w:tr>
      <w:tr>
        <w:trPr>
          <w:cantSplit/>
        </w:trPr>
        <w:tc>
          <w:tcPr>
            <w:tcW w:type="dxa" w:w="1701"/>
          </w:tcPr>
          <w:p>
            <w:pPr>
              <w:spacing w:after="20" w:before="20" w:line="264" w:lineRule="auto"/>
            </w:pPr>
            <w:r>
              <w:rPr>
                <w:rFonts w:ascii="Consolas" w:hAnsi="Consolas"/>
                <w:color w:val="381A89"/>
                <w:sz w:val="17"/>
              </w:rPr>
              <w:t>unavailable</w:t>
            </w:r>
          </w:p>
        </w:tc>
        <w:tc>
          <w:tcPr>
            <w:tcW w:type="dxa" w:w="7257"/>
          </w:tcPr>
          <w:p>
            <w:pPr>
              <w:spacing w:after="20" w:before="20" w:line="264" w:lineRule="auto"/>
            </w:pPr>
            <w:r>
              <w:rPr>
                <w:rFonts w:ascii="Arial" w:hAnsi="Arial"/>
                <w:sz w:val="19"/>
              </w:rPr>
              <w:t xml:space="preserve">The provider could not be reached. </w:t>
            </w:r>
            <w:r>
              <w:rPr>
                <w:rFonts w:ascii="Arial" w:hAnsi="Arial"/>
                <w:b/>
                <w:sz w:val="19"/>
              </w:rPr>
              <w:t>Nothing is inferred</w:t>
            </w:r>
            <w:r>
              <w:rPr>
                <w:rFonts w:ascii="Arial" w:hAnsi="Arial"/>
                <w:sz w:val="19"/>
              </w:rPr>
              <w:t xml:space="preserve"> and the stage is recorded as degraded.</w:t>
            </w:r>
          </w:p>
        </w:tc>
      </w:tr>
    </w:tbl>
    <w:p>
      <w:pPr>
        <w:spacing w:after="40"/>
      </w:pPr>
    </w:p>
    <w:p>
      <w:pPr>
        <w:spacing w:after="160"/>
        <w:jc w:val="both"/>
      </w:pPr>
      <w:r>
        <w:t>The bundled registry describes a fictional insurer, hospitals and authorities, and deliberately contains contradictions — a lapsed policy, an unaccredited clinic, an invoice whose issuer total differs from the document, a passport reported lost, a vehicle with a write-off marker, a returned payment — because a verification layer that always answers yes demonstrates nothing. Every demonstration response is labelled as such at five layers, and the provider mode is stored on the request itself, so a report generated today cannot be mistaken for a real confirmation when it is read next year.</w:t>
      </w:r>
    </w:p>
    <w:p>
      <w:pPr>
        <w:pStyle w:val="Heading2"/>
      </w:pPr>
      <w:r>
        <w:t>6.9  The risk engine</w:t>
      </w:r>
    </w:p>
    <w:p>
      <w:pPr>
        <w:spacing w:after="160"/>
        <w:jc w:val="both"/>
      </w:pPr>
      <w:r>
        <w:t>The engine is a pure function of the findings, the verification outcomes, the rule weights and the stage-coverage map. Its design is documented in Section 5.5; three implementation properties are worth recording here.</w:t>
      </w:r>
    </w:p>
    <w:p>
      <w:pPr>
        <w:pStyle w:val="ListBullet"/>
        <w:spacing w:after="80" w:line="288" w:lineRule="auto"/>
        <w:ind w:left="397"/>
      </w:pPr>
      <w:r>
        <w:rPr>
          <w:b/>
        </w:rPr>
        <w:t>Human decisions are first-class inputs.</w:t>
      </w:r>
      <w:r>
        <w:t xml:space="preserve"> A dismissed finding is excluded and the count of exclusions is returned with the score; a confirmed finding has its confidence promoted to at least 0.95 and its source recorded as human-confirmed. Recomputation after review is an explicit endpoint, so a reviewer sees the score change as a consequence of their own decision rather than as a background effect.</w:t>
      </w:r>
    </w:p>
    <w:p>
      <w:pPr>
        <w:pStyle w:val="ListBullet"/>
        <w:spacing w:after="80" w:line="288" w:lineRule="auto"/>
        <w:ind w:left="397"/>
      </w:pPr>
      <w:r>
        <w:rPr>
          <w:b/>
        </w:rPr>
        <w:t>Degraded coverage is disclosed in the explanation.</w:t>
      </w:r>
      <w:r>
        <w:t xml:space="preserve"> If the recognition stage was unavailable, the assessment says so, and states that findings from the dependent areas are absent by omission. This is the difference between a low score that means “nothing was found” and one that means “little could be looked at”.</w:t>
      </w:r>
    </w:p>
    <w:p>
      <w:pPr>
        <w:pStyle w:val="ListBullet"/>
        <w:spacing w:after="80" w:line="288" w:lineRule="auto"/>
        <w:ind w:left="397"/>
      </w:pPr>
      <w:r>
        <w:rPr>
          <w:b/>
        </w:rPr>
        <w:t>The model is data.</w:t>
      </w:r>
      <w:r>
        <w:t xml:space="preserve"> Weights, severities, rule parameters, category ceilings and band thresholds are rows an administrator can edit, and every edit is audited. The engine publishes the weights version with each assessment, so an old report remains interpretable against the model that produced it.</w:t>
      </w:r>
    </w:p>
    <w:p>
      <w:pPr>
        <w:pStyle w:val="Heading2"/>
      </w:pPr>
      <w:r>
        <w:t>6.10  Evidence reporting</w:t>
      </w:r>
    </w:p>
    <w:p>
      <w:pPr>
        <w:spacing w:after="160"/>
        <w:jc w:val="both"/>
      </w:pPr>
      <w:r>
        <w:t>The PDF evidence report is generated server-side in ten sections: document information including the ingest SHA-256, claim information, processing information with the full stage table and provider snapshot, extracted information with line items, findings by family each tagged as measured, rule, model or human, synthetic-media detail with its provider and disclaimer, trusted-source verification with expected against actual and the demonstration marker where applicable, the risk composition with every signal's weight, confidence and contribution plus the published formula, the human review actions with who, when, what and why, and an audit-trail extract with the chain state. The report's own SHA-256 and the document's SHA-256 are both recorded on the report row, and the report snapshots a chain verification at the moment of generation.</w:t>
      </w:r>
    </w:p>
    <w:p>
      <w:pPr>
        <w:pStyle w:val="Heading2"/>
      </w:pPr>
      <w:r>
        <w:t>6.11  The investigator console</w:t>
      </w:r>
    </w:p>
    <w:p>
      <w:pPr>
        <w:spacing w:after="160"/>
        <w:jc w:val="both"/>
      </w:pPr>
      <w:r>
        <w:t>Twelve authenticated screens are gated by the same permission matrix the API enforces; an item a role cannot use is not rendered. The dashboard opens the working day with queue health, risk distribution, daily intake banded by risk, findings by detector family split into awaiting and adjudicated, verification outcomes, and the cases that need a person next.</w:t>
      </w:r>
    </w:p>
    <w:p>
      <w:pPr>
        <w:keepNext/>
        <w:spacing w:before="120" w:after="60"/>
        <w:jc w:val="center"/>
      </w:pPr>
      <w:r>
        <w:drawing>
          <wp:inline xmlns:a="http://schemas.openxmlformats.org/drawingml/2006/main" xmlns:pic="http://schemas.openxmlformats.org/drawingml/2006/picture">
            <wp:extent cx="5688000" cy="3555000"/>
            <wp:docPr id="1" name="Picture 1"/>
            <wp:cNvGraphicFramePr>
              <a:graphicFrameLocks noChangeAspect="1"/>
            </wp:cNvGraphicFramePr>
            <a:graphic>
              <a:graphicData uri="http://schemas.openxmlformats.org/drawingml/2006/picture">
                <pic:pic>
                  <pic:nvPicPr>
                    <pic:cNvPr id="0" name="fig-dashboard.png"/>
                    <pic:cNvPicPr/>
                  </pic:nvPicPr>
                  <pic:blipFill>
                    <a:blip r:embed="rId11"/>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1. </w:t>
      </w:r>
      <w:r>
        <w:rPr>
          <w:rFonts w:ascii="Arial" w:hAnsi="Arial"/>
          <w:color w:val="55516B"/>
          <w:sz w:val="18"/>
        </w:rPr>
        <w:t>The operations dashboard. Counters are operational rather than decorative; every chart can be switched to the table of rows behind it.</w:t>
      </w:r>
    </w:p>
    <w:p>
      <w:pPr>
        <w:spacing w:after="160"/>
        <w:jc w:val="both"/>
      </w:pPr>
      <w:r>
        <w:t>The document queue is the triage surface: reference, filename, detected type with the classifier's confidence, claim, risk band with score, finding counts, pipeline state and human verdict, filterable by band, status, type and verdict and searchable by reference, filename or SHA-256.</w:t>
      </w:r>
    </w:p>
    <w:p>
      <w:pPr>
        <w:keepNext/>
        <w:spacing w:before="120" w:after="60"/>
        <w:jc w:val="center"/>
      </w:pPr>
      <w:r>
        <w:drawing>
          <wp:inline xmlns:a="http://schemas.openxmlformats.org/drawingml/2006/main" xmlns:pic="http://schemas.openxmlformats.org/drawingml/2006/picture">
            <wp:extent cx="5688000" cy="3555000"/>
            <wp:docPr id="2" name="Picture 2"/>
            <wp:cNvGraphicFramePr>
              <a:graphicFrameLocks noChangeAspect="1"/>
            </wp:cNvGraphicFramePr>
            <a:graphic>
              <a:graphicData uri="http://schemas.openxmlformats.org/drawingml/2006/picture">
                <pic:pic>
                  <pic:nvPicPr>
                    <pic:cNvPr id="0" name="fig-documents.png"/>
                    <pic:cNvPicPr/>
                  </pic:nvPicPr>
                  <pic:blipFill>
                    <a:blip r:embed="rId12"/>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2. </w:t>
      </w:r>
      <w:r>
        <w:rPr>
          <w:rFonts w:ascii="Arial" w:hAnsi="Arial"/>
          <w:color w:val="55516B"/>
          <w:sz w:val="18"/>
        </w:rPr>
        <w:t>The document queue. The risk band is always shown with its name and its score, never as a colour alone.</w:t>
      </w:r>
    </w:p>
    <w:p>
      <w:pPr>
        <w:spacing w:after="160"/>
        <w:jc w:val="both"/>
      </w:pPr>
      <w:r>
        <w:t>The workstation is where the product's central claim is made good: every panel on the right can box the pixels it is discussing on the left. The overview states the band, the score against the band thresholds, a plain-language explanation naming the principal contributors, and the interpretation note; the “why this score” list gives each signal's contribution with a control that highlights it on the page.</w:t>
      </w:r>
    </w:p>
    <w:p>
      <w:pPr>
        <w:keepNext/>
        <w:spacing w:before="120" w:after="60"/>
        <w:jc w:val="center"/>
      </w:pPr>
      <w:r>
        <w:drawing>
          <wp:inline xmlns:a="http://schemas.openxmlformats.org/drawingml/2006/main" xmlns:pic="http://schemas.openxmlformats.org/drawingml/2006/picture">
            <wp:extent cx="5688000" cy="3555000"/>
            <wp:docPr id="3" name="Picture 3"/>
            <wp:cNvGraphicFramePr>
              <a:graphicFrameLocks noChangeAspect="1"/>
            </wp:cNvGraphicFramePr>
            <a:graphic>
              <a:graphicData uri="http://schemas.openxmlformats.org/drawingml/2006/picture">
                <pic:pic>
                  <pic:nvPicPr>
                    <pic:cNvPr id="0" name="fig-workstation-seeded.png"/>
                    <pic:cNvPicPr/>
                  </pic:nvPicPr>
                  <pic:blipFill>
                    <a:blip r:embed="rId13"/>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3. </w:t>
      </w:r>
      <w:r>
        <w:rPr>
          <w:rFonts w:ascii="Arial" w:hAnsi="Arial"/>
          <w:color w:val="55516B"/>
          <w:sz w:val="18"/>
        </w:rPr>
        <w:t>The investigation workstation on a document with an edited total. The printed total of $8,500.00 is boxed on the page; the subtotal of its own line items is $6,500.00; the issuer's record and the claim form both state 6,500.00.</w:t>
      </w:r>
    </w:p>
    <w:p>
      <w:pPr>
        <w:spacing w:after="160"/>
        <w:jc w:val="both"/>
      </w:pPr>
      <w:r>
        <w:t>Eight further panels carry the recognition detail and extracted fields, the forensic findings with the full metadata table and the raw measurements including metrics that did not fire, the synthetic-media indicators with their contributions, the tampering correlation with the detectors that agreed, the consistency rules with passes and non-applicable outcomes, the cross-document matrix including the comparisons deliberately not made, the verification checks with their disclaimers, and the document's audit trail.</w:t>
      </w:r>
    </w:p>
    <w:p>
      <w:pPr>
        <w:keepNext/>
        <w:spacing w:before="120" w:after="60"/>
        <w:jc w:val="center"/>
      </w:pPr>
      <w:r>
        <w:drawing>
          <wp:inline xmlns:a="http://schemas.openxmlformats.org/drawingml/2006/main" xmlns:pic="http://schemas.openxmlformats.org/drawingml/2006/picture">
            <wp:extent cx="5688000" cy="3555000"/>
            <wp:docPr id="4" name="Picture 4"/>
            <wp:cNvGraphicFramePr>
              <a:graphicFrameLocks noChangeAspect="1"/>
            </wp:cNvGraphicFramePr>
            <a:graphic>
              <a:graphicData uri="http://schemas.openxmlformats.org/drawingml/2006/picture">
                <pic:pic>
                  <pic:nvPicPr>
                    <pic:cNvPr id="0" name="fig-tab-consistency.png"/>
                    <pic:cNvPicPr/>
                  </pic:nvPicPr>
                  <pic:blipFill>
                    <a:blip r:embed="rId14"/>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4. </w:t>
      </w:r>
      <w:r>
        <w:rPr>
          <w:rFonts w:ascii="Arial" w:hAnsi="Arial"/>
          <w:color w:val="55516B"/>
          <w:sz w:val="18"/>
        </w:rPr>
        <w:t>The consistency panel. Passed and not-applicable checks are displayed alongside failures, so a clean result is evidence rather than an absence.</w:t>
      </w:r>
    </w:p>
    <w:p>
      <w:pPr>
        <w:spacing w:after="160"/>
        <w:jc w:val="both"/>
      </w:pPr>
      <w:r>
        <w:t>Adjudication is deliberately effortful. Confirming or dismissing a finding opens a dialog that states the consequence and requires a written reason of at least ten characters, enforced by the server as well as the interface; the reason is recorded against the reviewer's name in the audit trail and survives reprocessing. A claim decision requires a longer reason, and the server refuses an approval while any high or critical finding remains unadjudicated — machine findings must not become a decision by default.</w:t>
      </w:r>
    </w:p>
    <w:p>
      <w:pPr>
        <w:spacing w:after="160"/>
        <w:jc w:val="both"/>
      </w:pPr>
      <w:r>
        <w:t xml:space="preserve">The administration screens make the model inspectable: the rules screen shows the category ceilings, the band thresholds and every rule with its severity and weight, editable in place by an administrator and read-only for everyone else; the integrations screen lists each provider's mode and the </w:t>
      </w:r>
      <w:r>
        <w:rPr>
          <w:i/>
        </w:rPr>
        <w:t>names</w:t>
      </w:r>
      <w:r>
        <w:t xml:space="preserve"> of the environment variables it needs, never their values; the audit screen verifies the hash chain at the top of the page and names the first divergence if there is one.</w:t>
      </w:r>
    </w:p>
    <w:p>
      <w:pPr>
        <w:keepNext/>
        <w:spacing w:before="120" w:after="60"/>
        <w:jc w:val="center"/>
      </w:pPr>
      <w:r>
        <w:drawing>
          <wp:inline xmlns:a="http://schemas.openxmlformats.org/drawingml/2006/main" xmlns:pic="http://schemas.openxmlformats.org/drawingml/2006/picture">
            <wp:extent cx="5688000" cy="3555000"/>
            <wp:docPr id="5" name="Picture 5"/>
            <wp:cNvGraphicFramePr>
              <a:graphicFrameLocks noChangeAspect="1"/>
            </wp:cNvGraphicFramePr>
            <a:graphic>
              <a:graphicData uri="http://schemas.openxmlformats.org/drawingml/2006/picture">
                <pic:pic>
                  <pic:nvPicPr>
                    <pic:cNvPr id="0" name="fig-rules.png"/>
                    <pic:cNvPicPr/>
                  </pic:nvPicPr>
                  <pic:blipFill>
                    <a:blip r:embed="rId15"/>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5. </w:t>
      </w:r>
      <w:r>
        <w:rPr>
          <w:rFonts w:ascii="Arial" w:hAnsi="Arial"/>
          <w:color w:val="55516B"/>
          <w:sz w:val="18"/>
        </w:rPr>
        <w:t>The detection-rules screen. Thresholds are configuration held in the database, not constants in code, and every change is audited.</w:t>
      </w:r>
    </w:p>
    <w:p>
      <w:pPr>
        <w:pStyle w:val="Heading2"/>
      </w:pPr>
      <w:r>
        <w:t>6.12  Interface revision</w:t>
      </w:r>
    </w:p>
    <w:p>
      <w:pPr>
        <w:spacing w:after="160"/>
        <w:jc w:val="both"/>
      </w:pPr>
      <w:r>
        <w:t>A late revision addressed three defects in the console's presentation layer that had accumulated during feature work. They are recorded here because two of them were accessibility defects rather than matters of taste.</w:t>
      </w:r>
    </w:p>
    <w:p>
      <w:pPr>
        <w:pStyle w:val="ListBullet"/>
        <w:spacing w:after="80" w:line="288" w:lineRule="auto"/>
        <w:ind w:left="397"/>
      </w:pPr>
      <w:r>
        <w:rPr>
          <w:b/>
        </w:rPr>
        <w:t>Typeface.</w:t>
      </w:r>
      <w:r>
        <w:t xml:space="preserve"> The Tailwind configuration referenced font-family CSS variables that were never defined, so the entire console had been rendering in whichever interface font the operating system supplied. A self-hosted variable typeface (Geist Sans and Geist Mono, shipped as local font files rather than fetched from a content delivery network) is now declared and loaded, which also removes a third-party request from a page that displays medical documents.</w:t>
      </w:r>
    </w:p>
    <w:p>
      <w:pPr>
        <w:pStyle w:val="ListBullet"/>
        <w:spacing w:after="80" w:line="288" w:lineRule="auto"/>
        <w:ind w:left="397"/>
      </w:pPr>
      <w:r>
        <w:rPr>
          <w:b/>
        </w:rPr>
        <w:t>Type scale.</w:t>
      </w:r>
      <w:r>
        <w:t xml:space="preserve"> Body text throughout the console was 11 px, below a reasonable floor for all-day reading. The two smallest steps of the scale were re-stepped to 12 px and 13 px, which lifted every existing usage at once rather than requiring sixty files to be edited, and a proper heading ramp with optical letter-spacing was added.</w:t>
      </w:r>
    </w:p>
    <w:p>
      <w:pPr>
        <w:pStyle w:val="ListBullet"/>
        <w:spacing w:after="80" w:line="288" w:lineRule="auto"/>
        <w:ind w:left="397"/>
      </w:pPr>
      <w:r>
        <w:rPr>
          <w:b/>
        </w:rPr>
        <w:t>Palette.</w:t>
      </w:r>
      <w:r>
        <w:t xml:space="preserve"> The navy-blue enterprise palette was replaced by a single tinted neutral ramp with an iris accent, and the three risk colours were re-tuned. The re-tuning was validated computationally rather than by eye (Section 7.4): all three band colours now exceed the 4.5:1 contrast requirement for text on the card surface, and the triad's worst pair separation under simulated deuteranopia improved from ΔE 2.9 to ΔE 9.5 against a floor of 8.</w:t>
      </w:r>
    </w:p>
    <w:p>
      <w:pPr>
        <w:spacing w:after="160"/>
        <w:jc w:val="both"/>
      </w:pPr>
      <w:r>
        <w:t>The sign-in screen was also reworked, and the demonstration-account panel changed to list role names and email addresses only. Previously the shared demonstration password was printed on the page and pre-filled into the password field; it is now neither shown nor pre-filled, and selecting a role fills the email field alone. The change is small but it removes a habit — a credential displayed on a sign-in page — that has no place in a system holding medical records, even in a demonstration deployment.</w:t>
      </w:r>
    </w:p>
    <w:p>
      <w:pPr>
        <w:keepNext/>
        <w:spacing w:before="120" w:after="60"/>
        <w:jc w:val="center"/>
      </w:pPr>
      <w:r>
        <w:drawing>
          <wp:inline xmlns:a="http://schemas.openxmlformats.org/drawingml/2006/main" xmlns:pic="http://schemas.openxmlformats.org/drawingml/2006/picture">
            <wp:extent cx="5688000" cy="3555000"/>
            <wp:docPr id="6" name="Picture 6"/>
            <wp:cNvGraphicFramePr>
              <a:graphicFrameLocks noChangeAspect="1"/>
            </wp:cNvGraphicFramePr>
            <a:graphic>
              <a:graphicData uri="http://schemas.openxmlformats.org/drawingml/2006/picture">
                <pic:pic>
                  <pic:nvPicPr>
                    <pic:cNvPr id="0" name="fig-login.png"/>
                    <pic:cNvPicPr/>
                  </pic:nvPicPr>
                  <pic:blipFill>
                    <a:blip r:embed="rId16"/>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6. </w:t>
      </w:r>
      <w:r>
        <w:rPr>
          <w:rFonts w:ascii="Arial" w:hAnsi="Arial"/>
          <w:color w:val="55516B"/>
          <w:sz w:val="18"/>
        </w:rPr>
        <w:t>The sign-in screen as deployed. No password is displayed or pre-filled; the demonstration panel lists role names and addresses only.</w:t>
      </w:r>
    </w:p>
    <w:p>
      <w:r>
        <w:br w:type="page"/>
      </w:r>
    </w:p>
    <w:p>
      <w:pPr>
        <w:pStyle w:val="Heading1"/>
      </w:pPr>
      <w:r>
        <w:t>7  Testing and Validation</w:t>
      </w:r>
    </w:p>
    <w:p>
      <w:pPr>
        <w:pStyle w:val="Heading2"/>
      </w:pPr>
      <w:r>
        <w:t>7.1  Test strategy</w:t>
      </w:r>
    </w:p>
    <w:p>
      <w:pPr>
        <w:spacing w:after="160"/>
        <w:jc w:val="both"/>
      </w:pPr>
      <w:r>
        <w:t xml:space="preserve">The suite runs against a </w:t>
      </w:r>
      <w:r>
        <w:rPr>
          <w:b/>
        </w:rPr>
        <w:t>real PostgreSQL database and real object storage</w:t>
      </w:r>
      <w:r>
        <w:t>, not against mocks. That is a deliberate and slightly expensive choice, justified by what is actually worth testing in this system: schema constraints, the audit hash chain, storage permissions and scope isolation, and the analysis pipeline end to end. None of those is meaningfully exercised against a substitute. A test database is created automatically, its schema is rebuilt for the session, and reference data is seeded; only external providers are substituted, and the demonstration documents used as fixtures are generated by the same code that produces the sample corpus, with fixed seeds.</w:t>
      </w:r>
    </w:p>
    <w:p>
      <w:pPr>
        <w:spacing w:after="160"/>
        <w:jc w:val="both"/>
      </w:pPr>
      <w:r>
        <w:t xml:space="preserve">Four principles shaped the test content. Tests assert </w:t>
      </w:r>
      <w:r>
        <w:rPr>
          <w:b/>
        </w:rPr>
        <w:t>wording</w:t>
      </w:r>
      <w:r>
        <w:t xml:space="preserve"> as well as behaviour, because the platform's central commitments are linguistic: there are tests that the risk explanation never asserts a probability of fraud and that synthetic-media output is always a band. Tests assert </w:t>
      </w:r>
      <w:r>
        <w:rPr>
          <w:b/>
        </w:rPr>
        <w:t>negative</w:t>
      </w:r>
      <w:r>
        <w:t xml:space="preserve"> behaviour: that unrelated invoices are </w:t>
      </w:r>
      <w:r>
        <w:rPr>
          <w:i/>
        </w:rPr>
        <w:t>not</w:t>
      </w:r>
      <w:r>
        <w:t xml:space="preserve"> compared on total, that a dependant's date of birth is </w:t>
      </w:r>
      <w:r>
        <w:rPr>
          <w:i/>
        </w:rPr>
        <w:t>not</w:t>
      </w:r>
      <w:r>
        <w:t xml:space="preserve"> compared against the policyholder's, that a rule returns not-applicable rather than passing when its inputs are absent. Tests assert </w:t>
      </w:r>
      <w:r>
        <w:rPr>
          <w:b/>
        </w:rPr>
        <w:t>degradation</w:t>
      </w:r>
      <w:r>
        <w:t xml:space="preserve">: that a provider outage marks one stage and preserves the document. And tests assert </w:t>
      </w:r>
      <w:r>
        <w:rPr>
          <w:b/>
        </w:rPr>
        <w:t>authorisation per role and per endpoint</w:t>
      </w:r>
      <w:r>
        <w:t>, because a permission matrix that is not tested is a permission matrix that is wrong.</w:t>
      </w:r>
    </w:p>
    <w:p>
      <w:pPr>
        <w:pStyle w:val="Heading2"/>
      </w:pPr>
      <w:r>
        <w:t>7.2  Automated test suite</w:t>
      </w:r>
    </w:p>
    <w:p>
      <w:pPr>
        <w:spacing w:after="160"/>
        <w:jc w:val="both"/>
      </w:pPr>
      <w:r>
        <w:t xml:space="preserve">The suite contains 155 test functions across 10 files, which expand with parametrisation to </w:t>
      </w:r>
      <w:r>
        <w:rPr>
          <w:b/>
        </w:rPr>
        <w:t>174 executed tests</w:t>
      </w:r>
      <w:r>
        <w:t>. The complete run as submitted:</w:t>
      </w:r>
    </w:p>
    <w:tbl>
      <w:tblPr>
        <w:tblW w:type="auto" w:w="0"/>
        <w:jc w:val="center"/>
        <w:tblLook w:firstColumn="1" w:firstRow="1" w:lastColumn="0" w:lastRow="0" w:noHBand="0" w:noVBand="1" w:val="04A0"/>
      </w:tblPr>
      <w:tblGrid>
        <w:gridCol w:w="9185"/>
      </w:tblGrid>
      <w:tr>
        <w:tc>
          <w:tcPr>
            <w:tcW w:type="dxa" w:w="9184"/>
            <w:tcBorders>
              <w:left w:val="single" w:sz="18" w:space="0" w:color="2E1C6B"/>
            </w:tcBorders>
            <w:shd w:val="clear" w:color="auto" w:fill="F2F0F8"/>
          </w:tcPr>
          <w:p>
            <w:pPr>
              <w:spacing w:after="0" w:line="259" w:lineRule="auto"/>
            </w:pPr>
            <w:r/>
            <w:r>
              <w:rPr>
                <w:rFonts w:ascii="Consolas" w:hAnsi="Consolas"/>
                <w:color w:val="1A1726"/>
                <w:sz w:val="18"/>
              </w:rPr>
              <w:t xml:space="preserve">        $ cd backend &amp;&amp; pytest</w:t>
            </w:r>
          </w:p>
          <w:p>
            <w:pPr>
              <w:spacing w:after="0" w:line="259" w:lineRule="auto"/>
            </w:pPr>
            <w:r>
              <w:rPr>
                <w:rFonts w:ascii="Consolas" w:hAnsi="Consolas"/>
                <w:color w:val="1A1726"/>
                <w:sz w:val="18"/>
              </w:rPr>
              <w:t xml:space="preserve">        ........................................................................ [ 41%]</w:t>
            </w:r>
          </w:p>
          <w:p>
            <w:pPr>
              <w:spacing w:after="0" w:line="259" w:lineRule="auto"/>
            </w:pPr>
            <w:r>
              <w:rPr>
                <w:rFonts w:ascii="Consolas" w:hAnsi="Consolas"/>
                <w:color w:val="1A1726"/>
                <w:sz w:val="18"/>
              </w:rPr>
              <w:t xml:space="preserve">        ........................................................................ [ 82%]</w:t>
            </w:r>
          </w:p>
          <w:p>
            <w:pPr>
              <w:spacing w:after="0" w:line="259" w:lineRule="auto"/>
            </w:pPr>
            <w:r>
              <w:rPr>
                <w:rFonts w:ascii="Consolas" w:hAnsi="Consolas"/>
                <w:color w:val="1A1726"/>
                <w:sz w:val="18"/>
              </w:rPr>
              <w:t xml:space="preserve">        ..............................                                           [100%]</w:t>
            </w:r>
          </w:p>
          <w:p>
            <w:pPr>
              <w:spacing w:after="0" w:line="259" w:lineRule="auto"/>
            </w:pPr>
            <w:r>
              <w:rPr>
                <w:rFonts w:ascii="Consolas" w:hAnsi="Consolas"/>
                <w:color w:val="1A1726"/>
                <w:sz w:val="18"/>
              </w:rPr>
              <w:t xml:space="preserve">        174 passed in 157.78s (0:02:37)</w:t>
            </w:r>
          </w:p>
          <w:p>
            <w:pPr>
              <w:spacing w:after="0" w:line="259" w:lineRule="auto"/>
            </w:pPr>
            <w:r>
              <w:rPr>
                <w:rFonts w:ascii="Consolas" w:hAnsi="Consolas"/>
                <w:color w:val="1A1726"/>
                <w:sz w:val="18"/>
              </w:rPr>
              <w:t xml:space="preserve">        </w:t>
            </w:r>
          </w:p>
        </w:tc>
      </w:tr>
    </w:tbl>
    <w:p>
      <w:pPr>
        <w:spacing w:after="80"/>
      </w:pPr>
    </w:p>
    <w:p>
      <w:pPr>
        <w:keepNext/>
        <w:spacing w:after="60" w:before="120"/>
      </w:pPr>
      <w:r>
        <w:rPr>
          <w:rFonts w:ascii="Arial" w:hAnsi="Arial"/>
          <w:b/>
          <w:color w:val="381A89"/>
          <w:sz w:val="18"/>
        </w:rPr>
        <w:t xml:space="preserve">Table 16. </w:t>
      </w:r>
      <w:r>
        <w:rPr>
          <w:rFonts w:ascii="Arial" w:hAnsi="Arial"/>
          <w:color w:val="55516B"/>
          <w:sz w:val="18"/>
        </w:rPr>
        <w:t>Test suite composition and coverage areas. Appendix D lists the assertions per file.</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2551"/>
            <w:shd w:val="clear" w:color="auto" w:fill="2E1C6B"/>
          </w:tcPr>
          <w:p>
            <w:pPr>
              <w:spacing w:after="20" w:before="20" w:line="252" w:lineRule="auto"/>
            </w:pPr>
            <w:r>
              <w:rPr>
                <w:rFonts w:ascii="Arial" w:hAnsi="Arial"/>
                <w:b/>
                <w:color w:val="FFFFFF"/>
                <w:sz w:val="17"/>
              </w:rPr>
              <w:t>File</w:t>
            </w:r>
          </w:p>
        </w:tc>
        <w:tc>
          <w:tcPr>
            <w:tcW w:type="dxa" w:w="737"/>
            <w:shd w:val="clear" w:color="auto" w:fill="2E1C6B"/>
          </w:tcPr>
          <w:p>
            <w:pPr>
              <w:spacing w:after="20" w:before="20" w:line="252" w:lineRule="auto"/>
            </w:pPr>
            <w:r>
              <w:rPr>
                <w:rFonts w:ascii="Arial" w:hAnsi="Arial"/>
                <w:b/>
                <w:color w:val="FFFFFF"/>
                <w:sz w:val="17"/>
              </w:rPr>
              <w:t>Tests</w:t>
            </w:r>
          </w:p>
        </w:tc>
        <w:tc>
          <w:tcPr>
            <w:tcW w:type="dxa" w:w="5669"/>
            <w:shd w:val="clear" w:color="auto" w:fill="2E1C6B"/>
          </w:tcPr>
          <w:p>
            <w:pPr>
              <w:spacing w:after="20" w:before="20" w:line="252" w:lineRule="auto"/>
            </w:pPr>
            <w:r>
              <w:rPr>
                <w:rFonts w:ascii="Arial" w:hAnsi="Arial"/>
                <w:b/>
                <w:color w:val="FFFFFF"/>
                <w:sz w:val="17"/>
              </w:rPr>
              <w:t>Area covered</w:t>
            </w:r>
          </w:p>
        </w:tc>
      </w:tr>
      <w:tr>
        <w:trPr>
          <w:cantSplit/>
        </w:trPr>
        <w:tc>
          <w:tcPr>
            <w:tcW w:type="dxa" w:w="2551"/>
          </w:tcPr>
          <w:p>
            <w:pPr>
              <w:spacing w:after="20" w:before="20" w:line="264" w:lineRule="auto"/>
            </w:pPr>
            <w:r>
              <w:rPr>
                <w:rFonts w:ascii="Consolas" w:hAnsi="Consolas"/>
                <w:color w:val="381A89"/>
                <w:sz w:val="16"/>
              </w:rPr>
              <w:t>test_rules_engine.py</w:t>
            </w:r>
          </w:p>
        </w:tc>
        <w:tc>
          <w:tcPr>
            <w:tcW w:type="dxa" w:w="737"/>
          </w:tcPr>
          <w:p>
            <w:pPr>
              <w:spacing w:after="20" w:before="20" w:line="264" w:lineRule="auto"/>
            </w:pPr>
            <w:r>
              <w:rPr>
                <w:rFonts w:ascii="Arial" w:hAnsi="Arial"/>
                <w:sz w:val="18"/>
              </w:rPr>
              <w:t>20</w:t>
            </w:r>
          </w:p>
        </w:tc>
        <w:tc>
          <w:tcPr>
            <w:tcW w:type="dxa" w:w="5669"/>
          </w:tcPr>
          <w:p>
            <w:pPr>
              <w:spacing w:after="20" w:before="20" w:line="264" w:lineRule="auto"/>
            </w:pPr>
            <w:r>
              <w:rPr>
                <w:rFonts w:ascii="Arial" w:hAnsi="Arial"/>
                <w:sz w:val="18"/>
              </w:rPr>
              <w:t>Every consistency rule in isolation, pass and not-applicable reporting, severity and weight overrides, document-type scoping, and isolation of a deliberately broken rule.</w:t>
            </w:r>
          </w:p>
        </w:tc>
      </w:tr>
      <w:tr>
        <w:trPr>
          <w:cantSplit/>
        </w:trPr>
        <w:tc>
          <w:tcPr>
            <w:tcW w:type="dxa" w:w="2551"/>
            <w:shd w:val="clear" w:color="auto" w:fill="F4F2FA"/>
          </w:tcPr>
          <w:p>
            <w:pPr>
              <w:spacing w:after="20" w:before="20" w:line="264" w:lineRule="auto"/>
            </w:pPr>
            <w:r>
              <w:rPr>
                <w:rFonts w:ascii="Consolas" w:hAnsi="Consolas"/>
                <w:color w:val="381A89"/>
                <w:sz w:val="16"/>
              </w:rPr>
              <w:t>test_risk_and_aigc.py</w:t>
            </w:r>
          </w:p>
        </w:tc>
        <w:tc>
          <w:tcPr>
            <w:tcW w:type="dxa" w:w="737"/>
            <w:shd w:val="clear" w:color="auto" w:fill="F4F2FA"/>
          </w:tcPr>
          <w:p>
            <w:pPr>
              <w:spacing w:after="20" w:before="20" w:line="264" w:lineRule="auto"/>
            </w:pPr>
            <w:r>
              <w:rPr>
                <w:rFonts w:ascii="Arial" w:hAnsi="Arial"/>
                <w:sz w:val="18"/>
              </w:rPr>
              <w:t>19</w:t>
            </w:r>
          </w:p>
        </w:tc>
        <w:tc>
          <w:tcPr>
            <w:tcW w:type="dxa" w:w="5669"/>
            <w:shd w:val="clear" w:color="auto" w:fill="F4F2FA"/>
          </w:tcPr>
          <w:p>
            <w:pPr>
              <w:spacing w:after="20" w:before="20" w:line="264" w:lineRule="auto"/>
            </w:pPr>
            <w:r>
              <w:rPr>
                <w:rFonts w:ascii="Arial" w:hAnsi="Arial"/>
                <w:sz w:val="18"/>
              </w:rPr>
              <w:t>Monotonicity, severity effect, category saturation, dismissal and confirmation handling, configured thresholds, mitigation suppression over severe findings, the wording guarantees, and synthetic-media determinism and labelling.</w:t>
            </w:r>
          </w:p>
        </w:tc>
      </w:tr>
      <w:tr>
        <w:trPr>
          <w:cantSplit/>
        </w:trPr>
        <w:tc>
          <w:tcPr>
            <w:tcW w:type="dxa" w:w="2551"/>
          </w:tcPr>
          <w:p>
            <w:pPr>
              <w:spacing w:after="20" w:before="20" w:line="264" w:lineRule="auto"/>
            </w:pPr>
            <w:r>
              <w:rPr>
                <w:rFonts w:ascii="Consolas" w:hAnsi="Consolas"/>
                <w:color w:val="381A89"/>
                <w:sz w:val="16"/>
              </w:rPr>
              <w:t>test_api_workflow.py</w:t>
            </w:r>
          </w:p>
        </w:tc>
        <w:tc>
          <w:tcPr>
            <w:tcW w:type="dxa" w:w="737"/>
          </w:tcPr>
          <w:p>
            <w:pPr>
              <w:spacing w:after="20" w:before="20" w:line="264" w:lineRule="auto"/>
            </w:pPr>
            <w:r>
              <w:rPr>
                <w:rFonts w:ascii="Arial" w:hAnsi="Arial"/>
                <w:sz w:val="18"/>
              </w:rPr>
              <w:t>18</w:t>
            </w:r>
          </w:p>
        </w:tc>
        <w:tc>
          <w:tcPr>
            <w:tcW w:type="dxa" w:w="5669"/>
          </w:tcPr>
          <w:p>
            <w:pPr>
              <w:spacing w:after="20" w:before="20" w:line="264" w:lineRule="auto"/>
            </w:pPr>
            <w:r>
              <w:rPr>
                <w:rFonts w:ascii="Arial" w:hAnsi="Arial"/>
                <w:sz w:val="18"/>
              </w:rPr>
              <w:t>The whole investigator workflow over HTTP: upload, filtering, evidence panels, signed links and their rejection when tampered, reason enforcement, reassessment, role limits, approval blocking, verification, notes, report generation and the audit trail.</w:t>
            </w:r>
          </w:p>
        </w:tc>
      </w:tr>
      <w:tr>
        <w:trPr>
          <w:cantSplit/>
        </w:trPr>
        <w:tc>
          <w:tcPr>
            <w:tcW w:type="dxa" w:w="2551"/>
            <w:shd w:val="clear" w:color="auto" w:fill="F4F2FA"/>
          </w:tcPr>
          <w:p>
            <w:pPr>
              <w:spacing w:after="20" w:before="20" w:line="264" w:lineRule="auto"/>
            </w:pPr>
            <w:r>
              <w:rPr>
                <w:rFonts w:ascii="Consolas" w:hAnsi="Consolas"/>
                <w:color w:val="381A89"/>
                <w:sz w:val="16"/>
              </w:rPr>
              <w:t>test_crossdoc_verification.py</w:t>
            </w:r>
          </w:p>
        </w:tc>
        <w:tc>
          <w:tcPr>
            <w:tcW w:type="dxa" w:w="737"/>
            <w:shd w:val="clear" w:color="auto" w:fill="F4F2FA"/>
          </w:tcPr>
          <w:p>
            <w:pPr>
              <w:spacing w:after="20" w:before="20" w:line="264" w:lineRule="auto"/>
            </w:pPr>
            <w:r>
              <w:rPr>
                <w:rFonts w:ascii="Arial" w:hAnsi="Arial"/>
                <w:sz w:val="18"/>
              </w:rPr>
              <w:t>17</w:t>
            </w:r>
          </w:p>
        </w:tc>
        <w:tc>
          <w:tcPr>
            <w:tcW w:type="dxa" w:w="5669"/>
            <w:shd w:val="clear" w:color="auto" w:fill="F4F2FA"/>
          </w:tcPr>
          <w:p>
            <w:pPr>
              <w:spacing w:after="20" w:before="20" w:line="264" w:lineRule="auto"/>
            </w:pPr>
            <w:r>
              <w:rPr>
                <w:rFonts w:ascii="Arial" w:hAnsi="Arial"/>
                <w:sz w:val="18"/>
              </w:rPr>
              <w:t>Pairing policies, dependant handling, claim-record reconciliation, all six demo providers, outcome grading, and the unconfigured production provider.</w:t>
            </w:r>
          </w:p>
        </w:tc>
      </w:tr>
      <w:tr>
        <w:trPr>
          <w:cantSplit/>
        </w:trPr>
        <w:tc>
          <w:tcPr>
            <w:tcW w:type="dxa" w:w="2551"/>
          </w:tcPr>
          <w:p>
            <w:pPr>
              <w:spacing w:after="20" w:before="20" w:line="264" w:lineRule="auto"/>
            </w:pPr>
            <w:r>
              <w:rPr>
                <w:rFonts w:ascii="Consolas" w:hAnsi="Consolas"/>
                <w:color w:val="381A89"/>
                <w:sz w:val="16"/>
              </w:rPr>
              <w:t>test_storage_and_errors.py</w:t>
            </w:r>
          </w:p>
        </w:tc>
        <w:tc>
          <w:tcPr>
            <w:tcW w:type="dxa" w:w="737"/>
          </w:tcPr>
          <w:p>
            <w:pPr>
              <w:spacing w:after="20" w:before="20" w:line="264" w:lineRule="auto"/>
            </w:pPr>
            <w:r>
              <w:rPr>
                <w:rFonts w:ascii="Arial" w:hAnsi="Arial"/>
                <w:sz w:val="18"/>
              </w:rPr>
              <w:t>17</w:t>
            </w:r>
          </w:p>
        </w:tc>
        <w:tc>
          <w:tcPr>
            <w:tcW w:type="dxa" w:w="5669"/>
          </w:tcPr>
          <w:p>
            <w:pPr>
              <w:spacing w:after="20" w:before="20" w:line="264" w:lineRule="auto"/>
            </w:pPr>
            <w:r>
              <w:rPr>
                <w:rFonts w:ascii="Arial" w:hAnsi="Arial"/>
                <w:sz w:val="18"/>
              </w:rPr>
              <w:t>Path-traversal rejection, scope isolation, read-only originals, artifacts purgeable without touching evidence, signed-resource binding and expiry, token type enforcement, error contracts and security headers.</w:t>
            </w:r>
          </w:p>
        </w:tc>
      </w:tr>
      <w:tr>
        <w:trPr>
          <w:cantSplit/>
        </w:trPr>
        <w:tc>
          <w:tcPr>
            <w:tcW w:type="dxa" w:w="2551"/>
            <w:shd w:val="clear" w:color="auto" w:fill="F4F2FA"/>
          </w:tcPr>
          <w:p>
            <w:pPr>
              <w:spacing w:after="20" w:before="20" w:line="264" w:lineRule="auto"/>
            </w:pPr>
            <w:r>
              <w:rPr>
                <w:rFonts w:ascii="Consolas" w:hAnsi="Consolas"/>
                <w:color w:val="381A89"/>
                <w:sz w:val="16"/>
              </w:rPr>
              <w:t>test_audit_and_admin.py</w:t>
            </w:r>
          </w:p>
        </w:tc>
        <w:tc>
          <w:tcPr>
            <w:tcW w:type="dxa" w:w="737"/>
            <w:shd w:val="clear" w:color="auto" w:fill="F4F2FA"/>
          </w:tcPr>
          <w:p>
            <w:pPr>
              <w:spacing w:after="20" w:before="20" w:line="264" w:lineRule="auto"/>
            </w:pPr>
            <w:r>
              <w:rPr>
                <w:rFonts w:ascii="Arial" w:hAnsi="Arial"/>
                <w:sz w:val="18"/>
              </w:rPr>
              <w:t>16</w:t>
            </w:r>
          </w:p>
        </w:tc>
        <w:tc>
          <w:tcPr>
            <w:tcW w:type="dxa" w:w="5669"/>
            <w:shd w:val="clear" w:color="auto" w:fill="F4F2FA"/>
          </w:tcPr>
          <w:p>
            <w:pPr>
              <w:spacing w:after="20" w:before="20" w:line="264" w:lineRule="auto"/>
            </w:pPr>
            <w:r>
              <w:rPr>
                <w:rFonts w:ascii="Arial" w:hAnsi="Arial"/>
                <w:sz w:val="18"/>
              </w:rPr>
              <w:t>Chain linkage, detection of rewritten history, redaction before storage, rule and provider and threshold administration, and that providers never expose credential values.</w:t>
            </w:r>
          </w:p>
        </w:tc>
      </w:tr>
      <w:tr>
        <w:trPr>
          <w:cantSplit/>
        </w:trPr>
        <w:tc>
          <w:tcPr>
            <w:tcW w:type="dxa" w:w="2551"/>
          </w:tcPr>
          <w:p>
            <w:pPr>
              <w:spacing w:after="20" w:before="20" w:line="264" w:lineRule="auto"/>
            </w:pPr>
            <w:r>
              <w:rPr>
                <w:rFonts w:ascii="Consolas" w:hAnsi="Consolas"/>
                <w:color w:val="381A89"/>
                <w:sz w:val="16"/>
              </w:rPr>
              <w:t>test_auth_rbac.py</w:t>
            </w:r>
          </w:p>
        </w:tc>
        <w:tc>
          <w:tcPr>
            <w:tcW w:type="dxa" w:w="737"/>
          </w:tcPr>
          <w:p>
            <w:pPr>
              <w:spacing w:after="20" w:before="20" w:line="264" w:lineRule="auto"/>
            </w:pPr>
            <w:r>
              <w:rPr>
                <w:rFonts w:ascii="Arial" w:hAnsi="Arial"/>
                <w:sz w:val="18"/>
              </w:rPr>
              <w:t>14</w:t>
            </w:r>
          </w:p>
        </w:tc>
        <w:tc>
          <w:tcPr>
            <w:tcW w:type="dxa" w:w="5669"/>
          </w:tcPr>
          <w:p>
            <w:pPr>
              <w:spacing w:after="20" w:before="20" w:line="264" w:lineRule="auto"/>
            </w:pPr>
            <w:r>
              <w:rPr>
                <w:rFonts w:ascii="Arial" w:hAnsi="Arial"/>
                <w:sz w:val="18"/>
              </w:rPr>
              <w:t>Sign-in, non-disclosing failure wording, token types and refresh rotation, the full permission matrix and per-endpoint authorisation.</w:t>
            </w:r>
          </w:p>
        </w:tc>
      </w:tr>
      <w:tr>
        <w:trPr>
          <w:cantSplit/>
        </w:trPr>
        <w:tc>
          <w:tcPr>
            <w:tcW w:type="dxa" w:w="2551"/>
            <w:shd w:val="clear" w:color="auto" w:fill="F4F2FA"/>
          </w:tcPr>
          <w:p>
            <w:pPr>
              <w:spacing w:after="20" w:before="20" w:line="264" w:lineRule="auto"/>
            </w:pPr>
            <w:r>
              <w:rPr>
                <w:rFonts w:ascii="Consolas" w:hAnsi="Consolas"/>
                <w:color w:val="381A89"/>
                <w:sz w:val="16"/>
              </w:rPr>
              <w:t>test_upload_security.py</w:t>
            </w:r>
          </w:p>
        </w:tc>
        <w:tc>
          <w:tcPr>
            <w:tcW w:type="dxa" w:w="737"/>
            <w:shd w:val="clear" w:color="auto" w:fill="F4F2FA"/>
          </w:tcPr>
          <w:p>
            <w:pPr>
              <w:spacing w:after="20" w:before="20" w:line="264" w:lineRule="auto"/>
            </w:pPr>
            <w:r>
              <w:rPr>
                <w:rFonts w:ascii="Arial" w:hAnsi="Arial"/>
                <w:sz w:val="18"/>
              </w:rPr>
              <w:t>14</w:t>
            </w:r>
          </w:p>
        </w:tc>
        <w:tc>
          <w:tcPr>
            <w:tcW w:type="dxa" w:w="5669"/>
            <w:shd w:val="clear" w:color="auto" w:fill="F4F2FA"/>
          </w:tcPr>
          <w:p>
            <w:pPr>
              <w:spacing w:after="20" w:before="20" w:line="264" w:lineRule="auto"/>
            </w:pPr>
            <w:r>
              <w:rPr>
                <w:rFonts w:ascii="Arial" w:hAnsi="Arial"/>
                <w:sz w:val="18"/>
              </w:rPr>
              <w:t>Executables, extension spoofing, corrupt and oversized uploads, EICAR quarantine with the file preserved, hash fidelity and duplicate detection.</w:t>
            </w:r>
          </w:p>
        </w:tc>
      </w:tr>
      <w:tr>
        <w:trPr>
          <w:cantSplit/>
        </w:trPr>
        <w:tc>
          <w:tcPr>
            <w:tcW w:type="dxa" w:w="2551"/>
          </w:tcPr>
          <w:p>
            <w:pPr>
              <w:spacing w:after="20" w:before="20" w:line="264" w:lineRule="auto"/>
            </w:pPr>
            <w:r>
              <w:rPr>
                <w:rFonts w:ascii="Consolas" w:hAnsi="Consolas"/>
                <w:color w:val="381A89"/>
                <w:sz w:val="16"/>
              </w:rPr>
              <w:t>test_extraction.py</w:t>
            </w:r>
          </w:p>
        </w:tc>
        <w:tc>
          <w:tcPr>
            <w:tcW w:type="dxa" w:w="737"/>
          </w:tcPr>
          <w:p>
            <w:pPr>
              <w:spacing w:after="20" w:before="20" w:line="264" w:lineRule="auto"/>
            </w:pPr>
            <w:r>
              <w:rPr>
                <w:rFonts w:ascii="Arial" w:hAnsi="Arial"/>
                <w:sz w:val="18"/>
              </w:rPr>
              <w:t>11</w:t>
            </w:r>
          </w:p>
        </w:tc>
        <w:tc>
          <w:tcPr>
            <w:tcW w:type="dxa" w:w="5669"/>
          </w:tcPr>
          <w:p>
            <w:pPr>
              <w:spacing w:after="20" w:before="20" w:line="264" w:lineRule="auto"/>
            </w:pPr>
            <w:r>
              <w:rPr>
                <w:rFonts w:ascii="Arial" w:hAnsi="Arial"/>
                <w:sz w:val="18"/>
              </w:rPr>
              <w:t>Recognition routing, money, date and name normalisation, same-person strictness, classifier behaviour, extraction with boxes, and the label-in-heading regression.</w:t>
            </w:r>
          </w:p>
        </w:tc>
      </w:tr>
      <w:tr>
        <w:trPr>
          <w:cantSplit/>
        </w:trPr>
        <w:tc>
          <w:tcPr>
            <w:tcW w:type="dxa" w:w="2551"/>
            <w:shd w:val="clear" w:color="auto" w:fill="F4F2FA"/>
          </w:tcPr>
          <w:p>
            <w:pPr>
              <w:spacing w:after="20" w:before="20" w:line="264" w:lineRule="auto"/>
            </w:pPr>
            <w:r>
              <w:rPr>
                <w:rFonts w:ascii="Consolas" w:hAnsi="Consolas"/>
                <w:color w:val="381A89"/>
                <w:sz w:val="16"/>
              </w:rPr>
              <w:t>test_pipeline_e2e.py</w:t>
            </w:r>
          </w:p>
        </w:tc>
        <w:tc>
          <w:tcPr>
            <w:tcW w:type="dxa" w:w="737"/>
            <w:shd w:val="clear" w:color="auto" w:fill="F4F2FA"/>
          </w:tcPr>
          <w:p>
            <w:pPr>
              <w:spacing w:after="20" w:before="20" w:line="264" w:lineRule="auto"/>
            </w:pPr>
            <w:r>
              <w:rPr>
                <w:rFonts w:ascii="Arial" w:hAnsi="Arial"/>
                <w:sz w:val="18"/>
              </w:rPr>
              <w:t>9</w:t>
            </w:r>
          </w:p>
        </w:tc>
        <w:tc>
          <w:tcPr>
            <w:tcW w:type="dxa" w:w="5669"/>
            <w:shd w:val="clear" w:color="auto" w:fill="F4F2FA"/>
          </w:tcPr>
          <w:p>
            <w:pPr>
              <w:spacing w:after="20" w:before="20" w:line="264" w:lineRule="auto"/>
            </w:pPr>
            <w:r>
              <w:rPr>
                <w:rFonts w:ascii="Arial" w:hAnsi="Arial"/>
                <w:sz w:val="18"/>
              </w:rPr>
              <w:t>Clean and tampered documents end to end, provider outages, review carry-forward across reprocessing, artifact storage, and vector-PDF stage skipping.</w:t>
            </w:r>
          </w:p>
        </w:tc>
      </w:tr>
    </w:tbl>
    <w:p>
      <w:pPr>
        <w:spacing w:after="40"/>
      </w:pPr>
    </w:p>
    <w:p>
      <w:pPr>
        <w:pStyle w:val="Heading2"/>
      </w:pPr>
      <w:r>
        <w:t>7.3  Requirement walkthrough</w:t>
      </w:r>
    </w:p>
    <w:p>
      <w:pPr>
        <w:spacing w:after="160"/>
        <w:jc w:val="both"/>
      </w:pPr>
      <w:r>
        <w:t xml:space="preserve">Unit and integration tests establish that components behave; they do not establish that the </w:t>
      </w:r>
      <w:r>
        <w:rPr>
          <w:i/>
        </w:rPr>
        <w:t>product</w:t>
      </w:r>
      <w:r>
        <w:t xml:space="preserve"> does what it claims. A scripted walkthrough therefore exercises all twenty product requirements against a live instance, asserting the outcome of each step. It signs in as three roles, creates a claim, generates and uploads a document with planted anomalies, waits for the queue, reads every evidence panel through the API, runs verification, adjudicates findings, escalates, adds notes, generates the report and verifies the audit chain. The run as submitted passes 23 of 23 checks, including the two negative controls that matter most: that confirming a finding without a reason is refused, and that approving a claim with unadjudicated high findings is refused.</w:t>
      </w:r>
    </w:p>
    <w:p>
      <w:pPr>
        <w:pStyle w:val="Heading2"/>
      </w:pPr>
      <w:r>
        <w:t>7.4  Accessibility validation</w:t>
      </w:r>
    </w:p>
    <w:p>
      <w:pPr>
        <w:spacing w:after="160"/>
        <w:jc w:val="both"/>
      </w:pPr>
      <w:r>
        <w:t>Design principle P6 — colour never carries meaning alone — was validated computationally rather than by inspection, because colour-vision separation is not reliably assessable by eye.</w:t>
      </w:r>
    </w:p>
    <w:p>
      <w:pPr>
        <w:spacing w:after="160"/>
        <w:jc w:val="both"/>
      </w:pPr>
      <w:r>
        <w:t>The three risk-band colours are used as badge text, so the binding requirement is the 4.5:1 contrast ratio for text. Measured against the card surface: Low Concern 5.00:1, Review Recommended 5.29:1, High Concern 6.35:1, with the dark-theme steps chosen separately rather than derived by inversion and measured at 8.45:1, 9.81:1 and 5.63:1. Separation under simulated colour-vision deficiency was computed as a perceptual distance in OKLab: the triad's worst pair improved from ΔE 2.9 to ΔE 9.5 under deuteranopia, clearing the ΔE 8 target.</w:t>
      </w:r>
    </w:p>
    <w:p>
      <w:pPr>
        <w:spacing w:after="160"/>
        <w:jc w:val="both"/>
      </w:pPr>
      <w:r>
        <w:t xml:space="preserve">Charts do not use the band triad at all. Risk bands are ordered, so in charts they are encoded as a </w:t>
      </w:r>
      <w:r>
        <w:rPr>
          <w:b/>
        </w:rPr>
        <w:t>single-hue ordinal ramp</w:t>
      </w:r>
      <w:r>
        <w:t xml:space="preserve"> validated for monotone lightness, an adjacent lightness step of at least 0.06, a single hue and a light end that clears the chart surface at 2.12:1 in the light theme and 2.35:1 in the dark. The semantic triad is retained on badges and chips, where the band's name is always present. In addition, every chart in the console can be switched to the table of rows behind it, which is the relief for colour-carried information and is also what an investigator wants when a number has to be quoted in a case note.</w:t>
      </w:r>
    </w:p>
    <w:p>
      <w:pPr>
        <w:pStyle w:val="Heading2"/>
      </w:pPr>
      <w:r>
        <w:t>7.5  Static analysis and build verification</w:t>
      </w:r>
    </w:p>
    <w:p>
      <w:pPr>
        <w:pStyle w:val="ListBullet"/>
        <w:spacing w:after="80" w:line="288" w:lineRule="auto"/>
        <w:ind w:left="397"/>
      </w:pPr>
      <w:r>
        <w:rPr>
          <w:rFonts w:ascii="Consolas" w:hAnsi="Consolas"/>
          <w:color w:val="381A89"/>
          <w:sz w:val="20"/>
        </w:rPr>
        <w:t>ruff</w:t>
      </w:r>
      <w:r>
        <w:t xml:space="preserve"> lints the backend; </w:t>
      </w:r>
      <w:r>
        <w:rPr>
          <w:rFonts w:ascii="Consolas" w:hAnsi="Consolas"/>
          <w:color w:val="381A89"/>
          <w:sz w:val="20"/>
        </w:rPr>
        <w:t>alembic check</w:t>
      </w:r>
      <w:r>
        <w:t xml:space="preserve"> fails if the models have drifted from the migrations, so the schema cannot silently diverge from the code.</w:t>
      </w:r>
    </w:p>
    <w:p>
      <w:pPr>
        <w:pStyle w:val="ListBullet"/>
        <w:spacing w:after="80" w:line="288" w:lineRule="auto"/>
        <w:ind w:left="397"/>
      </w:pPr>
      <w:r>
        <w:rPr>
          <w:rFonts w:ascii="Consolas" w:hAnsi="Consolas"/>
          <w:color w:val="381A89"/>
          <w:sz w:val="20"/>
        </w:rPr>
        <w:t>tsc --noEmit</w:t>
      </w:r>
      <w:r>
        <w:t xml:space="preserve"> type-checks the console under </w:t>
      </w:r>
      <w:r>
        <w:rPr>
          <w:rFonts w:ascii="Consolas" w:hAnsi="Consolas"/>
          <w:color w:val="381A89"/>
          <w:sz w:val="20"/>
        </w:rPr>
        <w:t>strict</w:t>
      </w:r>
      <w:r>
        <w:t xml:space="preserve"> mode — clean as submitted.</w:t>
      </w:r>
    </w:p>
    <w:p>
      <w:pPr>
        <w:pStyle w:val="ListBullet"/>
        <w:spacing w:after="80" w:line="288" w:lineRule="auto"/>
        <w:ind w:left="397"/>
      </w:pPr>
      <w:r>
        <w:rPr>
          <w:rFonts w:ascii="Consolas" w:hAnsi="Consolas"/>
          <w:color w:val="381A89"/>
          <w:sz w:val="20"/>
        </w:rPr>
        <w:t>next build</w:t>
      </w:r>
      <w:r>
        <w:t xml:space="preserve"> produces the production bundle — clean as submitted, with both self-hosted typefaces confirmed present in the build output.</w:t>
      </w:r>
    </w:p>
    <w:p>
      <w:pPr>
        <w:pStyle w:val="ListBullet"/>
        <w:spacing w:after="80" w:line="288" w:lineRule="auto"/>
        <w:ind w:left="397"/>
      </w:pPr>
      <w:r>
        <w:t>Both container images build from a clean checkout, and the deployed stack reports healthy on the database, Redis, the API and the console.</w:t>
      </w:r>
    </w:p>
    <w:p>
      <w:r>
        <w:br w:type="page"/>
      </w:r>
    </w:p>
    <w:p>
      <w:pPr>
        <w:pStyle w:val="Heading1"/>
      </w:pPr>
      <w:r>
        <w:t>8  Results and Evaluation</w:t>
      </w:r>
    </w:p>
    <w:p>
      <w:pPr>
        <w:pStyle w:val="Heading2"/>
      </w:pPr>
      <w:r>
        <w:t>8.1  The evaluation corpus</w:t>
      </w:r>
    </w:p>
    <w:p>
      <w:pPr>
        <w:spacing w:after="160"/>
        <w:jc w:val="both"/>
      </w:pPr>
      <w:r>
        <w:t>The seeded corpus is 10 claims and 22 generated documents covering nine scenario classes, with scripted human-review history. Every anomaly is present in the file at the object or pixel level (Section 4.4), so the findings below are measurements rather than fixtures.</w:t>
      </w:r>
    </w:p>
    <w:p>
      <w:pPr>
        <w:keepNext/>
        <w:spacing w:after="60" w:before="120"/>
      </w:pPr>
      <w:r>
        <w:rPr>
          <w:rFonts w:ascii="Arial" w:hAnsi="Arial"/>
          <w:b/>
          <w:color w:val="381A89"/>
          <w:sz w:val="18"/>
        </w:rPr>
        <w:t xml:space="preserve">Table 17. </w:t>
      </w:r>
      <w:r>
        <w:rPr>
          <w:rFonts w:ascii="Arial" w:hAnsi="Arial"/>
          <w:color w:val="55516B"/>
          <w:sz w:val="18"/>
        </w:rPr>
        <w:t>Evaluation scenarios and the evidence the platform recovers from each.</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2154"/>
            <w:shd w:val="clear" w:color="auto" w:fill="2E1C6B"/>
          </w:tcPr>
          <w:p>
            <w:pPr>
              <w:spacing w:after="20" w:before="20" w:line="252" w:lineRule="auto"/>
            </w:pPr>
            <w:r>
              <w:rPr>
                <w:rFonts w:ascii="Arial" w:hAnsi="Arial"/>
                <w:b/>
                <w:color w:val="FFFFFF"/>
                <w:sz w:val="17"/>
              </w:rPr>
              <w:t>Scenario</w:t>
            </w:r>
          </w:p>
        </w:tc>
        <w:tc>
          <w:tcPr>
            <w:tcW w:type="dxa" w:w="1701"/>
            <w:shd w:val="clear" w:color="auto" w:fill="2E1C6B"/>
          </w:tcPr>
          <w:p>
            <w:pPr>
              <w:spacing w:after="20" w:before="20" w:line="252" w:lineRule="auto"/>
            </w:pPr>
            <w:r>
              <w:rPr>
                <w:rFonts w:ascii="Arial" w:hAnsi="Arial"/>
                <w:b/>
                <w:color w:val="FFFFFF"/>
                <w:sz w:val="17"/>
              </w:rPr>
              <w:t>Claim</w:t>
            </w:r>
          </w:p>
        </w:tc>
        <w:tc>
          <w:tcPr>
            <w:tcW w:type="dxa" w:w="5102"/>
            <w:shd w:val="clear" w:color="auto" w:fill="2E1C6B"/>
          </w:tcPr>
          <w:p>
            <w:pPr>
              <w:spacing w:after="20" w:before="20" w:line="252" w:lineRule="auto"/>
            </w:pPr>
            <w:r>
              <w:rPr>
                <w:rFonts w:ascii="Arial" w:hAnsi="Arial"/>
                <w:b/>
                <w:color w:val="FFFFFF"/>
                <w:sz w:val="17"/>
              </w:rPr>
              <w:t>What the platform finds</w:t>
            </w:r>
          </w:p>
        </w:tc>
      </w:tr>
      <w:tr>
        <w:trPr>
          <w:cantSplit/>
        </w:trPr>
        <w:tc>
          <w:tcPr>
            <w:tcW w:type="dxa" w:w="2154"/>
          </w:tcPr>
          <w:p>
            <w:pPr>
              <w:spacing w:after="20" w:before="20" w:line="264" w:lineRule="auto"/>
            </w:pPr>
            <w:r>
              <w:rPr>
                <w:rFonts w:ascii="Arial" w:hAnsi="Arial"/>
                <w:sz w:val="18"/>
              </w:rPr>
              <w:t>Clean legitimate document</w:t>
            </w:r>
          </w:p>
        </w:tc>
        <w:tc>
          <w:tcPr>
            <w:tcW w:type="dxa" w:w="1701"/>
          </w:tcPr>
          <w:p>
            <w:pPr>
              <w:spacing w:after="20" w:before="20" w:line="264" w:lineRule="auto"/>
            </w:pPr>
            <w:r>
              <w:rPr>
                <w:rFonts w:ascii="Arial" w:hAnsi="Arial"/>
                <w:sz w:val="18"/>
              </w:rPr>
              <w:t>CLM-2026-000101, -000106</w:t>
            </w:r>
          </w:p>
        </w:tc>
        <w:tc>
          <w:tcPr>
            <w:tcW w:type="dxa" w:w="5102"/>
          </w:tcPr>
          <w:p>
            <w:pPr>
              <w:spacing w:after="20" w:before="20" w:line="264" w:lineRule="auto"/>
            </w:pPr>
            <w:r>
              <w:rPr>
                <w:rFonts w:ascii="Arial" w:hAnsi="Arial"/>
                <w:sz w:val="18"/>
              </w:rPr>
              <w:t>Everything reconciles; applicable checks pass and are displayed as passes; Low Concern.</w:t>
            </w:r>
          </w:p>
        </w:tc>
      </w:tr>
      <w:tr>
        <w:trPr>
          <w:cantSplit/>
        </w:trPr>
        <w:tc>
          <w:tcPr>
            <w:tcW w:type="dxa" w:w="2154"/>
            <w:shd w:val="clear" w:color="auto" w:fill="F4F2FA"/>
          </w:tcPr>
          <w:p>
            <w:pPr>
              <w:spacing w:after="20" w:before="20" w:line="264" w:lineRule="auto"/>
            </w:pPr>
            <w:r>
              <w:rPr>
                <w:rFonts w:ascii="Arial" w:hAnsi="Arial"/>
                <w:sz w:val="18"/>
              </w:rPr>
              <w:t>Edited invoice total</w:t>
            </w:r>
          </w:p>
        </w:tc>
        <w:tc>
          <w:tcPr>
            <w:tcW w:type="dxa" w:w="1701"/>
            <w:shd w:val="clear" w:color="auto" w:fill="F4F2FA"/>
          </w:tcPr>
          <w:p>
            <w:pPr>
              <w:spacing w:after="20" w:before="20" w:line="264" w:lineRule="auto"/>
            </w:pPr>
            <w:r>
              <w:rPr>
                <w:rFonts w:ascii="Arial" w:hAnsi="Arial"/>
                <w:sz w:val="18"/>
              </w:rPr>
              <w:t>CLM-2026-000102</w:t>
            </w:r>
          </w:p>
        </w:tc>
        <w:tc>
          <w:tcPr>
            <w:tcW w:type="dxa" w:w="5102"/>
            <w:shd w:val="clear" w:color="auto" w:fill="F4F2FA"/>
          </w:tcPr>
          <w:p>
            <w:pPr>
              <w:spacing w:after="20" w:before="20" w:line="264" w:lineRule="auto"/>
            </w:pPr>
            <w:r>
              <w:rPr>
                <w:rFonts w:ascii="Arial" w:hAnsi="Arial"/>
                <w:sz w:val="18"/>
              </w:rPr>
              <w:t>The total is drawn from a different font resource than the rest of its line, sits off its baseline and is overlaid by an annotation; it does not match the sum of its own line items.</w:t>
            </w:r>
          </w:p>
        </w:tc>
      </w:tr>
      <w:tr>
        <w:trPr>
          <w:cantSplit/>
        </w:trPr>
        <w:tc>
          <w:tcPr>
            <w:tcW w:type="dxa" w:w="2154"/>
          </w:tcPr>
          <w:p>
            <w:pPr>
              <w:spacing w:after="20" w:before="20" w:line="264" w:lineRule="auto"/>
            </w:pPr>
            <w:r>
              <w:rPr>
                <w:rFonts w:ascii="Arial" w:hAnsi="Arial"/>
                <w:sz w:val="18"/>
              </w:rPr>
              <w:t>Metadata anomaly</w:t>
            </w:r>
          </w:p>
        </w:tc>
        <w:tc>
          <w:tcPr>
            <w:tcW w:type="dxa" w:w="1701"/>
          </w:tcPr>
          <w:p>
            <w:pPr>
              <w:spacing w:after="20" w:before="20" w:line="264" w:lineRule="auto"/>
            </w:pPr>
            <w:r>
              <w:rPr>
                <w:rFonts w:ascii="Arial" w:hAnsi="Arial"/>
                <w:sz w:val="18"/>
              </w:rPr>
              <w:t>CLM-2026-000105</w:t>
            </w:r>
          </w:p>
        </w:tc>
        <w:tc>
          <w:tcPr>
            <w:tcW w:type="dxa" w:w="5102"/>
          </w:tcPr>
          <w:p>
            <w:pPr>
              <w:spacing w:after="20" w:before="20" w:line="264" w:lineRule="auto"/>
            </w:pPr>
            <w:r>
              <w:rPr>
                <w:rFonts w:ascii="Arial" w:hAnsi="Arial"/>
                <w:sz w:val="18"/>
              </w:rPr>
              <w:t>Producer names a raster editor; modification precedes creation; an incremental revision is present; bytes follow the final end-of-file marker.</w:t>
            </w:r>
          </w:p>
        </w:tc>
      </w:tr>
      <w:tr>
        <w:trPr>
          <w:cantSplit/>
        </w:trPr>
        <w:tc>
          <w:tcPr>
            <w:tcW w:type="dxa" w:w="2154"/>
            <w:shd w:val="clear" w:color="auto" w:fill="F4F2FA"/>
          </w:tcPr>
          <w:p>
            <w:pPr>
              <w:spacing w:after="20" w:before="20" w:line="264" w:lineRule="auto"/>
            </w:pPr>
            <w:r>
              <w:rPr>
                <w:rFonts w:ascii="Arial" w:hAnsi="Arial"/>
                <w:sz w:val="18"/>
              </w:rPr>
              <w:t>Cross-document mismatch</w:t>
            </w:r>
          </w:p>
        </w:tc>
        <w:tc>
          <w:tcPr>
            <w:tcW w:type="dxa" w:w="1701"/>
            <w:shd w:val="clear" w:color="auto" w:fill="F4F2FA"/>
          </w:tcPr>
          <w:p>
            <w:pPr>
              <w:spacing w:after="20" w:before="20" w:line="264" w:lineRule="auto"/>
            </w:pPr>
            <w:r>
              <w:rPr>
                <w:rFonts w:ascii="Arial" w:hAnsi="Arial"/>
                <w:sz w:val="18"/>
              </w:rPr>
              <w:t>CLM-2026-000102</w:t>
            </w:r>
          </w:p>
        </w:tc>
        <w:tc>
          <w:tcPr>
            <w:tcW w:type="dxa" w:w="5102"/>
            <w:shd w:val="clear" w:color="auto" w:fill="F4F2FA"/>
          </w:tcPr>
          <w:p>
            <w:pPr>
              <w:spacing w:after="20" w:before="20" w:line="264" w:lineRule="auto"/>
            </w:pPr>
            <w:r>
              <w:rPr>
                <w:rFonts w:ascii="Arial" w:hAnsi="Arial"/>
                <w:sz w:val="18"/>
              </w:rPr>
              <w:t>The invoice states 8,500.00 where the claim form and the claim record both state 6,500.00.</w:t>
            </w:r>
          </w:p>
        </w:tc>
      </w:tr>
      <w:tr>
        <w:trPr>
          <w:cantSplit/>
        </w:trPr>
        <w:tc>
          <w:tcPr>
            <w:tcW w:type="dxa" w:w="2154"/>
          </w:tcPr>
          <w:p>
            <w:pPr>
              <w:spacing w:after="20" w:before="20" w:line="264" w:lineRule="auto"/>
            </w:pPr>
            <w:r>
              <w:rPr>
                <w:rFonts w:ascii="Arial" w:hAnsi="Arial"/>
                <w:sz w:val="18"/>
              </w:rPr>
              <w:t>Potential synthetic image</w:t>
            </w:r>
          </w:p>
        </w:tc>
        <w:tc>
          <w:tcPr>
            <w:tcW w:type="dxa" w:w="1701"/>
          </w:tcPr>
          <w:p>
            <w:pPr>
              <w:spacing w:after="20" w:before="20" w:line="264" w:lineRule="auto"/>
            </w:pPr>
            <w:r>
              <w:rPr>
                <w:rFonts w:ascii="Arial" w:hAnsi="Arial"/>
                <w:sz w:val="18"/>
              </w:rPr>
              <w:t>CLM-2026-000108</w:t>
            </w:r>
          </w:p>
        </w:tc>
        <w:tc>
          <w:tcPr>
            <w:tcW w:type="dxa" w:w="5102"/>
          </w:tcPr>
          <w:p>
            <w:pPr>
              <w:spacing w:after="20" w:before="20" w:line="264" w:lineRule="auto"/>
            </w:pPr>
            <w:r>
              <w:rPr>
                <w:rFonts w:ascii="Arial" w:hAnsi="Arial"/>
                <w:sz w:val="18"/>
              </w:rPr>
              <w:t>A smooth colour field with no sensor noise and no capture metadata yields “potential synthetic-media indicators” — a band, with its eight contributions shown.</w:t>
            </w:r>
          </w:p>
        </w:tc>
      </w:tr>
      <w:tr>
        <w:trPr>
          <w:cantSplit/>
        </w:trPr>
        <w:tc>
          <w:tcPr>
            <w:tcW w:type="dxa" w:w="2154"/>
            <w:shd w:val="clear" w:color="auto" w:fill="F4F2FA"/>
          </w:tcPr>
          <w:p>
            <w:pPr>
              <w:spacing w:after="20" w:before="20" w:line="264" w:lineRule="auto"/>
            </w:pPr>
            <w:r>
              <w:rPr>
                <w:rFonts w:ascii="Arial" w:hAnsi="Arial"/>
                <w:sz w:val="18"/>
              </w:rPr>
              <w:t>Verification mismatch</w:t>
            </w:r>
          </w:p>
        </w:tc>
        <w:tc>
          <w:tcPr>
            <w:tcW w:type="dxa" w:w="1701"/>
            <w:shd w:val="clear" w:color="auto" w:fill="F4F2FA"/>
          </w:tcPr>
          <w:p>
            <w:pPr>
              <w:spacing w:after="20" w:before="20" w:line="264" w:lineRule="auto"/>
            </w:pPr>
            <w:r>
              <w:rPr>
                <w:rFonts w:ascii="Arial" w:hAnsi="Arial"/>
                <w:sz w:val="18"/>
              </w:rPr>
              <w:t>CLM-2026-000104, -000109</w:t>
            </w:r>
          </w:p>
        </w:tc>
        <w:tc>
          <w:tcPr>
            <w:tcW w:type="dxa" w:w="5102"/>
            <w:shd w:val="clear" w:color="auto" w:fill="F4F2FA"/>
          </w:tcPr>
          <w:p>
            <w:pPr>
              <w:spacing w:after="20" w:before="20" w:line="264" w:lineRule="auto"/>
            </w:pPr>
            <w:r>
              <w:rPr>
                <w:rFonts w:ascii="Arial" w:hAnsi="Arial"/>
                <w:sz w:val="18"/>
              </w:rPr>
              <w:t>A lapsed policy outside its cover window, an unaccredited clinic, a returned payment, a vehicle write-off marker and a passport reported lost.</w:t>
            </w:r>
          </w:p>
        </w:tc>
      </w:tr>
      <w:tr>
        <w:trPr>
          <w:cantSplit/>
        </w:trPr>
        <w:tc>
          <w:tcPr>
            <w:tcW w:type="dxa" w:w="2154"/>
          </w:tcPr>
          <w:p>
            <w:pPr>
              <w:spacing w:after="20" w:before="20" w:line="264" w:lineRule="auto"/>
            </w:pPr>
            <w:r>
              <w:rPr>
                <w:rFonts w:ascii="Arial" w:hAnsi="Arial"/>
                <w:sz w:val="18"/>
              </w:rPr>
              <w:t>Tampered photograph</w:t>
            </w:r>
          </w:p>
        </w:tc>
        <w:tc>
          <w:tcPr>
            <w:tcW w:type="dxa" w:w="1701"/>
          </w:tcPr>
          <w:p>
            <w:pPr>
              <w:spacing w:after="20" w:before="20" w:line="264" w:lineRule="auto"/>
            </w:pPr>
            <w:r>
              <w:rPr>
                <w:rFonts w:ascii="Arial" w:hAnsi="Arial"/>
                <w:sz w:val="18"/>
              </w:rPr>
              <w:t>CLM-2026-000103</w:t>
            </w:r>
          </w:p>
        </w:tc>
        <w:tc>
          <w:tcPr>
            <w:tcW w:type="dxa" w:w="5102"/>
          </w:tcPr>
          <w:p>
            <w:pPr>
              <w:spacing w:after="20" w:before="20" w:line="264" w:lineRule="auto"/>
            </w:pPr>
            <w:r>
              <w:rPr>
                <w:rFonts w:ascii="Arial" w:hAnsi="Arial"/>
                <w:sz w:val="18"/>
              </w:rPr>
              <w:t>The amounts block was re-typed after capture: error-level analysis, copy-move and a named tampering region over the affected field.</w:t>
            </w:r>
          </w:p>
        </w:tc>
      </w:tr>
      <w:tr>
        <w:trPr>
          <w:cantSplit/>
        </w:trPr>
        <w:tc>
          <w:tcPr>
            <w:tcW w:type="dxa" w:w="2154"/>
            <w:shd w:val="clear" w:color="auto" w:fill="F4F2FA"/>
          </w:tcPr>
          <w:p>
            <w:pPr>
              <w:spacing w:after="20" w:before="20" w:line="264" w:lineRule="auto"/>
            </w:pPr>
            <w:r>
              <w:rPr>
                <w:rFonts w:ascii="Arial" w:hAnsi="Arial"/>
                <w:sz w:val="18"/>
              </w:rPr>
              <w:t>Duplicate re-upload</w:t>
            </w:r>
          </w:p>
        </w:tc>
        <w:tc>
          <w:tcPr>
            <w:tcW w:type="dxa" w:w="1701"/>
            <w:shd w:val="clear" w:color="auto" w:fill="F4F2FA"/>
          </w:tcPr>
          <w:p>
            <w:pPr>
              <w:spacing w:after="20" w:before="20" w:line="264" w:lineRule="auto"/>
            </w:pPr>
            <w:r>
              <w:rPr>
                <w:rFonts w:ascii="Arial" w:hAnsi="Arial"/>
                <w:sz w:val="18"/>
              </w:rPr>
              <w:t>CLM-2026-000110</w:t>
            </w:r>
          </w:p>
        </w:tc>
        <w:tc>
          <w:tcPr>
            <w:tcW w:type="dxa" w:w="5102"/>
            <w:shd w:val="clear" w:color="auto" w:fill="F4F2FA"/>
          </w:tcPr>
          <w:p>
            <w:pPr>
              <w:spacing w:after="20" w:before="20" w:line="264" w:lineRule="auto"/>
            </w:pPr>
            <w:r>
              <w:rPr>
                <w:rFonts w:ascii="Arial" w:hAnsi="Arial"/>
                <w:sz w:val="18"/>
              </w:rPr>
              <w:t>A byte-identical file already on record under another claim, attributed to the later submission.</w:t>
            </w:r>
          </w:p>
        </w:tc>
      </w:tr>
      <w:tr>
        <w:trPr>
          <w:cantSplit/>
        </w:trPr>
        <w:tc>
          <w:tcPr>
            <w:tcW w:type="dxa" w:w="2154"/>
          </w:tcPr>
          <w:p>
            <w:pPr>
              <w:spacing w:after="20" w:before="20" w:line="264" w:lineRule="auto"/>
            </w:pPr>
            <w:r>
              <w:rPr>
                <w:rFonts w:ascii="Arial" w:hAnsi="Arial"/>
                <w:sz w:val="18"/>
              </w:rPr>
              <w:t>Invalid VIN and line-item sum</w:t>
            </w:r>
          </w:p>
        </w:tc>
        <w:tc>
          <w:tcPr>
            <w:tcW w:type="dxa" w:w="1701"/>
          </w:tcPr>
          <w:p>
            <w:pPr>
              <w:spacing w:after="20" w:before="20" w:line="264" w:lineRule="auto"/>
            </w:pPr>
            <w:r>
              <w:rPr>
                <w:rFonts w:ascii="Arial" w:hAnsi="Arial"/>
                <w:sz w:val="18"/>
              </w:rPr>
              <w:t>CLM-2026-000108</w:t>
            </w:r>
          </w:p>
        </w:tc>
        <w:tc>
          <w:tcPr>
            <w:tcW w:type="dxa" w:w="5102"/>
          </w:tcPr>
          <w:p>
            <w:pPr>
              <w:spacing w:after="20" w:before="20" w:line="264" w:lineRule="auto"/>
            </w:pPr>
            <w:r>
              <w:rPr>
                <w:rFonts w:ascii="Arial" w:hAnsi="Arial"/>
                <w:sz w:val="18"/>
              </w:rPr>
              <w:t>The ISO 3779 check digit fails and the line items do not sum to the printed total.</w:t>
            </w:r>
          </w:p>
        </w:tc>
      </w:tr>
    </w:tbl>
    <w:p>
      <w:pPr>
        <w:spacing w:after="40"/>
      </w:pPr>
    </w:p>
    <w:p>
      <w:pPr>
        <w:pStyle w:val="Heading2"/>
      </w:pPr>
      <w:r>
        <w:t>8.2  Worked example</w:t>
      </w:r>
    </w:p>
    <w:p>
      <w:pPr>
        <w:spacing w:after="160"/>
        <w:jc w:val="both"/>
      </w:pPr>
      <w:r>
        <w:t xml:space="preserve">Document </w:t>
      </w:r>
      <w:r>
        <w:rPr>
          <w:rFonts w:ascii="Consolas" w:hAnsi="Consolas"/>
          <w:color w:val="381A89"/>
          <w:sz w:val="20"/>
        </w:rPr>
        <w:t>DOC-2026-000004</w:t>
      </w:r>
      <w:r>
        <w:t xml:space="preserve"> in claim </w:t>
      </w:r>
      <w:r>
        <w:rPr>
          <w:rFonts w:ascii="Consolas" w:hAnsi="Consolas"/>
          <w:color w:val="381A89"/>
          <w:sz w:val="20"/>
        </w:rPr>
        <w:t>CLM-2026-000102</w:t>
      </w:r>
      <w:r>
        <w:t xml:space="preserve"> is a one-page medical invoice from a fictional hospital whose printed total was re-typed from 6,500.00 to 8,500.00. It is worth tracing because five independent subsystems reach the same conclusion by different routes, and because the score reaches its ceiling without any single detector having asserted anything about fraud.</w:t>
      </w:r>
    </w:p>
    <w:p>
      <w:pPr>
        <w:keepNext/>
        <w:spacing w:after="60" w:before="120"/>
      </w:pPr>
      <w:r>
        <w:rPr>
          <w:rFonts w:ascii="Arial" w:hAnsi="Arial"/>
          <w:b/>
          <w:color w:val="381A89"/>
          <w:sz w:val="18"/>
        </w:rPr>
        <w:t xml:space="preserve">Table 18. </w:t>
      </w:r>
      <w:r>
        <w:rPr>
          <w:rFonts w:ascii="Arial" w:hAnsi="Arial"/>
          <w:color w:val="55516B"/>
          <w:sz w:val="18"/>
        </w:rPr>
        <w:t>Principal risk contributions for DOC-2026-000004, as returned by the risk engine.</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4309"/>
            <w:shd w:val="clear" w:color="auto" w:fill="2E1C6B"/>
          </w:tcPr>
          <w:p>
            <w:pPr>
              <w:spacing w:after="20" w:before="20" w:line="252" w:lineRule="auto"/>
            </w:pPr>
            <w:r>
              <w:rPr>
                <w:rFonts w:ascii="Arial" w:hAnsi="Arial"/>
                <w:b/>
                <w:color w:val="FFFFFF"/>
                <w:sz w:val="18"/>
              </w:rPr>
              <w:t>Signal</w:t>
            </w:r>
          </w:p>
        </w:tc>
        <w:tc>
          <w:tcPr>
            <w:tcW w:type="dxa" w:w="2381"/>
            <w:shd w:val="clear" w:color="auto" w:fill="2E1C6B"/>
          </w:tcPr>
          <w:p>
            <w:pPr>
              <w:spacing w:after="20" w:before="20" w:line="252" w:lineRule="auto"/>
            </w:pPr>
            <w:r>
              <w:rPr>
                <w:rFonts w:ascii="Arial" w:hAnsi="Arial"/>
                <w:b/>
                <w:color w:val="FFFFFF"/>
                <w:sz w:val="18"/>
              </w:rPr>
              <w:t>Category</w:t>
            </w:r>
          </w:p>
        </w:tc>
        <w:tc>
          <w:tcPr>
            <w:tcW w:type="dxa" w:w="907"/>
            <w:shd w:val="clear" w:color="auto" w:fill="2E1C6B"/>
          </w:tcPr>
          <w:p>
            <w:pPr>
              <w:spacing w:after="20" w:before="20" w:line="252" w:lineRule="auto"/>
            </w:pPr>
            <w:r>
              <w:rPr>
                <w:rFonts w:ascii="Arial" w:hAnsi="Arial"/>
                <w:b/>
                <w:color w:val="FFFFFF"/>
                <w:sz w:val="18"/>
              </w:rPr>
              <w:t>Conf.</w:t>
            </w:r>
          </w:p>
        </w:tc>
        <w:tc>
          <w:tcPr>
            <w:tcW w:type="dxa" w:w="1361"/>
            <w:shd w:val="clear" w:color="auto" w:fill="2E1C6B"/>
          </w:tcPr>
          <w:p>
            <w:pPr>
              <w:spacing w:after="20" w:before="20" w:line="252" w:lineRule="auto"/>
            </w:pPr>
            <w:r>
              <w:rPr>
                <w:rFonts w:ascii="Arial" w:hAnsi="Arial"/>
                <w:b/>
                <w:color w:val="FFFFFF"/>
                <w:sz w:val="18"/>
              </w:rPr>
              <w:t>Contribution</w:t>
            </w:r>
          </w:p>
        </w:tc>
      </w:tr>
      <w:tr>
        <w:trPr>
          <w:cantSplit/>
        </w:trPr>
        <w:tc>
          <w:tcPr>
            <w:tcW w:type="dxa" w:w="4309"/>
          </w:tcPr>
          <w:p>
            <w:pPr>
              <w:spacing w:after="20" w:before="20" w:line="264" w:lineRule="auto"/>
            </w:pPr>
            <w:r>
              <w:rPr>
                <w:rFonts w:ascii="Arial" w:hAnsi="Arial"/>
                <w:sz w:val="19"/>
              </w:rPr>
              <w:t>Invoice / billing registry: amount does not match the issuer's record</w:t>
            </w:r>
          </w:p>
        </w:tc>
        <w:tc>
          <w:tcPr>
            <w:tcW w:type="dxa" w:w="2381"/>
          </w:tcPr>
          <w:p>
            <w:pPr>
              <w:spacing w:after="20" w:before="20" w:line="264" w:lineRule="auto"/>
            </w:pPr>
            <w:r>
              <w:rPr>
                <w:rFonts w:ascii="Arial" w:hAnsi="Arial"/>
                <w:sz w:val="19"/>
              </w:rPr>
              <w:t>External verification</w:t>
            </w:r>
          </w:p>
        </w:tc>
        <w:tc>
          <w:tcPr>
            <w:tcW w:type="dxa" w:w="907"/>
          </w:tcPr>
          <w:p>
            <w:pPr>
              <w:spacing w:after="20" w:before="20" w:line="264" w:lineRule="auto"/>
            </w:pPr>
            <w:r>
              <w:rPr>
                <w:rFonts w:ascii="Arial" w:hAnsi="Arial"/>
                <w:sz w:val="19"/>
              </w:rPr>
              <w:t>0.91</w:t>
            </w:r>
          </w:p>
        </w:tc>
        <w:tc>
          <w:tcPr>
            <w:tcW w:type="dxa" w:w="1361"/>
          </w:tcPr>
          <w:p>
            <w:pPr>
              <w:spacing w:after="20" w:before="20" w:line="264" w:lineRule="auto"/>
            </w:pPr>
            <w:r>
              <w:rPr>
                <w:rFonts w:ascii="Arial" w:hAnsi="Arial"/>
                <w:sz w:val="19"/>
              </w:rPr>
              <w:t>34.4</w:t>
            </w:r>
          </w:p>
        </w:tc>
      </w:tr>
      <w:tr>
        <w:trPr>
          <w:cantSplit/>
        </w:trPr>
        <w:tc>
          <w:tcPr>
            <w:tcW w:type="dxa" w:w="4309"/>
            <w:shd w:val="clear" w:color="auto" w:fill="F4F2FA"/>
          </w:tcPr>
          <w:p>
            <w:pPr>
              <w:spacing w:after="20" w:before="20" w:line="264" w:lineRule="auto"/>
            </w:pPr>
            <w:r>
              <w:rPr>
                <w:rFonts w:ascii="Arial" w:hAnsi="Arial"/>
                <w:sz w:val="19"/>
              </w:rPr>
              <w:t>Total amount differs between the medical invoice and the claim form</w:t>
            </w:r>
          </w:p>
        </w:tc>
        <w:tc>
          <w:tcPr>
            <w:tcW w:type="dxa" w:w="2381"/>
            <w:shd w:val="clear" w:color="auto" w:fill="F4F2FA"/>
          </w:tcPr>
          <w:p>
            <w:pPr>
              <w:spacing w:after="20" w:before="20" w:line="264" w:lineRule="auto"/>
            </w:pPr>
            <w:r>
              <w:rPr>
                <w:rFonts w:ascii="Arial" w:hAnsi="Arial"/>
                <w:sz w:val="19"/>
              </w:rPr>
              <w:t>Cross-document agreement</w:t>
            </w:r>
          </w:p>
        </w:tc>
        <w:tc>
          <w:tcPr>
            <w:tcW w:type="dxa" w:w="907"/>
            <w:shd w:val="clear" w:color="auto" w:fill="F4F2FA"/>
          </w:tcPr>
          <w:p>
            <w:pPr>
              <w:spacing w:after="20" w:before="20" w:line="264" w:lineRule="auto"/>
            </w:pPr>
            <w:r>
              <w:rPr>
                <w:rFonts w:ascii="Arial" w:hAnsi="Arial"/>
                <w:sz w:val="19"/>
              </w:rPr>
              <w:t>0.95</w:t>
            </w:r>
          </w:p>
        </w:tc>
        <w:tc>
          <w:tcPr>
            <w:tcW w:type="dxa" w:w="1361"/>
            <w:shd w:val="clear" w:color="auto" w:fill="F4F2FA"/>
          </w:tcPr>
          <w:p>
            <w:pPr>
              <w:spacing w:after="20" w:before="20" w:line="264" w:lineRule="auto"/>
            </w:pPr>
            <w:r>
              <w:rPr>
                <w:rFonts w:ascii="Arial" w:hAnsi="Arial"/>
                <w:sz w:val="19"/>
              </w:rPr>
              <w:t>30.8</w:t>
            </w:r>
          </w:p>
        </w:tc>
      </w:tr>
      <w:tr>
        <w:trPr>
          <w:cantSplit/>
        </w:trPr>
        <w:tc>
          <w:tcPr>
            <w:tcW w:type="dxa" w:w="4309"/>
          </w:tcPr>
          <w:p>
            <w:pPr>
              <w:spacing w:after="20" w:before="20" w:line="264" w:lineRule="auto"/>
            </w:pPr>
            <w:r>
              <w:rPr>
                <w:rFonts w:ascii="Arial" w:hAnsi="Arial"/>
                <w:sz w:val="19"/>
              </w:rPr>
              <w:t>Font change inside a text line: “$8,500.00” (page 1)</w:t>
            </w:r>
          </w:p>
        </w:tc>
        <w:tc>
          <w:tcPr>
            <w:tcW w:type="dxa" w:w="2381"/>
          </w:tcPr>
          <w:p>
            <w:pPr>
              <w:spacing w:after="20" w:before="20" w:line="264" w:lineRule="auto"/>
            </w:pPr>
            <w:r>
              <w:rPr>
                <w:rFonts w:ascii="Arial" w:hAnsi="Arial"/>
                <w:sz w:val="19"/>
              </w:rPr>
              <w:t>Document forensics</w:t>
            </w:r>
          </w:p>
        </w:tc>
        <w:tc>
          <w:tcPr>
            <w:tcW w:type="dxa" w:w="907"/>
          </w:tcPr>
          <w:p>
            <w:pPr>
              <w:spacing w:after="20" w:before="20" w:line="264" w:lineRule="auto"/>
            </w:pPr>
            <w:r>
              <w:rPr>
                <w:rFonts w:ascii="Arial" w:hAnsi="Arial"/>
                <w:sz w:val="19"/>
              </w:rPr>
              <w:t>0.90</w:t>
            </w:r>
          </w:p>
        </w:tc>
        <w:tc>
          <w:tcPr>
            <w:tcW w:type="dxa" w:w="1361"/>
          </w:tcPr>
          <w:p>
            <w:pPr>
              <w:spacing w:after="20" w:before="20" w:line="264" w:lineRule="auto"/>
            </w:pPr>
            <w:r>
              <w:rPr>
                <w:rFonts w:ascii="Arial" w:hAnsi="Arial"/>
                <w:sz w:val="19"/>
              </w:rPr>
              <w:t>23.1</w:t>
            </w:r>
          </w:p>
        </w:tc>
      </w:tr>
      <w:tr>
        <w:trPr>
          <w:cantSplit/>
        </w:trPr>
        <w:tc>
          <w:tcPr>
            <w:tcW w:type="dxa" w:w="4309"/>
            <w:shd w:val="clear" w:color="auto" w:fill="F4F2FA"/>
          </w:tcPr>
          <w:p>
            <w:pPr>
              <w:spacing w:after="20" w:before="20" w:line="264" w:lineRule="auto"/>
            </w:pPr>
            <w:r>
              <w:rPr>
                <w:rFonts w:ascii="Arial" w:hAnsi="Arial"/>
                <w:sz w:val="19"/>
              </w:rPr>
              <w:t>Printed total does not match the sum of its own components</w:t>
            </w:r>
          </w:p>
        </w:tc>
        <w:tc>
          <w:tcPr>
            <w:tcW w:type="dxa" w:w="2381"/>
            <w:shd w:val="clear" w:color="auto" w:fill="F4F2FA"/>
          </w:tcPr>
          <w:p>
            <w:pPr>
              <w:spacing w:after="20" w:before="20" w:line="264" w:lineRule="auto"/>
            </w:pPr>
            <w:r>
              <w:rPr>
                <w:rFonts w:ascii="Arial" w:hAnsi="Arial"/>
                <w:sz w:val="19"/>
              </w:rPr>
              <w:t>Internal consistency</w:t>
            </w:r>
          </w:p>
        </w:tc>
        <w:tc>
          <w:tcPr>
            <w:tcW w:type="dxa" w:w="907"/>
            <w:shd w:val="clear" w:color="auto" w:fill="F4F2FA"/>
          </w:tcPr>
          <w:p>
            <w:pPr>
              <w:spacing w:after="20" w:before="20" w:line="264" w:lineRule="auto"/>
            </w:pPr>
            <w:r>
              <w:rPr>
                <w:rFonts w:ascii="Arial" w:hAnsi="Arial"/>
                <w:sz w:val="19"/>
              </w:rPr>
              <w:t>0.88</w:t>
            </w:r>
          </w:p>
        </w:tc>
        <w:tc>
          <w:tcPr>
            <w:tcW w:type="dxa" w:w="1361"/>
            <w:shd w:val="clear" w:color="auto" w:fill="F4F2FA"/>
          </w:tcPr>
          <w:p>
            <w:pPr>
              <w:spacing w:after="20" w:before="20" w:line="264" w:lineRule="auto"/>
            </w:pPr>
            <w:r>
              <w:rPr>
                <w:rFonts w:ascii="Arial" w:hAnsi="Arial"/>
                <w:sz w:val="19"/>
              </w:rPr>
              <w:t>21.4</w:t>
            </w:r>
          </w:p>
        </w:tc>
      </w:tr>
    </w:tbl>
    <w:p>
      <w:pPr>
        <w:spacing w:after="40"/>
      </w:pPr>
    </w:p>
    <w:p>
      <w:pPr>
        <w:spacing w:after="160"/>
        <w:jc w:val="both"/>
      </w:pPr>
      <w:r>
        <w:t>The four routes are epistemically distinct, and that is the point. The verification mismatch is an external record contradicting the document. The cross-document mismatch is two documents in one bundle disagreeing. The font change is an exact structural fact about the file. The arithmetic failure is a deterministic property of the document's own printed values. A tampering finding then names the region — the region from measurement, the label from extraction — and the viewer boxes the pixels, which is what the investigator actually inspects.</w:t>
      </w:r>
    </w:p>
    <w:p>
      <w:pPr>
        <w:spacing w:after="160"/>
        <w:jc w:val="both"/>
      </w:pPr>
      <w:r>
        <w:t>The assessment is High Concern at 100/100, and it is accompanied, as every assessment is, by the note that the score is a triage ranking and not a probability that fraud occurred. What the platform has established is that the printed total is not supported by the document's own components, by the other document in the bundle, or by the issuer's record, and that the characters of that total were drawn from a different font resource than their line. What it has not established — and says so — is who did that, when, or with what intent.</w:t>
      </w:r>
    </w:p>
    <w:p>
      <w:pPr>
        <w:spacing w:after="160"/>
        <w:jc w:val="both"/>
      </w:pPr>
      <w:r>
        <w:t>Dismissing the cross-document finding with a written reason and recomputing demonstrates the review path end to end: the signal is excluded, the exclusion is reported with the new score, the finding is retained with its reason, and the decision survives a subsequent re-run of the analysis.</w:t>
      </w:r>
    </w:p>
    <w:p>
      <w:pPr>
        <w:pStyle w:val="Heading2"/>
      </w:pPr>
      <w:r>
        <w:t>8.3  Behaviour on clean documents</w:t>
      </w:r>
    </w:p>
    <w:p>
      <w:pPr>
        <w:spacing w:after="160"/>
        <w:jc w:val="both"/>
      </w:pPr>
      <w:r>
        <w:t xml:space="preserve">The corpus deliberately includes documents with nothing wrong with them, because a detection platform is judged as much by its behaviour on clean inputs as by its behaviour on manipulated ones. On these the platform reports Low Concern with the applicable checks listed as </w:t>
      </w:r>
      <w:r>
        <w:rPr>
          <w:i/>
        </w:rPr>
        <w:t>passed</w:t>
      </w:r>
      <w:r>
        <w:t>, the non-applicable ones listed with the reason they did not apply, and the informational findings — a stripped EXIF block on an exported image, a low-quality JPEG — shown in a separate “checks that produced no concern” section rather than as signals.</w:t>
      </w:r>
    </w:p>
    <w:p>
      <w:pPr>
        <w:spacing w:after="160"/>
        <w:jc w:val="both"/>
      </w:pPr>
      <w:r>
        <w:t>Two behaviours are worth noting as results in their own right. A heavily compressed image raises an informational finding stating that the compression has destroyed the detail the other detectors need, so an absence of findings on that document is uninformative — the platform reports the weakness of its own coverage. And a vector PDF records the pixel-history stage as not applicable rather than producing measurements of the renderer.</w:t>
      </w:r>
    </w:p>
    <w:p>
      <w:pPr>
        <w:pStyle w:val="Heading2"/>
      </w:pPr>
      <w:r>
        <w:t>8.4  Evaluation against the objectives</w:t>
      </w:r>
    </w:p>
    <w:p>
      <w:pPr>
        <w:keepNext/>
        <w:spacing w:after="60" w:before="120"/>
      </w:pPr>
      <w:r>
        <w:rPr>
          <w:rFonts w:ascii="Arial" w:hAnsi="Arial"/>
          <w:b/>
          <w:color w:val="381A89"/>
          <w:sz w:val="18"/>
        </w:rPr>
        <w:t xml:space="preserve">Table 19. </w:t>
      </w:r>
      <w:r>
        <w:rPr>
          <w:rFonts w:ascii="Arial" w:hAnsi="Arial"/>
          <w:color w:val="55516B"/>
          <w:sz w:val="18"/>
        </w:rPr>
        <w:t>Objectives against outcomes.</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567"/>
            <w:shd w:val="clear" w:color="auto" w:fill="2E1C6B"/>
          </w:tcPr>
          <w:p>
            <w:pPr>
              <w:spacing w:after="20" w:before="20" w:line="252" w:lineRule="auto"/>
            </w:pPr>
            <w:r>
              <w:rPr>
                <w:rFonts w:ascii="Arial" w:hAnsi="Arial"/>
                <w:b/>
                <w:color w:val="FFFFFF"/>
                <w:sz w:val="17"/>
              </w:rPr>
              <w:t>#</w:t>
            </w:r>
          </w:p>
        </w:tc>
        <w:tc>
          <w:tcPr>
            <w:tcW w:type="dxa" w:w="1928"/>
            <w:shd w:val="clear" w:color="auto" w:fill="2E1C6B"/>
          </w:tcPr>
          <w:p>
            <w:pPr>
              <w:spacing w:after="20" w:before="20" w:line="252" w:lineRule="auto"/>
            </w:pPr>
            <w:r>
              <w:rPr>
                <w:rFonts w:ascii="Arial" w:hAnsi="Arial"/>
                <w:b/>
                <w:color w:val="FFFFFF"/>
                <w:sz w:val="17"/>
              </w:rPr>
              <w:t>Outcome</w:t>
            </w:r>
          </w:p>
        </w:tc>
        <w:tc>
          <w:tcPr>
            <w:tcW w:type="dxa" w:w="6463"/>
            <w:shd w:val="clear" w:color="auto" w:fill="2E1C6B"/>
          </w:tcPr>
          <w:p>
            <w:pPr>
              <w:spacing w:after="20" w:before="20" w:line="252" w:lineRule="auto"/>
            </w:pPr>
            <w:r>
              <w:rPr>
                <w:rFonts w:ascii="Arial" w:hAnsi="Arial"/>
                <w:b/>
                <w:color w:val="FFFFFF"/>
                <w:sz w:val="17"/>
              </w:rPr>
              <w:t>Evidence</w:t>
            </w:r>
          </w:p>
        </w:tc>
      </w:tr>
      <w:tr>
        <w:trPr>
          <w:cantSplit/>
        </w:trPr>
        <w:tc>
          <w:tcPr>
            <w:tcW w:type="dxa" w:w="567"/>
          </w:tcPr>
          <w:p>
            <w:pPr>
              <w:spacing w:after="20" w:before="20" w:line="264" w:lineRule="auto"/>
            </w:pPr>
            <w:r>
              <w:rPr>
                <w:rFonts w:ascii="Arial" w:hAnsi="Arial"/>
                <w:sz w:val="18"/>
              </w:rPr>
              <w:t>O1</w:t>
            </w:r>
          </w:p>
        </w:tc>
        <w:tc>
          <w:tcPr>
            <w:tcW w:type="dxa" w:w="1928"/>
          </w:tcPr>
          <w:p>
            <w:pPr>
              <w:spacing w:after="20" w:before="20" w:line="264" w:lineRule="auto"/>
            </w:pPr>
            <w:r>
              <w:rPr>
                <w:rFonts w:ascii="Arial" w:hAnsi="Arial"/>
                <w:sz w:val="18"/>
              </w:rPr>
              <w:t>Met</w:t>
            </w:r>
          </w:p>
        </w:tc>
        <w:tc>
          <w:tcPr>
            <w:tcW w:type="dxa" w:w="6463"/>
          </w:tcPr>
          <w:p>
            <w:pPr>
              <w:spacing w:after="20" w:before="20" w:line="264" w:lineRule="auto"/>
            </w:pPr>
            <w:r>
              <w:rPr>
                <w:rFonts w:ascii="Arial" w:hAnsi="Arial"/>
                <w:sz w:val="18"/>
              </w:rPr>
              <w:t>Seven-step validated ingest; write-once originals at mode 0o440; hash re-verified in stage 1; quarantine without deletion; 14 upload-security tests.</w:t>
            </w:r>
          </w:p>
        </w:tc>
      </w:tr>
      <w:tr>
        <w:trPr>
          <w:cantSplit/>
        </w:trPr>
        <w:tc>
          <w:tcPr>
            <w:tcW w:type="dxa" w:w="567"/>
            <w:shd w:val="clear" w:color="auto" w:fill="F4F2FA"/>
          </w:tcPr>
          <w:p>
            <w:pPr>
              <w:spacing w:after="20" w:before="20" w:line="264" w:lineRule="auto"/>
            </w:pPr>
            <w:r>
              <w:rPr>
                <w:rFonts w:ascii="Arial" w:hAnsi="Arial"/>
                <w:sz w:val="18"/>
              </w:rPr>
              <w:t>O2</w:t>
            </w:r>
          </w:p>
        </w:tc>
        <w:tc>
          <w:tcPr>
            <w:tcW w:type="dxa" w:w="1928"/>
            <w:shd w:val="clear" w:color="auto" w:fill="F4F2FA"/>
          </w:tcPr>
          <w:p>
            <w:pPr>
              <w:spacing w:after="20" w:before="20" w:line="264" w:lineRule="auto"/>
            </w:pPr>
            <w:r>
              <w:rPr>
                <w:rFonts w:ascii="Arial" w:hAnsi="Arial"/>
                <w:sz w:val="18"/>
              </w:rPr>
              <w:t>Met</w:t>
            </w:r>
          </w:p>
        </w:tc>
        <w:tc>
          <w:tcPr>
            <w:tcW w:type="dxa" w:w="6463"/>
            <w:shd w:val="clear" w:color="auto" w:fill="F4F2FA"/>
          </w:tcPr>
          <w:p>
            <w:pPr>
              <w:spacing w:after="20" w:before="20" w:line="264" w:lineRule="auto"/>
            </w:pPr>
            <w:r>
              <w:rPr>
                <w:rFonts w:ascii="Arial" w:hAnsi="Arial"/>
                <w:sz w:val="18"/>
              </w:rPr>
              <w:t>Three recognition strategies behind one interface; 12 schemas over 60 field specifications; a box and a confidence on every value; 11 extraction tests.</w:t>
            </w:r>
          </w:p>
        </w:tc>
      </w:tr>
      <w:tr>
        <w:trPr>
          <w:cantSplit/>
        </w:trPr>
        <w:tc>
          <w:tcPr>
            <w:tcW w:type="dxa" w:w="567"/>
          </w:tcPr>
          <w:p>
            <w:pPr>
              <w:spacing w:after="20" w:before="20" w:line="264" w:lineRule="auto"/>
            </w:pPr>
            <w:r>
              <w:rPr>
                <w:rFonts w:ascii="Arial" w:hAnsi="Arial"/>
                <w:sz w:val="18"/>
              </w:rPr>
              <w:t>O3</w:t>
            </w:r>
          </w:p>
        </w:tc>
        <w:tc>
          <w:tcPr>
            <w:tcW w:type="dxa" w:w="1928"/>
          </w:tcPr>
          <w:p>
            <w:pPr>
              <w:spacing w:after="20" w:before="20" w:line="264" w:lineRule="auto"/>
            </w:pPr>
            <w:r>
              <w:rPr>
                <w:rFonts w:ascii="Arial" w:hAnsi="Arial"/>
                <w:sz w:val="18"/>
              </w:rPr>
              <w:t>Met</w:t>
            </w:r>
          </w:p>
        </w:tc>
        <w:tc>
          <w:tcPr>
            <w:tcW w:type="dxa" w:w="6463"/>
          </w:tcPr>
          <w:p>
            <w:pPr>
              <w:spacing w:after="20" w:before="20" w:line="264" w:lineRule="auto"/>
            </w:pPr>
            <w:r>
              <w:rPr>
                <w:rFonts w:ascii="Arial" w:hAnsi="Arial"/>
                <w:sz w:val="18"/>
              </w:rPr>
              <w:t>Four detector families over PDF structure, metadata, pixels and typography, including exact per-character font resources; two confounded metrics measured and explicitly not raised.</w:t>
            </w:r>
          </w:p>
        </w:tc>
      </w:tr>
      <w:tr>
        <w:trPr>
          <w:cantSplit/>
        </w:trPr>
        <w:tc>
          <w:tcPr>
            <w:tcW w:type="dxa" w:w="567"/>
            <w:shd w:val="clear" w:color="auto" w:fill="F4F2FA"/>
          </w:tcPr>
          <w:p>
            <w:pPr>
              <w:spacing w:after="20" w:before="20" w:line="264" w:lineRule="auto"/>
            </w:pPr>
            <w:r>
              <w:rPr>
                <w:rFonts w:ascii="Arial" w:hAnsi="Arial"/>
                <w:sz w:val="18"/>
              </w:rPr>
              <w:t>O4</w:t>
            </w:r>
          </w:p>
        </w:tc>
        <w:tc>
          <w:tcPr>
            <w:tcW w:type="dxa" w:w="1928"/>
            <w:shd w:val="clear" w:color="auto" w:fill="F4F2FA"/>
          </w:tcPr>
          <w:p>
            <w:pPr>
              <w:spacing w:after="20" w:before="20" w:line="264" w:lineRule="auto"/>
            </w:pPr>
            <w:r>
              <w:rPr>
                <w:rFonts w:ascii="Arial" w:hAnsi="Arial"/>
                <w:sz w:val="18"/>
              </w:rPr>
              <w:t>Met</w:t>
            </w:r>
          </w:p>
        </w:tc>
        <w:tc>
          <w:tcPr>
            <w:tcW w:type="dxa" w:w="6463"/>
            <w:shd w:val="clear" w:color="auto" w:fill="F4F2FA"/>
          </w:tcPr>
          <w:p>
            <w:pPr>
              <w:spacing w:after="20" w:before="20" w:line="264" w:lineRule="auto"/>
            </w:pPr>
            <w:r>
              <w:rPr>
                <w:rFonts w:ascii="Arial" w:hAnsi="Arial"/>
                <w:sz w:val="18"/>
              </w:rPr>
              <w:t>Noisy-OR correlation over eleven ranked sources with an agreement gate; 13 tamper types named by intersecting the region with extracted fields.</w:t>
            </w:r>
          </w:p>
        </w:tc>
      </w:tr>
      <w:tr>
        <w:trPr>
          <w:cantSplit/>
        </w:trPr>
        <w:tc>
          <w:tcPr>
            <w:tcW w:type="dxa" w:w="567"/>
          </w:tcPr>
          <w:p>
            <w:pPr>
              <w:spacing w:after="20" w:before="20" w:line="264" w:lineRule="auto"/>
            </w:pPr>
            <w:r>
              <w:rPr>
                <w:rFonts w:ascii="Arial" w:hAnsi="Arial"/>
                <w:sz w:val="18"/>
              </w:rPr>
              <w:t>O5</w:t>
            </w:r>
          </w:p>
        </w:tc>
        <w:tc>
          <w:tcPr>
            <w:tcW w:type="dxa" w:w="1928"/>
          </w:tcPr>
          <w:p>
            <w:pPr>
              <w:spacing w:after="20" w:before="20" w:line="264" w:lineRule="auto"/>
            </w:pPr>
            <w:r>
              <w:rPr>
                <w:rFonts w:ascii="Arial" w:hAnsi="Arial"/>
                <w:sz w:val="18"/>
              </w:rPr>
              <w:t>Met</w:t>
            </w:r>
          </w:p>
        </w:tc>
        <w:tc>
          <w:tcPr>
            <w:tcW w:type="dxa" w:w="6463"/>
          </w:tcPr>
          <w:p>
            <w:pPr>
              <w:spacing w:after="20" w:before="20" w:line="264" w:lineRule="auto"/>
            </w:pPr>
            <w:r>
              <w:rPr>
                <w:rFonts w:ascii="Arial" w:hAnsi="Arial"/>
                <w:sz w:val="18"/>
              </w:rPr>
              <w:t>20 declarative rules with administrator overrides; passes and not-applicable outcomes reported; per-rule isolation; 20 tests.</w:t>
            </w:r>
          </w:p>
        </w:tc>
      </w:tr>
      <w:tr>
        <w:trPr>
          <w:cantSplit/>
        </w:trPr>
        <w:tc>
          <w:tcPr>
            <w:tcW w:type="dxa" w:w="567"/>
            <w:shd w:val="clear" w:color="auto" w:fill="F4F2FA"/>
          </w:tcPr>
          <w:p>
            <w:pPr>
              <w:spacing w:after="20" w:before="20" w:line="264" w:lineRule="auto"/>
            </w:pPr>
            <w:r>
              <w:rPr>
                <w:rFonts w:ascii="Arial" w:hAnsi="Arial"/>
                <w:sz w:val="18"/>
              </w:rPr>
              <w:t>O6</w:t>
            </w:r>
          </w:p>
        </w:tc>
        <w:tc>
          <w:tcPr>
            <w:tcW w:type="dxa" w:w="1928"/>
            <w:shd w:val="clear" w:color="auto" w:fill="F4F2FA"/>
          </w:tcPr>
          <w:p>
            <w:pPr>
              <w:spacing w:after="20" w:before="20" w:line="264" w:lineRule="auto"/>
            </w:pPr>
            <w:r>
              <w:rPr>
                <w:rFonts w:ascii="Arial" w:hAnsi="Arial"/>
                <w:sz w:val="18"/>
              </w:rPr>
              <w:t>Met</w:t>
            </w:r>
          </w:p>
        </w:tc>
        <w:tc>
          <w:tcPr>
            <w:tcW w:type="dxa" w:w="6463"/>
            <w:shd w:val="clear" w:color="auto" w:fill="F4F2FA"/>
          </w:tcPr>
          <w:p>
            <w:pPr>
              <w:spacing w:after="20" w:before="20" w:line="264" w:lineRule="auto"/>
            </w:pPr>
            <w:r>
              <w:rPr>
                <w:rFonts w:ascii="Arial" w:hAnsi="Arial"/>
                <w:sz w:val="18"/>
              </w:rPr>
              <w:t>17 fields compared with three pairing policies and subject resolution; skipped comparisons displayed with reasons; 17 tests.</w:t>
            </w:r>
          </w:p>
        </w:tc>
      </w:tr>
      <w:tr>
        <w:trPr>
          <w:cantSplit/>
        </w:trPr>
        <w:tc>
          <w:tcPr>
            <w:tcW w:type="dxa" w:w="567"/>
          </w:tcPr>
          <w:p>
            <w:pPr>
              <w:spacing w:after="20" w:before="20" w:line="264" w:lineRule="auto"/>
            </w:pPr>
            <w:r>
              <w:rPr>
                <w:rFonts w:ascii="Arial" w:hAnsi="Arial"/>
                <w:sz w:val="18"/>
              </w:rPr>
              <w:t>O7</w:t>
            </w:r>
          </w:p>
        </w:tc>
        <w:tc>
          <w:tcPr>
            <w:tcW w:type="dxa" w:w="1928"/>
          </w:tcPr>
          <w:p>
            <w:pPr>
              <w:spacing w:after="20" w:before="20" w:line="264" w:lineRule="auto"/>
            </w:pPr>
            <w:r>
              <w:rPr>
                <w:rFonts w:ascii="Arial" w:hAnsi="Arial"/>
                <w:sz w:val="18"/>
              </w:rPr>
              <w:t>Met, within the stated scope</w:t>
            </w:r>
          </w:p>
        </w:tc>
        <w:tc>
          <w:tcPr>
            <w:tcW w:type="dxa" w:w="6463"/>
          </w:tcPr>
          <w:p>
            <w:pPr>
              <w:spacing w:after="20" w:before="20" w:line="264" w:lineRule="auto"/>
            </w:pPr>
            <w:r>
              <w:rPr>
                <w:rFonts w:ascii="Arial" w:hAnsi="Arial"/>
                <w:sz w:val="18"/>
              </w:rPr>
              <w:t>Eight-feature deterministic provider with published weights, band-only output, demo labelling at five layers, and a tested production seam. A trained classifier remains out of scope (Section 2.3).</w:t>
            </w:r>
          </w:p>
        </w:tc>
      </w:tr>
      <w:tr>
        <w:trPr>
          <w:cantSplit/>
        </w:trPr>
        <w:tc>
          <w:tcPr>
            <w:tcW w:type="dxa" w:w="567"/>
            <w:shd w:val="clear" w:color="auto" w:fill="F4F2FA"/>
          </w:tcPr>
          <w:p>
            <w:pPr>
              <w:spacing w:after="20" w:before="20" w:line="264" w:lineRule="auto"/>
            </w:pPr>
            <w:r>
              <w:rPr>
                <w:rFonts w:ascii="Arial" w:hAnsi="Arial"/>
                <w:sz w:val="18"/>
              </w:rPr>
              <w:t>O8</w:t>
            </w:r>
          </w:p>
        </w:tc>
        <w:tc>
          <w:tcPr>
            <w:tcW w:type="dxa" w:w="1928"/>
            <w:shd w:val="clear" w:color="auto" w:fill="F4F2FA"/>
          </w:tcPr>
          <w:p>
            <w:pPr>
              <w:spacing w:after="20" w:before="20" w:line="264" w:lineRule="auto"/>
            </w:pPr>
            <w:r>
              <w:rPr>
                <w:rFonts w:ascii="Arial" w:hAnsi="Arial"/>
                <w:sz w:val="18"/>
              </w:rPr>
              <w:t>Met, within the stated scope</w:t>
            </w:r>
          </w:p>
        </w:tc>
        <w:tc>
          <w:tcPr>
            <w:tcW w:type="dxa" w:w="6463"/>
            <w:shd w:val="clear" w:color="auto" w:fill="F4F2FA"/>
          </w:tcPr>
          <w:p>
            <w:pPr>
              <w:spacing w:after="20" w:before="20" w:line="264" w:lineRule="auto"/>
            </w:pPr>
            <w:r>
              <w:rPr>
                <w:rFonts w:ascii="Arial" w:hAnsi="Arial"/>
                <w:sz w:val="18"/>
              </w:rPr>
              <w:t>Six routes behind one interface with critical-versus-peripheral outcome grading. Live registry connections require commercial access (Section 2.3).</w:t>
            </w:r>
          </w:p>
        </w:tc>
      </w:tr>
      <w:tr>
        <w:trPr>
          <w:cantSplit/>
        </w:trPr>
        <w:tc>
          <w:tcPr>
            <w:tcW w:type="dxa" w:w="567"/>
          </w:tcPr>
          <w:p>
            <w:pPr>
              <w:spacing w:after="20" w:before="20" w:line="264" w:lineRule="auto"/>
            </w:pPr>
            <w:r>
              <w:rPr>
                <w:rFonts w:ascii="Arial" w:hAnsi="Arial"/>
                <w:sz w:val="18"/>
              </w:rPr>
              <w:t>O9</w:t>
            </w:r>
          </w:p>
        </w:tc>
        <w:tc>
          <w:tcPr>
            <w:tcW w:type="dxa" w:w="1928"/>
          </w:tcPr>
          <w:p>
            <w:pPr>
              <w:spacing w:after="20" w:before="20" w:line="264" w:lineRule="auto"/>
            </w:pPr>
            <w:r>
              <w:rPr>
                <w:rFonts w:ascii="Arial" w:hAnsi="Arial"/>
                <w:sz w:val="18"/>
              </w:rPr>
              <w:t>Met</w:t>
            </w:r>
          </w:p>
        </w:tc>
        <w:tc>
          <w:tcPr>
            <w:tcW w:type="dxa" w:w="6463"/>
          </w:tcPr>
          <w:p>
            <w:pPr>
              <w:spacing w:after="20" w:before="20" w:line="264" w:lineRule="auto"/>
            </w:pPr>
            <w:r>
              <w:rPr>
                <w:rFonts w:ascii="Arial" w:hAnsi="Arial"/>
                <w:sz w:val="18"/>
              </w:rPr>
              <w:t>Published three-step formula, per-category saturation and ceilings, database-held weights and thresholds, full term-by-term output; 19 tests including monotonicity and saturation.</w:t>
            </w:r>
          </w:p>
        </w:tc>
      </w:tr>
      <w:tr>
        <w:trPr>
          <w:cantSplit/>
        </w:trPr>
        <w:tc>
          <w:tcPr>
            <w:tcW w:type="dxa" w:w="567"/>
            <w:shd w:val="clear" w:color="auto" w:fill="F4F2FA"/>
          </w:tcPr>
          <w:p>
            <w:pPr>
              <w:spacing w:after="20" w:before="20" w:line="264" w:lineRule="auto"/>
            </w:pPr>
            <w:r>
              <w:rPr>
                <w:rFonts w:ascii="Arial" w:hAnsi="Arial"/>
                <w:sz w:val="18"/>
              </w:rPr>
              <w:t>O10</w:t>
            </w:r>
          </w:p>
        </w:tc>
        <w:tc>
          <w:tcPr>
            <w:tcW w:type="dxa" w:w="1928"/>
            <w:shd w:val="clear" w:color="auto" w:fill="F4F2FA"/>
          </w:tcPr>
          <w:p>
            <w:pPr>
              <w:spacing w:after="20" w:before="20" w:line="264" w:lineRule="auto"/>
            </w:pPr>
            <w:r>
              <w:rPr>
                <w:rFonts w:ascii="Arial" w:hAnsi="Arial"/>
                <w:sz w:val="18"/>
              </w:rPr>
              <w:t>Met</w:t>
            </w:r>
          </w:p>
        </w:tc>
        <w:tc>
          <w:tcPr>
            <w:tcW w:type="dxa" w:w="6463"/>
            <w:shd w:val="clear" w:color="auto" w:fill="F4F2FA"/>
          </w:tcPr>
          <w:p>
            <w:pPr>
              <w:spacing w:after="20" w:before="20" w:line="264" w:lineRule="auto"/>
            </w:pPr>
            <w:r>
              <w:rPr>
                <w:rFonts w:ascii="Arial" w:hAnsi="Arial"/>
                <w:sz w:val="18"/>
              </w:rPr>
              <w:t>Split-screen workstation with bidirectional finding-to-pixel linkage; mandatory written reasons enforced server-side; explicit reassessment; decisions preserved across reprocessing.</w:t>
            </w:r>
          </w:p>
        </w:tc>
      </w:tr>
      <w:tr>
        <w:trPr>
          <w:cantSplit/>
        </w:trPr>
        <w:tc>
          <w:tcPr>
            <w:tcW w:type="dxa" w:w="567"/>
          </w:tcPr>
          <w:p>
            <w:pPr>
              <w:spacing w:after="20" w:before="20" w:line="264" w:lineRule="auto"/>
            </w:pPr>
            <w:r>
              <w:rPr>
                <w:rFonts w:ascii="Arial" w:hAnsi="Arial"/>
                <w:sz w:val="18"/>
              </w:rPr>
              <w:t>O11</w:t>
            </w:r>
          </w:p>
        </w:tc>
        <w:tc>
          <w:tcPr>
            <w:tcW w:type="dxa" w:w="1928"/>
          </w:tcPr>
          <w:p>
            <w:pPr>
              <w:spacing w:after="20" w:before="20" w:line="264" w:lineRule="auto"/>
            </w:pPr>
            <w:r>
              <w:rPr>
                <w:rFonts w:ascii="Arial" w:hAnsi="Arial"/>
                <w:sz w:val="18"/>
              </w:rPr>
              <w:t>Met</w:t>
            </w:r>
          </w:p>
        </w:tc>
        <w:tc>
          <w:tcPr>
            <w:tcW w:type="dxa" w:w="6463"/>
          </w:tcPr>
          <w:p>
            <w:pPr>
              <w:spacing w:after="20" w:before="20" w:line="264" w:lineRule="auto"/>
            </w:pPr>
            <w:r>
              <w:rPr>
                <w:rFonts w:ascii="Arial" w:hAnsi="Arial"/>
                <w:sz w:val="18"/>
              </w:rPr>
              <w:t>Hash-chained audit trail with a verification endpoint; four roles over 33 permissions enforced server-side; deployed behind TLS with the API unreachable from the internet.</w:t>
            </w:r>
          </w:p>
        </w:tc>
      </w:tr>
    </w:tbl>
    <w:p>
      <w:pPr>
        <w:spacing w:after="40"/>
      </w:pPr>
    </w:p>
    <w:tbl>
      <w:tblPr>
        <w:tblW w:type="auto" w:w="0"/>
        <w:tblLook w:firstColumn="1" w:firstRow="1" w:lastColumn="0" w:lastRow="0" w:noHBand="0" w:noVBand="1" w:val="04A0"/>
      </w:tblPr>
      <w:tblGrid>
        <w:gridCol w:w="9185"/>
      </w:tblGrid>
      <w:tr>
        <w:tc>
          <w:tcPr>
            <w:tcW w:type="dxa" w:w="9184"/>
            <w:tcBorders>
              <w:left w:val="single" w:sz="24" w:space="0" w:color="2E1C6B"/>
            </w:tcBorders>
            <w:shd w:val="clear" w:color="auto" w:fill="F7F6FB"/>
          </w:tcPr>
          <w:p>
            <w:pPr>
              <w:spacing w:after="60"/>
            </w:pPr>
            <w:r>
              <w:rPr>
                <w:rFonts w:ascii="Arial" w:hAnsi="Arial"/>
                <w:b/>
                <w:color w:val="381A89"/>
                <w:sz w:val="21"/>
              </w:rPr>
              <w:t>What these results do not establish</w:t>
            </w:r>
          </w:p>
          <w:p>
            <w:pPr>
              <w:spacing w:after="0" w:line="288" w:lineRule="auto"/>
              <w:jc w:val="both"/>
            </w:pPr>
            <w:r>
              <w:rPr>
                <w:sz w:val="21"/>
              </w:rPr>
              <w:t>No detection rate, false-positive rate, precision or recall is claimed anywhere in this report. The evaluation corpus was generated by the same project that wrote the detectors, which makes it valid for demonstrating that each detector fires on the property it claims to measure and that the system works end to end, and invalid for estimating performance on real claim traffic. Obtaining such estimates requires a labelled corpus of genuine claim documents with adjudicated outcomes, and is the first item of future work.</w:t>
            </w:r>
          </w:p>
        </w:tc>
      </w:tr>
    </w:tbl>
    <w:p>
      <w:pPr>
        <w:spacing w:after="80"/>
      </w:pPr>
    </w:p>
    <w:p>
      <w:pPr>
        <w:pStyle w:val="Heading2"/>
      </w:pPr>
      <w:r>
        <w:t>8.5  Operational characteristics</w:t>
      </w:r>
    </w:p>
    <w:p>
      <w:pPr>
        <w:keepNext/>
        <w:spacing w:after="60" w:before="120"/>
      </w:pPr>
      <w:r>
        <w:rPr>
          <w:rFonts w:ascii="Arial" w:hAnsi="Arial"/>
          <w:b/>
          <w:color w:val="381A89"/>
          <w:sz w:val="18"/>
        </w:rPr>
        <w:t xml:space="preserve">Table 20. </w:t>
      </w:r>
      <w:r>
        <w:rPr>
          <w:rFonts w:ascii="Arial" w:hAnsi="Arial"/>
          <w:color w:val="55516B"/>
          <w:sz w:val="18"/>
        </w:rPr>
        <w:t>Measured operational characteristics of the submitted system.</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2608"/>
            <w:shd w:val="clear" w:color="auto" w:fill="2E1C6B"/>
          </w:tcPr>
          <w:p>
            <w:pPr>
              <w:spacing w:after="20" w:before="20" w:line="252" w:lineRule="auto"/>
            </w:pPr>
            <w:r>
              <w:rPr>
                <w:rFonts w:ascii="Arial" w:hAnsi="Arial"/>
                <w:b/>
                <w:color w:val="FFFFFF"/>
                <w:sz w:val="18"/>
              </w:rPr>
              <w:t>Property</w:t>
            </w:r>
          </w:p>
        </w:tc>
        <w:tc>
          <w:tcPr>
            <w:tcW w:type="dxa" w:w="6350"/>
            <w:shd w:val="clear" w:color="auto" w:fill="2E1C6B"/>
          </w:tcPr>
          <w:p>
            <w:pPr>
              <w:spacing w:after="20" w:before="20" w:line="252" w:lineRule="auto"/>
            </w:pPr>
            <w:r>
              <w:rPr>
                <w:rFonts w:ascii="Arial" w:hAnsi="Arial"/>
                <w:b/>
                <w:color w:val="FFFFFF"/>
                <w:sz w:val="18"/>
              </w:rPr>
              <w:t>Value</w:t>
            </w:r>
          </w:p>
        </w:tc>
      </w:tr>
      <w:tr>
        <w:trPr>
          <w:cantSplit/>
        </w:trPr>
        <w:tc>
          <w:tcPr>
            <w:tcW w:type="dxa" w:w="2608"/>
          </w:tcPr>
          <w:p>
            <w:pPr>
              <w:spacing w:after="20" w:before="20" w:line="264" w:lineRule="auto"/>
            </w:pPr>
            <w:r>
              <w:rPr>
                <w:rFonts w:ascii="Arial" w:hAnsi="Arial"/>
                <w:sz w:val="19"/>
              </w:rPr>
              <w:t>Full test suite runtime</w:t>
            </w:r>
          </w:p>
        </w:tc>
        <w:tc>
          <w:tcPr>
            <w:tcW w:type="dxa" w:w="6350"/>
          </w:tcPr>
          <w:p>
            <w:pPr>
              <w:spacing w:after="20" w:before="20" w:line="264" w:lineRule="auto"/>
            </w:pPr>
            <w:r>
              <w:rPr>
                <w:rFonts w:ascii="Arial" w:hAnsi="Arial"/>
                <w:sz w:val="19"/>
              </w:rPr>
              <w:t>157.78 s for 174 tests, including the end-to-end pipeline tests that render and recognise real documents</w:t>
            </w:r>
          </w:p>
        </w:tc>
      </w:tr>
      <w:tr>
        <w:trPr>
          <w:cantSplit/>
        </w:trPr>
        <w:tc>
          <w:tcPr>
            <w:tcW w:type="dxa" w:w="2608"/>
            <w:shd w:val="clear" w:color="auto" w:fill="F4F2FA"/>
          </w:tcPr>
          <w:p>
            <w:pPr>
              <w:spacing w:after="20" w:before="20" w:line="264" w:lineRule="auto"/>
            </w:pPr>
            <w:r>
              <w:rPr>
                <w:rFonts w:ascii="Arial" w:hAnsi="Arial"/>
                <w:sz w:val="19"/>
              </w:rPr>
              <w:t>Analysis coverage limits</w:t>
            </w:r>
          </w:p>
        </w:tc>
        <w:tc>
          <w:tcPr>
            <w:tcW w:type="dxa" w:w="6350"/>
            <w:shd w:val="clear" w:color="auto" w:fill="F4F2FA"/>
          </w:tcPr>
          <w:p>
            <w:pPr>
              <w:spacing w:after="20" w:before="20" w:line="264" w:lineRule="auto"/>
            </w:pPr>
            <w:r>
              <w:rPr>
                <w:rFonts w:ascii="Arial" w:hAnsi="Arial"/>
                <w:sz w:val="19"/>
              </w:rPr>
              <w:t>30 pages recognised, 12 pages pixel-analysed, 60 pages and 25 MB accepted per document</w:t>
            </w:r>
          </w:p>
        </w:tc>
      </w:tr>
      <w:tr>
        <w:trPr>
          <w:cantSplit/>
        </w:trPr>
        <w:tc>
          <w:tcPr>
            <w:tcW w:type="dxa" w:w="2608"/>
          </w:tcPr>
          <w:p>
            <w:pPr>
              <w:spacing w:after="20" w:before="20" w:line="264" w:lineRule="auto"/>
            </w:pPr>
            <w:r>
              <w:rPr>
                <w:rFonts w:ascii="Arial" w:hAnsi="Arial"/>
                <w:sz w:val="19"/>
              </w:rPr>
              <w:t>Render resolution</w:t>
            </w:r>
          </w:p>
        </w:tc>
        <w:tc>
          <w:tcPr>
            <w:tcW w:type="dxa" w:w="6350"/>
          </w:tcPr>
          <w:p>
            <w:pPr>
              <w:spacing w:after="20" w:before="20" w:line="264" w:lineRule="auto"/>
            </w:pPr>
            <w:r>
              <w:rPr>
                <w:rFonts w:ascii="Arial" w:hAnsi="Arial"/>
                <w:sz w:val="19"/>
              </w:rPr>
              <w:t>150 dpi, maximum edge 2400 px</w:t>
            </w:r>
          </w:p>
        </w:tc>
      </w:tr>
      <w:tr>
        <w:trPr>
          <w:cantSplit/>
        </w:trPr>
        <w:tc>
          <w:tcPr>
            <w:tcW w:type="dxa" w:w="2608"/>
            <w:shd w:val="clear" w:color="auto" w:fill="F4F2FA"/>
          </w:tcPr>
          <w:p>
            <w:pPr>
              <w:spacing w:after="20" w:before="20" w:line="264" w:lineRule="auto"/>
            </w:pPr>
            <w:r>
              <w:rPr>
                <w:rFonts w:ascii="Arial" w:hAnsi="Arial"/>
                <w:sz w:val="19"/>
              </w:rPr>
              <w:t>Queue behaviour</w:t>
            </w:r>
          </w:p>
        </w:tc>
        <w:tc>
          <w:tcPr>
            <w:tcW w:type="dxa" w:w="6350"/>
            <w:shd w:val="clear" w:color="auto" w:fill="F4F2FA"/>
          </w:tcPr>
          <w:p>
            <w:pPr>
              <w:spacing w:after="20" w:before="20" w:line="264" w:lineRule="auto"/>
            </w:pPr>
            <w:r>
              <w:rPr>
                <w:rFonts w:ascii="Arial" w:hAnsi="Arial"/>
                <w:sz w:val="19"/>
              </w:rPr>
              <w:t>RQ worker when Redis is reachable; otherwise an in-process background task, with the path taken recorded on the run</w:t>
            </w:r>
          </w:p>
        </w:tc>
      </w:tr>
      <w:tr>
        <w:trPr>
          <w:cantSplit/>
        </w:trPr>
        <w:tc>
          <w:tcPr>
            <w:tcW w:type="dxa" w:w="2608"/>
          </w:tcPr>
          <w:p>
            <w:pPr>
              <w:spacing w:after="20" w:before="20" w:line="264" w:lineRule="auto"/>
            </w:pPr>
            <w:r>
              <w:rPr>
                <w:rFonts w:ascii="Arial" w:hAnsi="Arial"/>
                <w:sz w:val="19"/>
              </w:rPr>
              <w:t>Access token lifetime</w:t>
            </w:r>
          </w:p>
        </w:tc>
        <w:tc>
          <w:tcPr>
            <w:tcW w:type="dxa" w:w="6350"/>
          </w:tcPr>
          <w:p>
            <w:pPr>
              <w:spacing w:after="20" w:before="20" w:line="264" w:lineRule="auto"/>
            </w:pPr>
            <w:r>
              <w:rPr>
                <w:rFonts w:ascii="Arial" w:hAnsi="Arial"/>
                <w:sz w:val="19"/>
              </w:rPr>
              <w:t>45 minutes, with a single transparent refresh through the console proxy; refresh token 7 days</w:t>
            </w:r>
          </w:p>
        </w:tc>
      </w:tr>
      <w:tr>
        <w:trPr>
          <w:cantSplit/>
        </w:trPr>
        <w:tc>
          <w:tcPr>
            <w:tcW w:type="dxa" w:w="2608"/>
            <w:shd w:val="clear" w:color="auto" w:fill="F4F2FA"/>
          </w:tcPr>
          <w:p>
            <w:pPr>
              <w:spacing w:after="20" w:before="20" w:line="264" w:lineRule="auto"/>
            </w:pPr>
            <w:r>
              <w:rPr>
                <w:rFonts w:ascii="Arial" w:hAnsi="Arial"/>
                <w:sz w:val="19"/>
              </w:rPr>
              <w:t>Signed document links</w:t>
            </w:r>
          </w:p>
        </w:tc>
        <w:tc>
          <w:tcPr>
            <w:tcW w:type="dxa" w:w="6350"/>
            <w:shd w:val="clear" w:color="auto" w:fill="F4F2FA"/>
          </w:tcPr>
          <w:p>
            <w:pPr>
              <w:spacing w:after="20" w:before="20" w:line="264" w:lineRule="auto"/>
            </w:pPr>
            <w:r>
              <w:rPr>
                <w:rFonts w:ascii="Arial" w:hAnsi="Arial"/>
                <w:sz w:val="19"/>
              </w:rPr>
              <w:t>5-minute default lifetime, bound to resource, purpose and user</w:t>
            </w:r>
          </w:p>
        </w:tc>
      </w:tr>
      <w:tr>
        <w:trPr>
          <w:cantSplit/>
        </w:trPr>
        <w:tc>
          <w:tcPr>
            <w:tcW w:type="dxa" w:w="2608"/>
          </w:tcPr>
          <w:p>
            <w:pPr>
              <w:spacing w:after="20" w:before="20" w:line="264" w:lineRule="auto"/>
            </w:pPr>
            <w:r>
              <w:rPr>
                <w:rFonts w:ascii="Arial" w:hAnsi="Arial"/>
                <w:sz w:val="19"/>
              </w:rPr>
              <w:t>Deployment footprint</w:t>
            </w:r>
          </w:p>
        </w:tc>
        <w:tc>
          <w:tcPr>
            <w:tcW w:type="dxa" w:w="6350"/>
          </w:tcPr>
          <w:p>
            <w:pPr>
              <w:spacing w:after="20" w:before="20" w:line="264" w:lineRule="auto"/>
            </w:pPr>
            <w:r>
              <w:rPr>
                <w:rFonts w:ascii="Arial" w:hAnsi="Arial"/>
                <w:sz w:val="19"/>
              </w:rPr>
              <w:t>Five containers on one host; no host ports published; only the console routed</w:t>
            </w:r>
          </w:p>
        </w:tc>
      </w:tr>
      <w:tr>
        <w:trPr>
          <w:cantSplit/>
        </w:trPr>
        <w:tc>
          <w:tcPr>
            <w:tcW w:type="dxa" w:w="2608"/>
            <w:shd w:val="clear" w:color="auto" w:fill="F4F2FA"/>
          </w:tcPr>
          <w:p>
            <w:pPr>
              <w:spacing w:after="20" w:before="20" w:line="264" w:lineRule="auto"/>
            </w:pPr>
            <w:r>
              <w:rPr>
                <w:rFonts w:ascii="Arial" w:hAnsi="Arial"/>
                <w:sz w:val="19"/>
              </w:rPr>
              <w:t>Deployed state</w:t>
            </w:r>
          </w:p>
        </w:tc>
        <w:tc>
          <w:tcPr>
            <w:tcW w:type="dxa" w:w="6350"/>
            <w:shd w:val="clear" w:color="auto" w:fill="F4F2FA"/>
          </w:tcPr>
          <w:p>
            <w:pPr>
              <w:spacing w:after="20" w:before="20" w:line="264" w:lineRule="auto"/>
            </w:pPr>
            <w:r>
              <w:rPr>
                <w:rFonts w:ascii="Arial" w:hAnsi="Arial"/>
                <w:sz w:val="19"/>
              </w:rPr>
              <w:t>Live at https://veridoc.rmaikr.top with database, cache, API and console all reporting healthy</w:t>
            </w:r>
          </w:p>
        </w:tc>
      </w:tr>
    </w:tbl>
    <w:p>
      <w:pPr>
        <w:spacing w:after="40"/>
      </w:pPr>
    </w:p>
    <w:p>
      <w:r>
        <w:br w:type="page"/>
      </w:r>
    </w:p>
    <w:p>
      <w:pPr>
        <w:pStyle w:val="Heading1"/>
      </w:pPr>
      <w:r>
        <w:t>9  Limitations, Ethical and Legal Considerations</w:t>
      </w:r>
    </w:p>
    <w:p>
      <w:pPr>
        <w:spacing w:after="160"/>
        <w:jc w:val="both"/>
      </w:pPr>
      <w:r>
        <w:t>This section is longer than is customary, deliberately. A platform that examines documents used to decide whether a person's medical bill is paid has obligations that are not discharged by working correctly.</w:t>
      </w:r>
    </w:p>
    <w:p>
      <w:pPr>
        <w:pStyle w:val="Heading2"/>
      </w:pPr>
      <w:r>
        <w:t>9.1  What the platform cannot establish</w:t>
      </w:r>
    </w:p>
    <w:p>
      <w:pPr>
        <w:spacing w:after="160"/>
        <w:jc w:val="both"/>
      </w:pPr>
      <w:r>
        <w:t>The platform cannot establish that a document is genuine, and it cannot establish that a document is fraudulent. No combination of the signals it measures supports either conclusion, for a reason that is structural rather than a matter of current maturity: every measurement it takes has innocent explanations that occur commonly in legitimate claim traffic. Nor can it establish intent, authorship or the time of an alteration. The risk score is a ranking of how much human attention a document should receive, and the interpretation note saying so is emitted by the engine with every assessment.</w:t>
      </w:r>
    </w:p>
    <w:p>
      <w:pPr>
        <w:spacing w:after="160"/>
        <w:jc w:val="both"/>
      </w:pPr>
      <w:r>
        <w:t xml:space="preserve">Three narrower limits follow. An </w:t>
      </w:r>
      <w:r>
        <w:rPr>
          <w:b/>
        </w:rPr>
        <w:t>absence of findings is not evidence of integrity</w:t>
      </w:r>
      <w:r>
        <w:t xml:space="preserve"> — it may mean the document was heavily compressed, or that a stage was degraded, both of which the platform discloses. </w:t>
      </w:r>
      <w:r>
        <w:rPr>
          <w:b/>
        </w:rPr>
        <w:t>Extraction is a dependency of the deterministic rules</w:t>
      </w:r>
      <w:r>
        <w:t xml:space="preserve">: a misread total produces a real arithmetic failure on a sound document, which is why every rule finding carries the fields it used with their own confidences and boxes. And </w:t>
      </w:r>
      <w:r>
        <w:rPr>
          <w:b/>
        </w:rPr>
        <w:t>the platform sees one claim at a time</w:t>
      </w:r>
      <w:r>
        <w:t>: organised fraud whose signal lies in patterns across claims is outside its view entirely.</w:t>
      </w:r>
    </w:p>
    <w:p>
      <w:pPr>
        <w:pStyle w:val="Heading2"/>
      </w:pPr>
      <w:r>
        <w:t>9.2  Detector-level limitations</w:t>
      </w:r>
    </w:p>
    <w:p>
      <w:pPr>
        <w:spacing w:after="160"/>
        <w:jc w:val="both"/>
      </w:pPr>
      <w:r>
        <w:t>Each detector's limitations and benign explanations are documented in the repository's detector catalogue and surfaced in the product. The cases most likely to mislead a reviewer are collected here.</w:t>
      </w:r>
    </w:p>
    <w:p>
      <w:pPr>
        <w:keepNext/>
        <w:spacing w:after="60" w:before="120"/>
      </w:pPr>
      <w:r>
        <w:rPr>
          <w:rFonts w:ascii="Arial" w:hAnsi="Arial"/>
          <w:b/>
          <w:color w:val="381A89"/>
          <w:sz w:val="18"/>
        </w:rPr>
        <w:t xml:space="preserve">Table 21. </w:t>
      </w:r>
      <w:r>
        <w:rPr>
          <w:rFonts w:ascii="Arial" w:hAnsi="Arial"/>
          <w:color w:val="55516B"/>
          <w:sz w:val="18"/>
        </w:rPr>
        <w:t>Signals most frequently produced by benign causes.</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3402"/>
            <w:shd w:val="clear" w:color="auto" w:fill="2E1C6B"/>
          </w:tcPr>
          <w:p>
            <w:pPr>
              <w:spacing w:after="20" w:before="20" w:line="252" w:lineRule="auto"/>
            </w:pPr>
            <w:r>
              <w:rPr>
                <w:rFonts w:ascii="Arial" w:hAnsi="Arial"/>
                <w:b/>
                <w:color w:val="FFFFFF"/>
                <w:sz w:val="17"/>
              </w:rPr>
              <w:t>Signal</w:t>
            </w:r>
          </w:p>
        </w:tc>
        <w:tc>
          <w:tcPr>
            <w:tcW w:type="dxa" w:w="5556"/>
            <w:shd w:val="clear" w:color="auto" w:fill="2E1C6B"/>
          </w:tcPr>
          <w:p>
            <w:pPr>
              <w:spacing w:after="20" w:before="20" w:line="252" w:lineRule="auto"/>
            </w:pPr>
            <w:r>
              <w:rPr>
                <w:rFonts w:ascii="Arial" w:hAnsi="Arial"/>
                <w:b/>
                <w:color w:val="FFFFFF"/>
                <w:sz w:val="17"/>
              </w:rPr>
              <w:t>Common innocent explanation</w:t>
            </w:r>
          </w:p>
        </w:tc>
      </w:tr>
      <w:tr>
        <w:trPr>
          <w:cantSplit/>
        </w:trPr>
        <w:tc>
          <w:tcPr>
            <w:tcW w:type="dxa" w:w="3402"/>
          </w:tcPr>
          <w:p>
            <w:pPr>
              <w:spacing w:after="20" w:before="20" w:line="264" w:lineRule="auto"/>
            </w:pPr>
            <w:r>
              <w:rPr>
                <w:rFonts w:ascii="Arial" w:hAnsi="Arial"/>
                <w:sz w:val="18"/>
              </w:rPr>
              <w:t>Producer names a raster or design editor</w:t>
            </w:r>
          </w:p>
        </w:tc>
        <w:tc>
          <w:tcPr>
            <w:tcW w:type="dxa" w:w="5556"/>
          </w:tcPr>
          <w:p>
            <w:pPr>
              <w:spacing w:after="20" w:before="20" w:line="264" w:lineRule="auto"/>
            </w:pPr>
            <w:r>
              <w:rPr>
                <w:rFonts w:ascii="Arial" w:hAnsi="Arial"/>
                <w:sz w:val="18"/>
              </w:rPr>
              <w:t>A clinic cropped, rotated or downscaled a scan before sending it.</w:t>
            </w:r>
          </w:p>
        </w:tc>
      </w:tr>
      <w:tr>
        <w:trPr>
          <w:cantSplit/>
        </w:trPr>
        <w:tc>
          <w:tcPr>
            <w:tcW w:type="dxa" w:w="3402"/>
            <w:shd w:val="clear" w:color="auto" w:fill="F4F2FA"/>
          </w:tcPr>
          <w:p>
            <w:pPr>
              <w:spacing w:after="20" w:before="20" w:line="264" w:lineRule="auto"/>
            </w:pPr>
            <w:r>
              <w:rPr>
                <w:rFonts w:ascii="Arial" w:hAnsi="Arial"/>
                <w:sz w:val="18"/>
              </w:rPr>
              <w:t>Incremental PDF revision present</w:t>
            </w:r>
          </w:p>
        </w:tc>
        <w:tc>
          <w:tcPr>
            <w:tcW w:type="dxa" w:w="5556"/>
            <w:shd w:val="clear" w:color="auto" w:fill="F4F2FA"/>
          </w:tcPr>
          <w:p>
            <w:pPr>
              <w:spacing w:after="20" w:before="20" w:line="264" w:lineRule="auto"/>
            </w:pPr>
            <w:r>
              <w:rPr>
                <w:rFonts w:ascii="Arial" w:hAnsi="Arial"/>
                <w:sz w:val="18"/>
              </w:rPr>
              <w:t>Digital signatures and form filling append revisions by design.</w:t>
            </w:r>
          </w:p>
        </w:tc>
      </w:tr>
      <w:tr>
        <w:trPr>
          <w:cantSplit/>
        </w:trPr>
        <w:tc>
          <w:tcPr>
            <w:tcW w:type="dxa" w:w="3402"/>
          </w:tcPr>
          <w:p>
            <w:pPr>
              <w:spacing w:after="20" w:before="20" w:line="264" w:lineRule="auto"/>
            </w:pPr>
            <w:r>
              <w:rPr>
                <w:rFonts w:ascii="Arial" w:hAnsi="Arial"/>
                <w:sz w:val="18"/>
              </w:rPr>
              <w:t>Annotation drawn over the page</w:t>
            </w:r>
          </w:p>
        </w:tc>
        <w:tc>
          <w:tcPr>
            <w:tcW w:type="dxa" w:w="5556"/>
          </w:tcPr>
          <w:p>
            <w:pPr>
              <w:spacing w:after="20" w:before="20" w:line="264" w:lineRule="auto"/>
            </w:pPr>
            <w:r>
              <w:rPr>
                <w:rFonts w:ascii="Arial" w:hAnsi="Arial"/>
                <w:sz w:val="18"/>
              </w:rPr>
              <w:t>Reviewer comments, approval stamps and legitimate redaction are placed exactly this way.</w:t>
            </w:r>
          </w:p>
        </w:tc>
      </w:tr>
      <w:tr>
        <w:trPr>
          <w:cantSplit/>
        </w:trPr>
        <w:tc>
          <w:tcPr>
            <w:tcW w:type="dxa" w:w="3402"/>
            <w:shd w:val="clear" w:color="auto" w:fill="F4F2FA"/>
          </w:tcPr>
          <w:p>
            <w:pPr>
              <w:spacing w:after="20" w:before="20" w:line="264" w:lineRule="auto"/>
            </w:pPr>
            <w:r>
              <w:rPr>
                <w:rFonts w:ascii="Arial" w:hAnsi="Arial"/>
                <w:sz w:val="18"/>
              </w:rPr>
              <w:t>EXIF stripped</w:t>
            </w:r>
          </w:p>
        </w:tc>
        <w:tc>
          <w:tcPr>
            <w:tcW w:type="dxa" w:w="5556"/>
            <w:shd w:val="clear" w:color="auto" w:fill="F4F2FA"/>
          </w:tcPr>
          <w:p>
            <w:pPr>
              <w:spacing w:after="20" w:before="20" w:line="264" w:lineRule="auto"/>
            </w:pPr>
            <w:r>
              <w:rPr>
                <w:rFonts w:ascii="Arial" w:hAnsi="Arial"/>
                <w:sz w:val="18"/>
              </w:rPr>
              <w:t>Screenshots, exports and every major messaging application remove it.</w:t>
            </w:r>
          </w:p>
        </w:tc>
      </w:tr>
      <w:tr>
        <w:trPr>
          <w:cantSplit/>
        </w:trPr>
        <w:tc>
          <w:tcPr>
            <w:tcW w:type="dxa" w:w="3402"/>
          </w:tcPr>
          <w:p>
            <w:pPr>
              <w:spacing w:after="20" w:before="20" w:line="264" w:lineRule="auto"/>
            </w:pPr>
            <w:r>
              <w:rPr>
                <w:rFonts w:ascii="Arial" w:hAnsi="Arial"/>
                <w:sz w:val="18"/>
              </w:rPr>
              <w:t>Error-level analysis region anomaly</w:t>
            </w:r>
          </w:p>
        </w:tc>
        <w:tc>
          <w:tcPr>
            <w:tcW w:type="dxa" w:w="5556"/>
          </w:tcPr>
          <w:p>
            <w:pPr>
              <w:spacing w:after="20" w:before="20" w:line="264" w:lineRule="auto"/>
            </w:pPr>
            <w:r>
              <w:rPr>
                <w:rFonts w:ascii="Arial" w:hAnsi="Arial"/>
                <w:sz w:val="18"/>
              </w:rPr>
              <w:t>A logo, an embedded photograph, a pre-printed block or a stamp.</w:t>
            </w:r>
          </w:p>
        </w:tc>
      </w:tr>
      <w:tr>
        <w:trPr>
          <w:cantSplit/>
        </w:trPr>
        <w:tc>
          <w:tcPr>
            <w:tcW w:type="dxa" w:w="3402"/>
            <w:shd w:val="clear" w:color="auto" w:fill="F4F2FA"/>
          </w:tcPr>
          <w:p>
            <w:pPr>
              <w:spacing w:after="20" w:before="20" w:line="264" w:lineRule="auto"/>
            </w:pPr>
            <w:r>
              <w:rPr>
                <w:rFonts w:ascii="Arial" w:hAnsi="Arial"/>
                <w:sz w:val="18"/>
              </w:rPr>
              <w:t>Copy-move region</w:t>
            </w:r>
          </w:p>
        </w:tc>
        <w:tc>
          <w:tcPr>
            <w:tcW w:type="dxa" w:w="5556"/>
            <w:shd w:val="clear" w:color="auto" w:fill="F4F2FA"/>
          </w:tcPr>
          <w:p>
            <w:pPr>
              <w:spacing w:after="20" w:before="20" w:line="264" w:lineRule="auto"/>
            </w:pPr>
            <w:r>
              <w:rPr>
                <w:rFonts w:ascii="Arial" w:hAnsi="Arial"/>
                <w:sz w:val="18"/>
              </w:rPr>
              <w:t>Repeated template graphics, duplicated stamps, tiled backgrounds.</w:t>
            </w:r>
          </w:p>
        </w:tc>
      </w:tr>
      <w:tr>
        <w:trPr>
          <w:cantSplit/>
        </w:trPr>
        <w:tc>
          <w:tcPr>
            <w:tcW w:type="dxa" w:w="3402"/>
          </w:tcPr>
          <w:p>
            <w:pPr>
              <w:spacing w:after="20" w:before="20" w:line="264" w:lineRule="auto"/>
            </w:pPr>
            <w:r>
              <w:rPr>
                <w:rFonts w:ascii="Arial" w:hAnsi="Arial"/>
                <w:sz w:val="18"/>
              </w:rPr>
              <w:t>Mixed image compression</w:t>
            </w:r>
          </w:p>
        </w:tc>
        <w:tc>
          <w:tcPr>
            <w:tcW w:type="dxa" w:w="5556"/>
          </w:tcPr>
          <w:p>
            <w:pPr>
              <w:spacing w:after="20" w:before="20" w:line="264" w:lineRule="auto"/>
            </w:pPr>
            <w:r>
              <w:rPr>
                <w:rFonts w:ascii="Arial" w:hAnsi="Arial"/>
                <w:sz w:val="18"/>
              </w:rPr>
              <w:t>A lossless logo beside a JPEG photograph.</w:t>
            </w:r>
          </w:p>
        </w:tc>
      </w:tr>
      <w:tr>
        <w:trPr>
          <w:cantSplit/>
        </w:trPr>
        <w:tc>
          <w:tcPr>
            <w:tcW w:type="dxa" w:w="3402"/>
            <w:shd w:val="clear" w:color="auto" w:fill="F4F2FA"/>
          </w:tcPr>
          <w:p>
            <w:pPr>
              <w:spacing w:after="20" w:before="20" w:line="264" w:lineRule="auto"/>
            </w:pPr>
            <w:r>
              <w:rPr>
                <w:rFonts w:ascii="Arial" w:hAnsi="Arial"/>
                <w:sz w:val="18"/>
              </w:rPr>
              <w:t>Masked image overlay</w:t>
            </w:r>
          </w:p>
        </w:tc>
        <w:tc>
          <w:tcPr>
            <w:tcW w:type="dxa" w:w="5556"/>
            <w:shd w:val="clear" w:color="auto" w:fill="F4F2FA"/>
          </w:tcPr>
          <w:p>
            <w:pPr>
              <w:spacing w:after="20" w:before="20" w:line="264" w:lineRule="auto"/>
            </w:pPr>
            <w:r>
              <w:rPr>
                <w:rFonts w:ascii="Arial" w:hAnsi="Arial"/>
                <w:sz w:val="18"/>
              </w:rPr>
              <w:t>Signatures and stamps are composited precisely this way.</w:t>
            </w:r>
          </w:p>
        </w:tc>
      </w:tr>
      <w:tr>
        <w:trPr>
          <w:cantSplit/>
        </w:trPr>
        <w:tc>
          <w:tcPr>
            <w:tcW w:type="dxa" w:w="3402"/>
          </w:tcPr>
          <w:p>
            <w:pPr>
              <w:spacing w:after="20" w:before="20" w:line="264" w:lineRule="auto"/>
            </w:pPr>
            <w:r>
              <w:rPr>
                <w:rFonts w:ascii="Arial" w:hAnsi="Arial"/>
                <w:sz w:val="18"/>
              </w:rPr>
              <w:t>Glyph size or stroke weight anomaly</w:t>
            </w:r>
          </w:p>
        </w:tc>
        <w:tc>
          <w:tcPr>
            <w:tcW w:type="dxa" w:w="5556"/>
          </w:tcPr>
          <w:p>
            <w:pPr>
              <w:spacing w:after="20" w:before="20" w:line="264" w:lineRule="auto"/>
            </w:pPr>
            <w:r>
              <w:rPr>
                <w:rFonts w:ascii="Arial" w:hAnsi="Arial"/>
                <w:sz w:val="18"/>
              </w:rPr>
              <w:t>Deliberate emphasis, bold text, ink bleed.</w:t>
            </w:r>
          </w:p>
        </w:tc>
      </w:tr>
      <w:tr>
        <w:trPr>
          <w:cantSplit/>
        </w:trPr>
        <w:tc>
          <w:tcPr>
            <w:tcW w:type="dxa" w:w="3402"/>
            <w:shd w:val="clear" w:color="auto" w:fill="F4F2FA"/>
          </w:tcPr>
          <w:p>
            <w:pPr>
              <w:spacing w:after="20" w:before="20" w:line="264" w:lineRule="auto"/>
            </w:pPr>
            <w:r>
              <w:rPr>
                <w:rFonts w:ascii="Arial" w:hAnsi="Arial"/>
                <w:sz w:val="18"/>
              </w:rPr>
              <w:t>Baseline anomaly</w:t>
            </w:r>
          </w:p>
        </w:tc>
        <w:tc>
          <w:tcPr>
            <w:tcW w:type="dxa" w:w="5556"/>
            <w:shd w:val="clear" w:color="auto" w:fill="F4F2FA"/>
          </w:tcPr>
          <w:p>
            <w:pPr>
              <w:spacing w:after="20" w:before="20" w:line="264" w:lineRule="auto"/>
            </w:pPr>
            <w:r>
              <w:rPr>
                <w:rFonts w:ascii="Arial" w:hAnsi="Arial"/>
                <w:sz w:val="18"/>
              </w:rPr>
              <w:t>Uneven scanning, page skew, subscripts.</w:t>
            </w:r>
          </w:p>
        </w:tc>
      </w:tr>
      <w:tr>
        <w:trPr>
          <w:cantSplit/>
        </w:trPr>
        <w:tc>
          <w:tcPr>
            <w:tcW w:type="dxa" w:w="3402"/>
          </w:tcPr>
          <w:p>
            <w:pPr>
              <w:spacing w:after="20" w:before="20" w:line="264" w:lineRule="auto"/>
            </w:pPr>
            <w:r>
              <w:rPr>
                <w:rFonts w:ascii="Arial" w:hAnsi="Arial"/>
                <w:sz w:val="18"/>
              </w:rPr>
              <w:t>Low-confidence recognition island</w:t>
            </w:r>
          </w:p>
        </w:tc>
        <w:tc>
          <w:tcPr>
            <w:tcW w:type="dxa" w:w="5556"/>
          </w:tcPr>
          <w:p>
            <w:pPr>
              <w:spacing w:after="20" w:before="20" w:line="264" w:lineRule="auto"/>
            </w:pPr>
            <w:r>
              <w:rPr>
                <w:rFonts w:ascii="Arial" w:hAnsi="Arial"/>
                <w:sz w:val="18"/>
              </w:rPr>
              <w:t>A smudge, a fold, or a stamp overlapping text.</w:t>
            </w:r>
          </w:p>
        </w:tc>
      </w:tr>
    </w:tbl>
    <w:p>
      <w:pPr>
        <w:spacing w:after="40"/>
      </w:pPr>
    </w:p>
    <w:p>
      <w:pPr>
        <w:pStyle w:val="Heading2"/>
      </w:pPr>
      <w:r>
        <w:t>9.3  Demonstration providers</w:t>
      </w:r>
    </w:p>
    <w:p>
      <w:pPr>
        <w:spacing w:after="160"/>
        <w:jc w:val="both"/>
      </w:pPr>
      <w:r>
        <w:t xml:space="preserve">The single most damaging thing this platform could do is present demonstration output as a real external confirmation. Six of the trusted-source providers and the synthetic-media provider answer from bundled data. The countermeasure is defence in depth rather than a disclaimer in a manual: the demonstration flag is stored on the verification request and on the result, the disclaimer text naming the bundled registry is stored with the answer, the console shows a badge beside every such result, the pipeline stage message names the demonstration providers used, the resulting risk signal records its source as demonstration verification, and the PDF report marks the section </w:t>
      </w:r>
      <w:r>
        <w:rPr>
          <w:rFonts w:ascii="Consolas" w:hAnsi="Consolas"/>
          <w:color w:val="381A89"/>
          <w:sz w:val="20"/>
        </w:rPr>
        <w:t>[EXTERNAL – DEMO]</w:t>
      </w:r>
      <w:r>
        <w:t>. A report generated today therefore remains correctly labelled when it is read next year by someone who knows nothing about how the system was configured.</w:t>
      </w:r>
    </w:p>
    <w:p>
      <w:pPr>
        <w:pStyle w:val="Heading2"/>
      </w:pPr>
      <w:r>
        <w:t>9.4  Personal and special-category data</w:t>
      </w:r>
    </w:p>
    <w:p>
      <w:pPr>
        <w:spacing w:after="160"/>
        <w:jc w:val="both"/>
      </w:pPr>
      <w:r>
        <w:t>Claim documents contain health data, identity-document numbers, dates of birth, addresses and bank details — in European terms, special-category data under Article 9 of the General Data Protection Regulation. The design consequences implemented here are data minimisation in what is extracted and retained, redaction before audit rows are written, separation of originals from derived artifacts so that retention can purge the latter without touching evidence, an audited record of every document view so that a subject-access request can be answered precisely, and the absence of document bodies from every log.</w:t>
      </w:r>
    </w:p>
    <w:p>
      <w:pPr>
        <w:spacing w:after="160"/>
        <w:jc w:val="both"/>
      </w:pPr>
      <w:r>
        <w:t xml:space="preserve">The audit-redaction decision is worth stating explicitly because it trades one good against another. Audit entries store structured field differences with secrets and special-category fields dropped before insertion. That loses some forensic detail about </w:t>
      </w:r>
      <w:r>
        <w:rPr>
          <w:i/>
        </w:rPr>
        <w:t>what changed</w:t>
      </w:r>
      <w:r>
        <w:t>. It is the right trade: the claim record already holds the customer's details under normal access control and normal retention, and duplicating them into an append-only store retained for years would widen the exposure of the most sensitive fields in the system for no accountability benefit. The audit trail records who did what, not the contents of a medical document.</w:t>
      </w:r>
    </w:p>
    <w:p>
      <w:pPr>
        <w:spacing w:after="160"/>
        <w:jc w:val="both"/>
      </w:pPr>
      <w:r>
        <w:t xml:space="preserve">Two obligations are noted as </w:t>
      </w:r>
      <w:r>
        <w:rPr>
          <w:b/>
        </w:rPr>
        <w:t>not discharged by this project</w:t>
      </w:r>
      <w:r>
        <w:t xml:space="preserve"> and belonging to any real deployment: a lawful basis and a data-protection impact assessment for the processing, and encryption at rest. The storage interface exposes no plaintext caching layer, so enabling server-side encryption on the object store requires configuration rather than code, and database encryption is a platform concern — but neither is configured in the demonstration deployment.</w:t>
      </w:r>
    </w:p>
    <w:p>
      <w:pPr>
        <w:pStyle w:val="Heading2"/>
      </w:pPr>
      <w:r>
        <w:t>9.5  Automation bias and the human in the loop</w:t>
      </w:r>
    </w:p>
    <w:p>
      <w:pPr>
        <w:spacing w:after="160"/>
        <w:jc w:val="both"/>
      </w:pPr>
      <w:r>
        <w:t>The most serious ethical risk in a system of this kind is not that it is wrong. It is that it is right often enough for a reviewer under time pressure to stop checking — at which point “decision support” has become automated decision-making with a human signature on it. Article 22 of the GDPR is relevant precisely because a rubber-stamped output is a solely automated decision in substance.</w:t>
      </w:r>
    </w:p>
    <w:p>
      <w:pPr>
        <w:spacing w:after="160"/>
        <w:jc w:val="both"/>
      </w:pPr>
      <w:r>
        <w:t>Five mechanisms in the implementation are aimed squarely at this risk:</w:t>
      </w:r>
    </w:p>
    <w:p>
      <w:pPr>
        <w:pStyle w:val="ListNumber"/>
        <w:spacing w:after="80" w:line="288" w:lineRule="auto"/>
        <w:ind w:left="397"/>
      </w:pPr>
      <w:r>
        <w:rPr>
          <w:b/>
        </w:rPr>
        <w:t>Adjudication is effortful by construction.</w:t>
      </w:r>
      <w:r>
        <w:t xml:space="preserve"> Confirming or dismissing a finding requires a written reason of at least ten characters, enforced server-side, recorded against the reviewer's name, and displayed thereafter beside the finding. A reviewer who has typed a reason has engaged with the finding.</w:t>
      </w:r>
    </w:p>
    <w:p>
      <w:pPr>
        <w:pStyle w:val="ListNumber"/>
        <w:spacing w:after="80" w:line="288" w:lineRule="auto"/>
        <w:ind w:left="397"/>
      </w:pPr>
      <w:r>
        <w:rPr>
          <w:b/>
        </w:rPr>
        <w:t>Approval is refused, not warned against,</w:t>
      </w:r>
      <w:r>
        <w:t xml:space="preserve"> while any high or critical finding remains unadjudicated. The refusal is in the API, not the interface, so it cannot be clicked past.</w:t>
      </w:r>
    </w:p>
    <w:p>
      <w:pPr>
        <w:pStyle w:val="ListNumber"/>
        <w:spacing w:after="80" w:line="288" w:lineRule="auto"/>
        <w:ind w:left="397"/>
      </w:pPr>
      <w:r>
        <w:rPr>
          <w:b/>
        </w:rPr>
        <w:t>Separation of duties</w:t>
      </w:r>
      <w:r>
        <w:t xml:space="preserve"> prevents the same person from establishing a finding and disposing of the claim: an investigator adjudicates findings but cannot decide a claim; a claims officer decides but cannot adjudicate.</w:t>
      </w:r>
    </w:p>
    <w:p>
      <w:pPr>
        <w:pStyle w:val="ListNumber"/>
        <w:spacing w:after="80" w:line="288" w:lineRule="auto"/>
        <w:ind w:left="397"/>
      </w:pPr>
      <w:r>
        <w:rPr>
          <w:b/>
        </w:rPr>
        <w:t>Uncertainty is displayed, not summarised away.</w:t>
      </w:r>
      <w:r>
        <w:t xml:space="preserve"> Each finding carries its confidence, its detector and model version, its benign explanations, and — in the forensics panel — the raw measurements including those that did not fire.</w:t>
      </w:r>
    </w:p>
    <w:p>
      <w:pPr>
        <w:pStyle w:val="ListNumber"/>
        <w:spacing w:after="80" w:line="288" w:lineRule="auto"/>
        <w:ind w:left="397"/>
      </w:pPr>
      <w:r>
        <w:rPr>
          <w:b/>
        </w:rPr>
        <w:t>Passes are shown alongside failures,</w:t>
      </w:r>
      <w:r>
        <w:t xml:space="preserve"> so a Low Concern outcome is a positive statement about what was checked rather than a silence the reviewer must interpret.</w:t>
      </w:r>
    </w:p>
    <w:p>
      <w:pPr>
        <w:spacing w:after="160"/>
        <w:jc w:val="both"/>
      </w:pPr>
      <w:r>
        <w:t>None of this is sufficient on its own. A deployment would need to monitor the rate at which reviewers dismiss findings with near-identical reasons, and treat a rising rate as an operational problem rather than as efficiency.</w:t>
      </w:r>
    </w:p>
    <w:p>
      <w:pPr>
        <w:pStyle w:val="Heading2"/>
      </w:pPr>
      <w:r>
        <w:t>9.6  Accessibility</w:t>
      </w:r>
    </w:p>
    <w:p>
      <w:pPr>
        <w:spacing w:after="160"/>
        <w:jc w:val="both"/>
      </w:pPr>
      <w:r>
        <w:t>The console targets the WCAG 2.2 AA contrast requirements, and the validation in Section 7.4 was computational rather than visual. Status is never conveyed by colour alone: bands carry their names, chips carry icons, the active navigation item carries a rail as well as a tint, and every chart offers the table behind it. Two limitations are acknowledged: the interface has not been tested with a screen reader by a screen-reader user, and the document viewer is inherently visual — an investigator who cannot see the page render cannot verify a region-level finding against the pixels, and the platform offers no alternative representation of that evidence.</w:t>
      </w:r>
    </w:p>
    <w:p>
      <w:r>
        <w:br w:type="page"/>
      </w:r>
    </w:p>
    <w:p>
      <w:pPr>
        <w:pStyle w:val="Heading1"/>
      </w:pPr>
      <w:r>
        <w:t>10  Conclusion and Future Work</w:t>
      </w:r>
    </w:p>
    <w:p>
      <w:pPr>
        <w:pStyle w:val="Heading2"/>
      </w:pPr>
      <w:r>
        <w:t>10.1  Conclusion</w:t>
      </w:r>
    </w:p>
    <w:p>
      <w:pPr>
        <w:spacing w:after="160"/>
        <w:jc w:val="both"/>
      </w:pPr>
      <w:r>
        <w:t>This project set out to build a platform that examines insurance claim documents for authenticity and consistency, presents every finding with its evidence and its uncertainty, ranks documents for human attention, and records the human decision that follows. All eleven objectives are met within the scope declared in Section 2.3.</w:t>
      </w:r>
    </w:p>
    <w:p>
      <w:pPr>
        <w:spacing w:after="160"/>
        <w:jc w:val="both"/>
      </w:pPr>
      <w:r>
        <w:t>The delivered system is 18,725 lines of Python and 11,077 lines of TypeScript over a 25-table schema, verified by 174 passing tests that exercise a real database and real storage, and by a 23-check walkthrough of all twenty product requirements against a live instance. It runs a fourteen-stage pipeline that combines structural, metadata, pixel-level and typographic forensics, schema-driven recognition and extraction, twenty deterministic consistency rules, cross-document comparison under pairing policies, a declared synthetic-media heuristic and six trusted-source verification routes into a single explainable evidence record, and it is deployed and operating behind TLS with its API unreachable from the internet.</w:t>
      </w:r>
    </w:p>
    <w:p>
      <w:pPr>
        <w:spacing w:after="160"/>
        <w:jc w:val="both"/>
      </w:pPr>
      <w:r>
        <w:t>The engineering contribution is the assembly rather than any individual detector: no system reviewed in Section 3 brings document-level measurement, field-level extraction, claim-level comparison and external verification into one record, ranks it for human attention, and makes the human adjudication a first-class audited part of that record.</w:t>
      </w:r>
    </w:p>
    <w:p>
      <w:pPr>
        <w:spacing w:after="160"/>
        <w:jc w:val="both"/>
      </w:pPr>
      <w:r>
        <w:t xml:space="preserve">The contribution this report would rather be judged on, however, is the discipline the system imposes on itself. Several of the most consequential decisions in the implementation were decisions </w:t>
      </w:r>
      <w:r>
        <w:rPr>
          <w:i/>
        </w:rPr>
        <w:t>not</w:t>
      </w:r>
      <w:r>
        <w:t xml:space="preserve"> to claim something: measuring resampling periodicity and JPEG lattice energy and then declining to raise them on printed text; running the pixel suite over embedded rasters rather than over vector page renders and recording “not applicable” where a number could have been produced; requiring two independent detectors to agree on a region before naming it as tampering; capping the synthetic-media category below every other category because the bundled provider is a heuristic; refusing a claim approval in the API rather than warning about it in the interface. Each of those made the product quieter and each made it more honest. In a domain where the output of a measurement is used to decide whether a person's medical bill is paid, that is the correct trade — and it is a trade that has to be made in the code, because it cannot be retrofitted by documentation.</w:t>
      </w:r>
    </w:p>
    <w:p>
      <w:pPr>
        <w:pStyle w:val="Heading2"/>
      </w:pPr>
      <w:r>
        <w:t>10.2  Future work</w:t>
      </w:r>
    </w:p>
    <w:p>
      <w:pPr>
        <w:spacing w:after="160"/>
        <w:jc w:val="both"/>
      </w:pPr>
      <w:r>
        <w:t>Seven directions, in the order in which they should be taken.</w:t>
      </w:r>
    </w:p>
    <w:p>
      <w:pPr>
        <w:pStyle w:val="ListNumber"/>
        <w:spacing w:after="80" w:line="288" w:lineRule="auto"/>
        <w:ind w:left="397"/>
      </w:pPr>
      <w:r>
        <w:rPr>
          <w:b/>
        </w:rPr>
        <w:t>Empirical evaluation on real claim traffic.</w:t>
      </w:r>
      <w:r>
        <w:t xml:space="preserve"> The first and most important. A labelled corpus of genuine claim documents with adjudicated outcomes would permit detection and false-positive rates, per-detector precision, and — critically — recalibration of the confidence functions against reality rather than against the measurement. Every threshold in Appendix A is currently justified by reasoning and by the generated corpus, not by field data.</w:t>
      </w:r>
    </w:p>
    <w:p>
      <w:pPr>
        <w:pStyle w:val="ListNumber"/>
        <w:spacing w:after="80" w:line="288" w:lineRule="auto"/>
        <w:ind w:left="397"/>
      </w:pPr>
      <w:r>
        <w:rPr>
          <w:b/>
        </w:rPr>
        <w:t>A trained synthetic-media detector behind the existing seam.</w:t>
      </w:r>
      <w:r>
        <w:t xml:space="preserve"> The interface, the labelling and the failure handling are implemented and tested; what is missing is a model and the corpus to evaluate it. Document images are a distinct domain from natural photographs, so a general-purpose detector should not be assumed to transfer.</w:t>
      </w:r>
    </w:p>
    <w:p>
      <w:pPr>
        <w:pStyle w:val="ListNumber"/>
        <w:spacing w:after="80" w:line="288" w:lineRule="auto"/>
        <w:ind w:left="397"/>
      </w:pPr>
      <w:r>
        <w:rPr>
          <w:b/>
        </w:rPr>
        <w:t>Live registry integration.</w:t>
      </w:r>
      <w:r>
        <w:t xml:space="preserve"> The production HTTP verification provider is implemented; connecting it to real policy, provider-accreditation, identity and vehicle registries is a matter of commercial access, accreditation and a data-protection assessment rather than of engineering.</w:t>
      </w:r>
    </w:p>
    <w:p>
      <w:pPr>
        <w:pStyle w:val="ListNumber"/>
        <w:spacing w:after="80" w:line="288" w:lineRule="auto"/>
        <w:ind w:left="397"/>
      </w:pPr>
      <w:r>
        <w:rPr>
          <w:b/>
        </w:rPr>
        <w:t>Learning from adjudications.</w:t>
      </w:r>
      <w:r>
        <w:t xml:space="preserve"> Every confirm and dismiss is stored with a written reason. That is a growing, human-labelled dataset about the platform's own signals, and the obvious use is weight calibration — a finding code dismissed by investigators in the overwhelming majority of cases is mis-weighted. The mechanism must be advisory, surfacing a proposed weight change to an administrator, rather than self-adjusting: a model that silently retunes itself against reviewer behaviour would launder automation bias into the scoring model.</w:t>
      </w:r>
    </w:p>
    <w:p>
      <w:pPr>
        <w:pStyle w:val="ListNumber"/>
        <w:spacing w:after="80" w:line="288" w:lineRule="auto"/>
        <w:ind w:left="397"/>
      </w:pPr>
      <w:r>
        <w:rPr>
          <w:b/>
        </w:rPr>
        <w:t>Complementary claim-level analytics.</w:t>
      </w:r>
      <w:r>
        <w:t xml:space="preserve"> Section 3.3 argued that behavioural and network fraud scoring is complementary rather than competing. Presenting a claim-level signal beside the document-level evidence, clearly distinguished as a different kind of claim about the world, would cover organised fraud that document examination cannot reach.</w:t>
      </w:r>
    </w:p>
    <w:p>
      <w:pPr>
        <w:pStyle w:val="ListNumber"/>
        <w:spacing w:after="80" w:line="288" w:lineRule="auto"/>
        <w:ind w:left="397"/>
      </w:pPr>
      <w:r>
        <w:rPr>
          <w:b/>
        </w:rPr>
        <w:t>Broader document coverage.</w:t>
      </w:r>
      <w:r>
        <w:t xml:space="preserve"> More document types, and non-English documents — which need different recognition models, different label synonym sets, and different date, name and currency conventions, not merely translation.</w:t>
      </w:r>
    </w:p>
    <w:p>
      <w:pPr>
        <w:pStyle w:val="ListNumber"/>
        <w:spacing w:after="80" w:line="288" w:lineRule="auto"/>
        <w:ind w:left="397"/>
      </w:pPr>
      <w:r>
        <w:rPr>
          <w:b/>
        </w:rPr>
        <w:t>Operational hardening for a real deployment.</w:t>
      </w:r>
      <w:r>
        <w:t xml:space="preserve"> Encryption at rest, a secrets manager in place of environment variables, database backup and restore rehearsal, horizontal worker scaling under load, and monitoring of the reviewer behaviour described at the end of Section 9.5.</w:t>
      </w:r>
    </w:p>
    <w:p>
      <w:r>
        <w:br w:type="page"/>
      </w:r>
    </w:p>
    <w:p>
      <w:pPr>
        <w:pStyle w:val="Heading1"/>
      </w:pPr>
      <w:r>
        <w:t>11  References</w:t>
      </w:r>
    </w:p>
    <w:p>
      <w:pPr>
        <w:spacing w:after="140"/>
        <w:jc w:val="both"/>
      </w:pPr>
      <w:r>
        <w:t xml:space="preserve">Amerini, I., Ballan, L., Caldelli, R., Del Bimbo, A. and Serra, G. (2011) ‘A SIFT-based forensic method for copy–move attack detection and transformation recovery’, </w:t>
      </w:r>
      <w:r>
        <w:rPr>
          <w:i/>
        </w:rPr>
        <w:t>IEEE Transactions on Information Forensics and Security</w:t>
      </w:r>
      <w:r>
        <w:t>, 6(3), pp. 1099–1110.</w:t>
      </w:r>
    </w:p>
    <w:p>
      <w:pPr>
        <w:spacing w:after="140"/>
        <w:jc w:val="both"/>
      </w:pPr>
      <w:r>
        <w:t xml:space="preserve">Biryukov, A., Dinu, D. and Khovratovich, D. (2016) ‘Argon2: New generation of memory-hard functions for password hashing and other applications’, in </w:t>
      </w:r>
      <w:r>
        <w:rPr>
          <w:i/>
        </w:rPr>
        <w:t>2016 IEEE European Symposium on Security and Privacy (EuroS&amp;P)</w:t>
      </w:r>
      <w:r>
        <w:t>. Saarbrücken: IEEE, pp. 292–302.</w:t>
      </w:r>
    </w:p>
    <w:p>
      <w:pPr>
        <w:spacing w:after="140"/>
        <w:jc w:val="both"/>
      </w:pPr>
      <w:r>
        <w:t xml:space="preserve">Cohen, J. (1988) </w:t>
      </w:r>
      <w:r>
        <w:rPr>
          <w:i/>
        </w:rPr>
        <w:t>Statistical power analysis for the behavioral sciences</w:t>
      </w:r>
      <w:r>
        <w:t>. 2nd edn. Hillsdale, NJ: Lawrence Erlbaum Associates.</w:t>
      </w:r>
    </w:p>
    <w:p>
      <w:pPr>
        <w:spacing w:after="140"/>
        <w:jc w:val="both"/>
      </w:pPr>
      <w:r>
        <w:t xml:space="preserve">European Parliament and Council of the European Union (2016) </w:t>
      </w:r>
      <w:r>
        <w:rPr>
          <w:i/>
        </w:rPr>
        <w:t>Regulation (EU) 2016/679 of 27 April 2016 on the protection of natural persons with regard to the processing of personal data (General Data Protection Regulation)</w:t>
      </w:r>
      <w:r>
        <w:t>. Official Journal of the European Union, L 119, pp. 1–88.</w:t>
      </w:r>
    </w:p>
    <w:p>
      <w:pPr>
        <w:spacing w:after="140"/>
        <w:jc w:val="both"/>
      </w:pPr>
      <w:r>
        <w:t xml:space="preserve">Farid, H. (2009) ‘Image forgery detection’, </w:t>
      </w:r>
      <w:r>
        <w:rPr>
          <w:i/>
        </w:rPr>
        <w:t>IEEE Signal Processing Magazine</w:t>
      </w:r>
      <w:r>
        <w:t>, 26(2), pp. 16–25.</w:t>
      </w:r>
    </w:p>
    <w:p>
      <w:pPr>
        <w:spacing w:after="140"/>
        <w:jc w:val="both"/>
      </w:pPr>
      <w:r>
        <w:t xml:space="preserve">Farid, H. (2016) </w:t>
      </w:r>
      <w:r>
        <w:rPr>
          <w:i/>
        </w:rPr>
        <w:t>Photo forensics</w:t>
      </w:r>
      <w:r>
        <w:t>. Cambridge, MA: MIT Press.</w:t>
      </w:r>
    </w:p>
    <w:p>
      <w:pPr>
        <w:spacing w:after="140"/>
        <w:jc w:val="both"/>
      </w:pPr>
      <w:r>
        <w:t xml:space="preserve">Fridrich, J., Soukal, D. and Lukáš, J. (2003) ‘Detection of copy–move forgery in digital images’, in </w:t>
      </w:r>
      <w:r>
        <w:rPr>
          <w:i/>
        </w:rPr>
        <w:t>Proceedings of the Digital Forensic Research Workshop (DFRWS)</w:t>
      </w:r>
      <w:r>
        <w:t>. Cleveland, OH.</w:t>
      </w:r>
    </w:p>
    <w:p>
      <w:pPr>
        <w:spacing w:after="140"/>
        <w:jc w:val="both"/>
      </w:pPr>
      <w:r>
        <w:t xml:space="preserve">International Organization for Standardization (2009) </w:t>
      </w:r>
      <w:r>
        <w:rPr>
          <w:i/>
        </w:rPr>
        <w:t>ISO 3779:2009 Road vehicles — Vehicle identification number (VIN) — Content and structure</w:t>
      </w:r>
      <w:r>
        <w:t>. Geneva: ISO.</w:t>
      </w:r>
    </w:p>
    <w:p>
      <w:pPr>
        <w:spacing w:after="140"/>
        <w:jc w:val="both"/>
      </w:pPr>
      <w:r>
        <w:t xml:space="preserve">International Organization for Standardization (2020) </w:t>
      </w:r>
      <w:r>
        <w:rPr>
          <w:i/>
        </w:rPr>
        <w:t>ISO 13616-1:2020 Financial services — International bank account number (IBAN) — Part 1: Structure of the IBAN</w:t>
      </w:r>
      <w:r>
        <w:t>. Geneva: ISO.</w:t>
      </w:r>
    </w:p>
    <w:p>
      <w:pPr>
        <w:spacing w:after="140"/>
        <w:jc w:val="both"/>
      </w:pPr>
      <w:r>
        <w:t xml:space="preserve">Jones, M., Bradley, J. and Sakimura, N. (2015) </w:t>
      </w:r>
      <w:r>
        <w:rPr>
          <w:i/>
        </w:rPr>
        <w:t>JSON Web Token (JWT)</w:t>
      </w:r>
      <w:r>
        <w:t>, RFC 7519. Internet Engineering Task Force.</w:t>
      </w:r>
    </w:p>
    <w:p>
      <w:pPr>
        <w:spacing w:after="140"/>
        <w:jc w:val="both"/>
      </w:pPr>
      <w:r>
        <w:t xml:space="preserve">Krawetz, N. (2007) </w:t>
      </w:r>
      <w:r>
        <w:rPr>
          <w:i/>
        </w:rPr>
        <w:t>A picture's worth: digital image analysis and forensics</w:t>
      </w:r>
      <w:r>
        <w:t>. Hacker Factor Solutions white paper.</w:t>
      </w:r>
    </w:p>
    <w:p>
      <w:pPr>
        <w:spacing w:after="140"/>
        <w:jc w:val="both"/>
      </w:pPr>
      <w:r>
        <w:t xml:space="preserve">Lukáš, J., Fridrich, J. and Goljan, M. (2006) ‘Digital camera identification from sensor pattern noise’, </w:t>
      </w:r>
      <w:r>
        <w:rPr>
          <w:i/>
        </w:rPr>
        <w:t>IEEE Transactions on Information Forensics and Security</w:t>
      </w:r>
      <w:r>
        <w:t>, 1(2), pp. 205–214.</w:t>
      </w:r>
    </w:p>
    <w:p>
      <w:pPr>
        <w:spacing w:after="140"/>
        <w:jc w:val="both"/>
      </w:pPr>
      <w:r>
        <w:t xml:space="preserve">Machado, G.M., Oliveira, M.M. and Fernandes, L.A.F. (2009) ‘A physiologically-based model for simulation of color vision deficiency’, </w:t>
      </w:r>
      <w:r>
        <w:rPr>
          <w:i/>
        </w:rPr>
        <w:t>IEEE Transactions on Visualization and Computer Graphics</w:t>
      </w:r>
      <w:r>
        <w:t>, 15(6), pp. 1291–1298.</w:t>
      </w:r>
    </w:p>
    <w:p>
      <w:pPr>
        <w:spacing w:after="140"/>
        <w:jc w:val="both"/>
      </w:pPr>
      <w:r>
        <w:t xml:space="preserve">Open Web Application Security Project (2021) </w:t>
      </w:r>
      <w:r>
        <w:rPr>
          <w:i/>
        </w:rPr>
        <w:t>OWASP Application Security Verification Standard 4.0.3</w:t>
      </w:r>
      <w:r>
        <w:t>. OWASP Foundation.</w:t>
      </w:r>
    </w:p>
    <w:p>
      <w:pPr>
        <w:spacing w:after="140"/>
        <w:jc w:val="both"/>
      </w:pPr>
      <w:r>
        <w:t xml:space="preserve">Ottosson, B. (2020) </w:t>
      </w:r>
      <w:r>
        <w:rPr>
          <w:i/>
        </w:rPr>
        <w:t>A perceptual color space for image processing (Oklab)</w:t>
      </w:r>
      <w:r>
        <w:t>. Available at: https://bottosson.github.io/posts/oklab/.</w:t>
      </w:r>
    </w:p>
    <w:p>
      <w:pPr>
        <w:spacing w:after="140"/>
        <w:jc w:val="both"/>
      </w:pPr>
      <w:r>
        <w:t xml:space="preserve">Pearl, J. (1988) </w:t>
      </w:r>
      <w:r>
        <w:rPr>
          <w:i/>
        </w:rPr>
        <w:t>Probabilistic reasoning in intelligent systems: networks of plausible inference</w:t>
      </w:r>
      <w:r>
        <w:t>. San Mateo, CA: Morgan Kaufmann.</w:t>
      </w:r>
    </w:p>
    <w:p>
      <w:pPr>
        <w:spacing w:after="140"/>
        <w:jc w:val="both"/>
      </w:pPr>
      <w:r>
        <w:t xml:space="preserve">Popescu, A.C. and Farid, H. (2005) ‘Exposing digital forgeries by detecting traces of resampling’, </w:t>
      </w:r>
      <w:r>
        <w:rPr>
          <w:i/>
        </w:rPr>
        <w:t>IEEE Transactions on Signal Processing</w:t>
      </w:r>
      <w:r>
        <w:t>, 53(2), pp. 758–767.</w:t>
      </w:r>
    </w:p>
    <w:p>
      <w:pPr>
        <w:spacing w:after="140"/>
        <w:jc w:val="both"/>
      </w:pPr>
      <w:r>
        <w:t xml:space="preserve">Rublee, E., Rabaud, V., Konolige, K. and Bradski, G. (2011) ‘ORB: An efficient alternative to SIFT or SURF’, in </w:t>
      </w:r>
      <w:r>
        <w:rPr>
          <w:i/>
        </w:rPr>
        <w:t>2011 International Conference on Computer Vision (ICCV)</w:t>
      </w:r>
      <w:r>
        <w:t>. Barcelona: IEEE, pp. 2564–2571.</w:t>
      </w:r>
    </w:p>
    <w:p>
      <w:pPr>
        <w:spacing w:after="140"/>
        <w:jc w:val="both"/>
      </w:pPr>
      <w:r>
        <w:t xml:space="preserve">Smith, R. (2007) ‘An overview of the Tesseract OCR engine’, in </w:t>
      </w:r>
      <w:r>
        <w:rPr>
          <w:i/>
        </w:rPr>
        <w:t>Ninth International Conference on Document Analysis and Recognition (ICDAR 2007)</w:t>
      </w:r>
      <w:r>
        <w:t>. Curitiba: IEEE, pp. 629–633.</w:t>
      </w:r>
    </w:p>
    <w:p>
      <w:pPr>
        <w:spacing w:after="140"/>
        <w:jc w:val="both"/>
      </w:pPr>
      <w:r>
        <w:t xml:space="preserve">World Wide Web Consortium (2023) </w:t>
      </w:r>
      <w:r>
        <w:rPr>
          <w:i/>
        </w:rPr>
        <w:t>Web Content Accessibility Guidelines (WCAG) 2.2</w:t>
      </w:r>
      <w:r>
        <w:t>, W3C Recommendation, 5 October 2023.</w:t>
      </w:r>
    </w:p>
    <w:p>
      <w:r>
        <w:br w:type="page"/>
      </w:r>
    </w:p>
    <w:p>
      <w:pPr>
        <w:pStyle w:val="Heading1"/>
      </w:pPr>
      <w:r>
        <w:t>Appendix A  Detector Catalogue</w:t>
      </w:r>
    </w:p>
    <w:p>
      <w:pPr>
        <w:spacing w:after="160"/>
        <w:jc w:val="both"/>
      </w:pPr>
      <w:r>
        <w:t xml:space="preserve">Every finding code the platform can emit, with the property it measures and its seeded severity and confidence treatment. Confidence values are calibrated per detector against the measurement itself; </w:t>
      </w:r>
      <w:r>
        <w:rPr>
          <w:b/>
        </w:rPr>
        <w:t>they are not probabilities of fraud</w:t>
      </w:r>
      <w:r>
        <w:t xml:space="preserve">. The repository's </w:t>
      </w:r>
      <w:r>
        <w:rPr>
          <w:rFonts w:ascii="Consolas" w:hAnsi="Consolas"/>
          <w:color w:val="381A89"/>
          <w:sz w:val="20"/>
        </w:rPr>
        <w:t>docs/DETECTION.md</w:t>
      </w:r>
      <w:r>
        <w:t xml:space="preserve"> carries, in addition, the benign explanations an investigator should rule out for each code.</w:t>
      </w:r>
    </w:p>
    <w:p>
      <w:pPr>
        <w:pStyle w:val="Heading2"/>
      </w:pPr>
      <w:r>
        <w:t>A.1  Metadata provenance — PDF</w:t>
      </w:r>
    </w:p>
    <w:p>
      <w:pPr>
        <w:spacing w:after="160"/>
        <w:jc w:val="both"/>
      </w:pPr>
      <w:r>
        <w:t xml:space="preserve">Detector </w:t>
      </w:r>
      <w:r>
        <w:rPr>
          <w:rFonts w:ascii="Consolas" w:hAnsi="Consolas"/>
          <w:color w:val="381A89"/>
          <w:sz w:val="20"/>
        </w:rPr>
        <w:t>pdf-structure-forensics</w:t>
      </w:r>
      <w:r>
        <w:t xml:space="preserve"> v1.5.0. Producer and creator strings are classified into nine software families; three are treated as high-concern (raster editor, design tool, online editor) and two as medium (PDF manipulation, PDF editor).</w:t>
      </w:r>
    </w:p>
    <w:p>
      <w:pPr>
        <w:keepNext/>
        <w:spacing w:after="60" w:before="120"/>
      </w:pPr>
      <w:r>
        <w:rPr>
          <w:rFonts w:ascii="Arial" w:hAnsi="Arial"/>
          <w:b/>
          <w:color w:val="381A89"/>
          <w:sz w:val="18"/>
        </w:rPr>
        <w:t xml:space="preserve">Table 22. </w:t>
      </w:r>
      <w:r>
        <w:rPr>
          <w:rFonts w:ascii="Arial" w:hAnsi="Arial"/>
          <w:color w:val="55516B"/>
          <w:sz w:val="18"/>
        </w:rPr>
        <w:t>PDF metadata findings.</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3061"/>
            <w:shd w:val="clear" w:color="auto" w:fill="2E1C6B"/>
          </w:tcPr>
          <w:p>
            <w:pPr>
              <w:spacing w:after="20" w:before="20" w:line="252" w:lineRule="auto"/>
            </w:pPr>
            <w:r>
              <w:rPr>
                <w:rFonts w:ascii="Arial" w:hAnsi="Arial"/>
                <w:b/>
                <w:color w:val="FFFFFF"/>
                <w:sz w:val="18"/>
              </w:rPr>
              <w:t>Code</w:t>
            </w:r>
          </w:p>
        </w:tc>
        <w:tc>
          <w:tcPr>
            <w:tcW w:type="dxa" w:w="3742"/>
            <w:shd w:val="clear" w:color="auto" w:fill="2E1C6B"/>
          </w:tcPr>
          <w:p>
            <w:pPr>
              <w:spacing w:after="20" w:before="20" w:line="252" w:lineRule="auto"/>
            </w:pPr>
            <w:r>
              <w:rPr>
                <w:rFonts w:ascii="Arial" w:hAnsi="Arial"/>
                <w:b/>
                <w:color w:val="FFFFFF"/>
                <w:sz w:val="18"/>
              </w:rPr>
              <w:t>Measured</w:t>
            </w:r>
          </w:p>
        </w:tc>
        <w:tc>
          <w:tcPr>
            <w:tcW w:type="dxa" w:w="2154"/>
            <w:shd w:val="clear" w:color="auto" w:fill="2E1C6B"/>
          </w:tcPr>
          <w:p>
            <w:pPr>
              <w:spacing w:after="20" w:before="20" w:line="252" w:lineRule="auto"/>
            </w:pPr>
            <w:r>
              <w:rPr>
                <w:rFonts w:ascii="Arial" w:hAnsi="Arial"/>
                <w:b/>
                <w:color w:val="FFFFFF"/>
                <w:sz w:val="18"/>
              </w:rPr>
              <w:t>Severity / confidence</w:t>
            </w:r>
          </w:p>
        </w:tc>
      </w:tr>
      <w:tr>
        <w:trPr>
          <w:cantSplit/>
        </w:trPr>
        <w:tc>
          <w:tcPr>
            <w:tcW w:type="dxa" w:w="3061"/>
          </w:tcPr>
          <w:p>
            <w:pPr>
              <w:spacing w:after="20" w:before="20" w:line="264" w:lineRule="auto"/>
            </w:pPr>
            <w:r>
              <w:rPr>
                <w:rFonts w:ascii="Consolas" w:hAnsi="Consolas"/>
                <w:color w:val="381A89"/>
                <w:sz w:val="17"/>
              </w:rPr>
              <w:t>PDF_MODDATE_BEFORE_CREATION</w:t>
            </w:r>
          </w:p>
        </w:tc>
        <w:tc>
          <w:tcPr>
            <w:tcW w:type="dxa" w:w="3742"/>
          </w:tcPr>
          <w:p>
            <w:pPr>
              <w:spacing w:after="20" w:before="20" w:line="264" w:lineRule="auto"/>
            </w:pPr>
            <w:r>
              <w:rPr>
                <w:rFonts w:ascii="Arial" w:hAnsi="Arial"/>
                <w:sz w:val="19"/>
              </w:rPr>
              <w:t>Modification date precedes creation by more than 60 s</w:t>
            </w:r>
          </w:p>
        </w:tc>
        <w:tc>
          <w:tcPr>
            <w:tcW w:type="dxa" w:w="2154"/>
          </w:tcPr>
          <w:p>
            <w:pPr>
              <w:spacing w:after="20" w:before="20" w:line="264" w:lineRule="auto"/>
            </w:pPr>
            <w:r>
              <w:rPr>
                <w:rFonts w:ascii="Arial" w:hAnsi="Arial"/>
                <w:sz w:val="19"/>
              </w:rPr>
              <w:t>high / 0.88</w:t>
            </w:r>
          </w:p>
        </w:tc>
      </w:tr>
      <w:tr>
        <w:trPr>
          <w:cantSplit/>
        </w:trPr>
        <w:tc>
          <w:tcPr>
            <w:tcW w:type="dxa" w:w="3061"/>
            <w:shd w:val="clear" w:color="auto" w:fill="F4F2FA"/>
          </w:tcPr>
          <w:p>
            <w:pPr>
              <w:spacing w:after="20" w:before="20" w:line="264" w:lineRule="auto"/>
            </w:pPr>
            <w:r>
              <w:rPr>
                <w:rFonts w:ascii="Consolas" w:hAnsi="Consolas"/>
                <w:color w:val="381A89"/>
                <w:sz w:val="17"/>
              </w:rPr>
              <w:t>PDF_EDITED_AFTER_CREATION</w:t>
            </w:r>
          </w:p>
        </w:tc>
        <w:tc>
          <w:tcPr>
            <w:tcW w:type="dxa" w:w="3742"/>
            <w:shd w:val="clear" w:color="auto" w:fill="F4F2FA"/>
          </w:tcPr>
          <w:p>
            <w:pPr>
              <w:spacing w:after="20" w:before="20" w:line="264" w:lineRule="auto"/>
            </w:pPr>
            <w:r>
              <w:rPr>
                <w:rFonts w:ascii="Arial" w:hAnsi="Arial"/>
                <w:sz w:val="19"/>
              </w:rPr>
              <w:t>More than one day between creation and last save</w:t>
            </w:r>
          </w:p>
        </w:tc>
        <w:tc>
          <w:tcPr>
            <w:tcW w:type="dxa" w:w="2154"/>
            <w:shd w:val="clear" w:color="auto" w:fill="F4F2FA"/>
          </w:tcPr>
          <w:p>
            <w:pPr>
              <w:spacing w:after="20" w:before="20" w:line="264" w:lineRule="auto"/>
            </w:pPr>
            <w:r>
              <w:rPr>
                <w:rFonts w:ascii="Arial" w:hAnsi="Arial"/>
                <w:sz w:val="19"/>
              </w:rPr>
              <w:t>medium ≥7 d else low / 0.45–0.80 by elapsed days</w:t>
            </w:r>
          </w:p>
        </w:tc>
      </w:tr>
      <w:tr>
        <w:trPr>
          <w:cantSplit/>
        </w:trPr>
        <w:tc>
          <w:tcPr>
            <w:tcW w:type="dxa" w:w="3061"/>
          </w:tcPr>
          <w:p>
            <w:pPr>
              <w:spacing w:after="20" w:before="20" w:line="264" w:lineRule="auto"/>
            </w:pPr>
            <w:r>
              <w:rPr>
                <w:rFonts w:ascii="Consolas" w:hAnsi="Consolas"/>
                <w:color w:val="381A89"/>
                <w:sz w:val="17"/>
              </w:rPr>
              <w:t>PDF_FUTURE_TIMESTAMP</w:t>
            </w:r>
          </w:p>
        </w:tc>
        <w:tc>
          <w:tcPr>
            <w:tcW w:type="dxa" w:w="3742"/>
          </w:tcPr>
          <w:p>
            <w:pPr>
              <w:spacing w:after="20" w:before="20" w:line="264" w:lineRule="auto"/>
            </w:pPr>
            <w:r>
              <w:rPr>
                <w:rFonts w:ascii="Arial" w:hAnsi="Arial"/>
                <w:sz w:val="19"/>
              </w:rPr>
              <w:t>A document timestamp later than server time + 1 day</w:t>
            </w:r>
          </w:p>
        </w:tc>
        <w:tc>
          <w:tcPr>
            <w:tcW w:type="dxa" w:w="2154"/>
          </w:tcPr>
          <w:p>
            <w:pPr>
              <w:spacing w:after="20" w:before="20" w:line="264" w:lineRule="auto"/>
            </w:pPr>
            <w:r>
              <w:rPr>
                <w:rFonts w:ascii="Arial" w:hAnsi="Arial"/>
                <w:sz w:val="19"/>
              </w:rPr>
              <w:t>medium / 0.70</w:t>
            </w:r>
          </w:p>
        </w:tc>
      </w:tr>
      <w:tr>
        <w:trPr>
          <w:cantSplit/>
        </w:trPr>
        <w:tc>
          <w:tcPr>
            <w:tcW w:type="dxa" w:w="3061"/>
            <w:shd w:val="clear" w:color="auto" w:fill="F4F2FA"/>
          </w:tcPr>
          <w:p>
            <w:pPr>
              <w:spacing w:after="20" w:before="20" w:line="264" w:lineRule="auto"/>
            </w:pPr>
            <w:r>
              <w:rPr>
                <w:rFonts w:ascii="Consolas" w:hAnsi="Consolas"/>
                <w:color w:val="381A89"/>
                <w:sz w:val="17"/>
              </w:rPr>
              <w:t>PDF_IMAGE_EDITOR_PRODUCER</w:t>
            </w:r>
          </w:p>
        </w:tc>
        <w:tc>
          <w:tcPr>
            <w:tcW w:type="dxa" w:w="3742"/>
            <w:shd w:val="clear" w:color="auto" w:fill="F4F2FA"/>
          </w:tcPr>
          <w:p>
            <w:pPr>
              <w:spacing w:after="20" w:before="20" w:line="264" w:lineRule="auto"/>
            </w:pPr>
            <w:r>
              <w:rPr>
                <w:rFonts w:ascii="Arial" w:hAnsi="Arial"/>
                <w:sz w:val="19"/>
              </w:rPr>
              <w:t>Producer or creator is a raster or design editor</w:t>
            </w:r>
          </w:p>
        </w:tc>
        <w:tc>
          <w:tcPr>
            <w:tcW w:type="dxa" w:w="2154"/>
            <w:shd w:val="clear" w:color="auto" w:fill="F4F2FA"/>
          </w:tcPr>
          <w:p>
            <w:pPr>
              <w:spacing w:after="20" w:before="20" w:line="264" w:lineRule="auto"/>
            </w:pPr>
            <w:r>
              <w:rPr>
                <w:rFonts w:ascii="Arial" w:hAnsi="Arial"/>
                <w:sz w:val="19"/>
              </w:rPr>
              <w:t>high / 0.78</w:t>
            </w:r>
          </w:p>
        </w:tc>
      </w:tr>
      <w:tr>
        <w:trPr>
          <w:cantSplit/>
        </w:trPr>
        <w:tc>
          <w:tcPr>
            <w:tcW w:type="dxa" w:w="3061"/>
          </w:tcPr>
          <w:p>
            <w:pPr>
              <w:spacing w:after="20" w:before="20" w:line="264" w:lineRule="auto"/>
            </w:pPr>
            <w:r>
              <w:rPr>
                <w:rFonts w:ascii="Consolas" w:hAnsi="Consolas"/>
                <w:color w:val="381A89"/>
                <w:sz w:val="17"/>
              </w:rPr>
              <w:t>PDF_MANIPULATION_TOOLING</w:t>
            </w:r>
          </w:p>
        </w:tc>
        <w:tc>
          <w:tcPr>
            <w:tcW w:type="dxa" w:w="3742"/>
          </w:tcPr>
          <w:p>
            <w:pPr>
              <w:spacing w:after="20" w:before="20" w:line="264" w:lineRule="auto"/>
            </w:pPr>
            <w:r>
              <w:rPr>
                <w:rFonts w:ascii="Arial" w:hAnsi="Arial"/>
                <w:sz w:val="19"/>
              </w:rPr>
              <w:t>Producer or creator is a merge, split or re-save tool</w:t>
            </w:r>
          </w:p>
        </w:tc>
        <w:tc>
          <w:tcPr>
            <w:tcW w:type="dxa" w:w="2154"/>
          </w:tcPr>
          <w:p>
            <w:pPr>
              <w:spacing w:after="20" w:before="20" w:line="264" w:lineRule="auto"/>
            </w:pPr>
            <w:r>
              <w:rPr>
                <w:rFonts w:ascii="Arial" w:hAnsi="Arial"/>
                <w:sz w:val="19"/>
              </w:rPr>
              <w:t>low / 0.50</w:t>
            </w:r>
          </w:p>
        </w:tc>
      </w:tr>
      <w:tr>
        <w:trPr>
          <w:cantSplit/>
        </w:trPr>
        <w:tc>
          <w:tcPr>
            <w:tcW w:type="dxa" w:w="3061"/>
            <w:shd w:val="clear" w:color="auto" w:fill="F4F2FA"/>
          </w:tcPr>
          <w:p>
            <w:pPr>
              <w:spacing w:after="20" w:before="20" w:line="264" w:lineRule="auto"/>
            </w:pPr>
            <w:r>
              <w:rPr>
                <w:rFonts w:ascii="Consolas" w:hAnsi="Consolas"/>
                <w:color w:val="381A89"/>
                <w:sz w:val="17"/>
              </w:rPr>
              <w:t>PDF_PRODUCER_CREATOR_MISMATCH</w:t>
            </w:r>
          </w:p>
        </w:tc>
        <w:tc>
          <w:tcPr>
            <w:tcW w:type="dxa" w:w="3742"/>
            <w:shd w:val="clear" w:color="auto" w:fill="F4F2FA"/>
          </w:tcPr>
          <w:p>
            <w:pPr>
              <w:spacing w:after="20" w:before="20" w:line="264" w:lineRule="auto"/>
            </w:pPr>
            <w:r>
              <w:rPr>
                <w:rFonts w:ascii="Arial" w:hAnsi="Arial"/>
                <w:sz w:val="19"/>
              </w:rPr>
              <w:t>Creator and producer belong to different software families</w:t>
            </w:r>
          </w:p>
        </w:tc>
        <w:tc>
          <w:tcPr>
            <w:tcW w:type="dxa" w:w="2154"/>
            <w:shd w:val="clear" w:color="auto" w:fill="F4F2FA"/>
          </w:tcPr>
          <w:p>
            <w:pPr>
              <w:spacing w:after="20" w:before="20" w:line="264" w:lineRule="auto"/>
            </w:pPr>
            <w:r>
              <w:rPr>
                <w:rFonts w:ascii="Arial" w:hAnsi="Arial"/>
                <w:sz w:val="19"/>
              </w:rPr>
              <w:t>low / 0.55</w:t>
            </w:r>
          </w:p>
        </w:tc>
      </w:tr>
      <w:tr>
        <w:trPr>
          <w:cantSplit/>
        </w:trPr>
        <w:tc>
          <w:tcPr>
            <w:tcW w:type="dxa" w:w="3061"/>
          </w:tcPr>
          <w:p>
            <w:pPr>
              <w:spacing w:after="20" w:before="20" w:line="264" w:lineRule="auto"/>
            </w:pPr>
            <w:r>
              <w:rPr>
                <w:rFonts w:ascii="Consolas" w:hAnsi="Consolas"/>
                <w:color w:val="381A89"/>
                <w:sz w:val="17"/>
              </w:rPr>
              <w:t>PDF_METADATA_ABSENT</w:t>
            </w:r>
          </w:p>
        </w:tc>
        <w:tc>
          <w:tcPr>
            <w:tcW w:type="dxa" w:w="3742"/>
          </w:tcPr>
          <w:p>
            <w:pPr>
              <w:spacing w:after="20" w:before="20" w:line="264" w:lineRule="auto"/>
            </w:pPr>
            <w:r>
              <w:rPr>
                <w:rFonts w:ascii="Arial" w:hAnsi="Arial"/>
                <w:sz w:val="19"/>
              </w:rPr>
              <w:t>Document information dictionary is empty</w:t>
            </w:r>
          </w:p>
        </w:tc>
        <w:tc>
          <w:tcPr>
            <w:tcW w:type="dxa" w:w="2154"/>
          </w:tcPr>
          <w:p>
            <w:pPr>
              <w:spacing w:after="20" w:before="20" w:line="264" w:lineRule="auto"/>
            </w:pPr>
            <w:r>
              <w:rPr>
                <w:rFonts w:ascii="Arial" w:hAnsi="Arial"/>
                <w:sz w:val="19"/>
              </w:rPr>
              <w:t>low / 0.45</w:t>
            </w:r>
          </w:p>
        </w:tc>
      </w:tr>
      <w:tr>
        <w:trPr>
          <w:cantSplit/>
        </w:trPr>
        <w:tc>
          <w:tcPr>
            <w:tcW w:type="dxa" w:w="3061"/>
            <w:shd w:val="clear" w:color="auto" w:fill="F4F2FA"/>
          </w:tcPr>
          <w:p>
            <w:pPr>
              <w:spacing w:after="20" w:before="20" w:line="264" w:lineRule="auto"/>
            </w:pPr>
            <w:r>
              <w:rPr>
                <w:rFonts w:ascii="Consolas" w:hAnsi="Consolas"/>
                <w:color w:val="381A89"/>
                <w:sz w:val="17"/>
              </w:rPr>
              <w:t>PDF_PRODUCER_ABSENT</w:t>
            </w:r>
          </w:p>
        </w:tc>
        <w:tc>
          <w:tcPr>
            <w:tcW w:type="dxa" w:w="3742"/>
            <w:shd w:val="clear" w:color="auto" w:fill="F4F2FA"/>
          </w:tcPr>
          <w:p>
            <w:pPr>
              <w:spacing w:after="20" w:before="20" w:line="264" w:lineRule="auto"/>
            </w:pPr>
            <w:r>
              <w:rPr>
                <w:rFonts w:ascii="Arial" w:hAnsi="Arial"/>
                <w:sz w:val="19"/>
              </w:rPr>
              <w:t>Neither producer nor creator is present</w:t>
            </w:r>
          </w:p>
        </w:tc>
        <w:tc>
          <w:tcPr>
            <w:tcW w:type="dxa" w:w="2154"/>
            <w:shd w:val="clear" w:color="auto" w:fill="F4F2FA"/>
          </w:tcPr>
          <w:p>
            <w:pPr>
              <w:spacing w:after="20" w:before="20" w:line="264" w:lineRule="auto"/>
            </w:pPr>
            <w:r>
              <w:rPr>
                <w:rFonts w:ascii="Arial" w:hAnsi="Arial"/>
                <w:sz w:val="19"/>
              </w:rPr>
              <w:t>low / 0.42</w:t>
            </w:r>
          </w:p>
        </w:tc>
      </w:tr>
    </w:tbl>
    <w:p>
      <w:pPr>
        <w:spacing w:after="40"/>
      </w:pPr>
    </w:p>
    <w:p>
      <w:pPr>
        <w:pStyle w:val="Heading2"/>
      </w:pPr>
      <w:r>
        <w:t>A.2  Metadata provenance — images</w:t>
      </w:r>
    </w:p>
    <w:p>
      <w:pPr>
        <w:spacing w:after="160"/>
        <w:jc w:val="both"/>
      </w:pPr>
      <w:r>
        <w:t xml:space="preserve">Detector </w:t>
      </w:r>
      <w:r>
        <w:rPr>
          <w:rFonts w:ascii="Consolas" w:hAnsi="Consolas"/>
          <w:color w:val="381A89"/>
          <w:sz w:val="20"/>
        </w:rPr>
        <w:t>image-metadata-forensics</w:t>
      </w:r>
      <w:r>
        <w:t xml:space="preserve"> v1.2.0. Eleven editor markers are recognised in the EXIF software tag; eight camera keys define capture provenance.</w:t>
      </w:r>
    </w:p>
    <w:p>
      <w:pPr>
        <w:keepNext/>
        <w:spacing w:after="60" w:before="120"/>
      </w:pPr>
      <w:r>
        <w:rPr>
          <w:rFonts w:ascii="Arial" w:hAnsi="Arial"/>
          <w:b/>
          <w:color w:val="381A89"/>
          <w:sz w:val="18"/>
        </w:rPr>
        <w:t xml:space="preserve">Table 23. </w:t>
      </w:r>
      <w:r>
        <w:rPr>
          <w:rFonts w:ascii="Arial" w:hAnsi="Arial"/>
          <w:color w:val="55516B"/>
          <w:sz w:val="18"/>
        </w:rPr>
        <w:t>Image metadata findings.</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3061"/>
            <w:shd w:val="clear" w:color="auto" w:fill="2E1C6B"/>
          </w:tcPr>
          <w:p>
            <w:pPr>
              <w:spacing w:after="20" w:before="20" w:line="252" w:lineRule="auto"/>
            </w:pPr>
            <w:r>
              <w:rPr>
                <w:rFonts w:ascii="Arial" w:hAnsi="Arial"/>
                <w:b/>
                <w:color w:val="FFFFFF"/>
                <w:sz w:val="18"/>
              </w:rPr>
              <w:t>Code</w:t>
            </w:r>
          </w:p>
        </w:tc>
        <w:tc>
          <w:tcPr>
            <w:tcW w:type="dxa" w:w="3742"/>
            <w:shd w:val="clear" w:color="auto" w:fill="2E1C6B"/>
          </w:tcPr>
          <w:p>
            <w:pPr>
              <w:spacing w:after="20" w:before="20" w:line="252" w:lineRule="auto"/>
            </w:pPr>
            <w:r>
              <w:rPr>
                <w:rFonts w:ascii="Arial" w:hAnsi="Arial"/>
                <w:b/>
                <w:color w:val="FFFFFF"/>
                <w:sz w:val="18"/>
              </w:rPr>
              <w:t>Measured</w:t>
            </w:r>
          </w:p>
        </w:tc>
        <w:tc>
          <w:tcPr>
            <w:tcW w:type="dxa" w:w="2154"/>
            <w:shd w:val="clear" w:color="auto" w:fill="2E1C6B"/>
          </w:tcPr>
          <w:p>
            <w:pPr>
              <w:spacing w:after="20" w:before="20" w:line="252" w:lineRule="auto"/>
            </w:pPr>
            <w:r>
              <w:rPr>
                <w:rFonts w:ascii="Arial" w:hAnsi="Arial"/>
                <w:b/>
                <w:color w:val="FFFFFF"/>
                <w:sz w:val="18"/>
              </w:rPr>
              <w:t>Severity / confidence</w:t>
            </w:r>
          </w:p>
        </w:tc>
      </w:tr>
      <w:tr>
        <w:trPr>
          <w:cantSplit/>
        </w:trPr>
        <w:tc>
          <w:tcPr>
            <w:tcW w:type="dxa" w:w="3061"/>
          </w:tcPr>
          <w:p>
            <w:pPr>
              <w:spacing w:after="20" w:before="20" w:line="264" w:lineRule="auto"/>
            </w:pPr>
            <w:r>
              <w:rPr>
                <w:rFonts w:ascii="Consolas" w:hAnsi="Consolas"/>
                <w:color w:val="381A89"/>
                <w:sz w:val="17"/>
              </w:rPr>
              <w:t>IMG_EDITOR_SOFTWARE_TAG</w:t>
            </w:r>
          </w:p>
        </w:tc>
        <w:tc>
          <w:tcPr>
            <w:tcW w:type="dxa" w:w="3742"/>
          </w:tcPr>
          <w:p>
            <w:pPr>
              <w:spacing w:after="20" w:before="20" w:line="264" w:lineRule="auto"/>
            </w:pPr>
            <w:r>
              <w:rPr>
                <w:rFonts w:ascii="Arial" w:hAnsi="Arial"/>
                <w:sz w:val="19"/>
              </w:rPr>
              <w:t>EXIF software tag names an image editor</w:t>
            </w:r>
          </w:p>
        </w:tc>
        <w:tc>
          <w:tcPr>
            <w:tcW w:type="dxa" w:w="2154"/>
          </w:tcPr>
          <w:p>
            <w:pPr>
              <w:spacing w:after="20" w:before="20" w:line="264" w:lineRule="auto"/>
            </w:pPr>
            <w:r>
              <w:rPr>
                <w:rFonts w:ascii="Arial" w:hAnsi="Arial"/>
                <w:sz w:val="19"/>
              </w:rPr>
              <w:t>high / 0.80</w:t>
            </w:r>
          </w:p>
        </w:tc>
      </w:tr>
      <w:tr>
        <w:trPr>
          <w:cantSplit/>
        </w:trPr>
        <w:tc>
          <w:tcPr>
            <w:tcW w:type="dxa" w:w="3061"/>
            <w:shd w:val="clear" w:color="auto" w:fill="F4F2FA"/>
          </w:tcPr>
          <w:p>
            <w:pPr>
              <w:spacing w:after="20" w:before="20" w:line="264" w:lineRule="auto"/>
            </w:pPr>
            <w:r>
              <w:rPr>
                <w:rFonts w:ascii="Consolas" w:hAnsi="Consolas"/>
                <w:color w:val="381A89"/>
                <w:sz w:val="17"/>
              </w:rPr>
              <w:t>IMG_EXIF_TIMESTAMP_DRIFT</w:t>
            </w:r>
          </w:p>
        </w:tc>
        <w:tc>
          <w:tcPr>
            <w:tcW w:type="dxa" w:w="3742"/>
            <w:shd w:val="clear" w:color="auto" w:fill="F4F2FA"/>
          </w:tcPr>
          <w:p>
            <w:pPr>
              <w:spacing w:after="20" w:before="20" w:line="264" w:lineRule="auto"/>
            </w:pPr>
            <w:r>
              <w:rPr>
                <w:rFonts w:ascii="Arial" w:hAnsi="Arial"/>
                <w:sz w:val="19"/>
              </w:rPr>
              <w:t>Modification timestamp more than an hour after capture</w:t>
            </w:r>
          </w:p>
        </w:tc>
        <w:tc>
          <w:tcPr>
            <w:tcW w:type="dxa" w:w="2154"/>
            <w:shd w:val="clear" w:color="auto" w:fill="F4F2FA"/>
          </w:tcPr>
          <w:p>
            <w:pPr>
              <w:spacing w:after="20" w:before="20" w:line="264" w:lineRule="auto"/>
            </w:pPr>
            <w:r>
              <w:rPr>
                <w:rFonts w:ascii="Arial" w:hAnsi="Arial"/>
                <w:sz w:val="19"/>
              </w:rPr>
              <w:t>medium / 0.62</w:t>
            </w:r>
          </w:p>
        </w:tc>
      </w:tr>
      <w:tr>
        <w:trPr>
          <w:cantSplit/>
        </w:trPr>
        <w:tc>
          <w:tcPr>
            <w:tcW w:type="dxa" w:w="3061"/>
          </w:tcPr>
          <w:p>
            <w:pPr>
              <w:spacing w:after="20" w:before="20" w:line="264" w:lineRule="auto"/>
            </w:pPr>
            <w:r>
              <w:rPr>
                <w:rFonts w:ascii="Consolas" w:hAnsi="Consolas"/>
                <w:color w:val="381A89"/>
                <w:sz w:val="17"/>
              </w:rPr>
              <w:t>IMG_EXIF_FUTURE_TIMESTAMP</w:t>
            </w:r>
          </w:p>
        </w:tc>
        <w:tc>
          <w:tcPr>
            <w:tcW w:type="dxa" w:w="3742"/>
          </w:tcPr>
          <w:p>
            <w:pPr>
              <w:spacing w:after="20" w:before="20" w:line="264" w:lineRule="auto"/>
            </w:pPr>
            <w:r>
              <w:rPr>
                <w:rFonts w:ascii="Arial" w:hAnsi="Arial"/>
                <w:sz w:val="19"/>
              </w:rPr>
              <w:t>An EXIF timestamp later than now</w:t>
            </w:r>
          </w:p>
        </w:tc>
        <w:tc>
          <w:tcPr>
            <w:tcW w:type="dxa" w:w="2154"/>
          </w:tcPr>
          <w:p>
            <w:pPr>
              <w:spacing w:after="20" w:before="20" w:line="264" w:lineRule="auto"/>
            </w:pPr>
            <w:r>
              <w:rPr>
                <w:rFonts w:ascii="Arial" w:hAnsi="Arial"/>
                <w:sz w:val="19"/>
              </w:rPr>
              <w:t>medium / 0.65</w:t>
            </w:r>
          </w:p>
        </w:tc>
      </w:tr>
      <w:tr>
        <w:trPr>
          <w:cantSplit/>
        </w:trPr>
        <w:tc>
          <w:tcPr>
            <w:tcW w:type="dxa" w:w="3061"/>
            <w:shd w:val="clear" w:color="auto" w:fill="F4F2FA"/>
          </w:tcPr>
          <w:p>
            <w:pPr>
              <w:spacing w:after="20" w:before="20" w:line="264" w:lineRule="auto"/>
            </w:pPr>
            <w:r>
              <w:rPr>
                <w:rFonts w:ascii="Consolas" w:hAnsi="Consolas"/>
                <w:color w:val="381A89"/>
                <w:sz w:val="17"/>
              </w:rPr>
              <w:t>IMG_EXIF_STRIPPED</w:t>
            </w:r>
          </w:p>
        </w:tc>
        <w:tc>
          <w:tcPr>
            <w:tcW w:type="dxa" w:w="3742"/>
            <w:shd w:val="clear" w:color="auto" w:fill="F4F2FA"/>
          </w:tcPr>
          <w:p>
            <w:pPr>
              <w:spacing w:after="20" w:before="20" w:line="264" w:lineRule="auto"/>
            </w:pPr>
            <w:r>
              <w:rPr>
                <w:rFonts w:ascii="Arial" w:hAnsi="Arial"/>
                <w:sz w:val="19"/>
              </w:rPr>
              <w:t>No EXIF at all on a photographic format</w:t>
            </w:r>
          </w:p>
        </w:tc>
        <w:tc>
          <w:tcPr>
            <w:tcW w:type="dxa" w:w="2154"/>
            <w:shd w:val="clear" w:color="auto" w:fill="F4F2FA"/>
          </w:tcPr>
          <w:p>
            <w:pPr>
              <w:spacing w:after="20" w:before="20" w:line="264" w:lineRule="auto"/>
            </w:pPr>
            <w:r>
              <w:rPr>
                <w:rFonts w:ascii="Arial" w:hAnsi="Arial"/>
                <w:sz w:val="19"/>
              </w:rPr>
              <w:t>low / 0.45</w:t>
            </w:r>
          </w:p>
        </w:tc>
      </w:tr>
    </w:tbl>
    <w:p>
      <w:pPr>
        <w:spacing w:after="40"/>
      </w:pPr>
    </w:p>
    <w:p>
      <w:pPr>
        <w:pStyle w:val="Heading2"/>
      </w:pPr>
      <w:r>
        <w:t>A.3  Document forensics — pixel suite</w:t>
      </w:r>
    </w:p>
    <w:p>
      <w:pPr>
        <w:spacing w:after="160"/>
        <w:jc w:val="both"/>
      </w:pPr>
      <w:r>
        <w:t xml:space="preserve">Detector </w:t>
      </w:r>
      <w:r>
        <w:rPr>
          <w:rFonts w:ascii="Consolas" w:hAnsi="Consolas"/>
          <w:color w:val="381A89"/>
          <w:sz w:val="20"/>
        </w:rPr>
        <w:t>image-forensics-suite</w:t>
      </w:r>
      <w:r>
        <w:t xml:space="preserve"> v1.6.0. All metrics are computed over </w:t>
      </w:r>
      <w:r>
        <w:rPr>
          <w:b/>
        </w:rPr>
        <w:t>content blocks only</w:t>
      </w:r>
      <w:r>
        <w:t xml:space="preserve"> — blocks whose local standard deviation clears a floor — because a scanned document is mostly blank paper and including it makes every text block look like an outlier. Region significance is established by a sliding-window two-sample test against the remainder of the page, requiring both statistical strength and a minimum effect size.</w:t>
      </w:r>
    </w:p>
    <w:p>
      <w:pPr>
        <w:keepNext/>
        <w:spacing w:after="60" w:before="120"/>
      </w:pPr>
      <w:r>
        <w:rPr>
          <w:rFonts w:ascii="Arial" w:hAnsi="Arial"/>
          <w:b/>
          <w:color w:val="381A89"/>
          <w:sz w:val="18"/>
        </w:rPr>
        <w:t xml:space="preserve">Table 24. </w:t>
      </w:r>
      <w:r>
        <w:rPr>
          <w:rFonts w:ascii="Arial" w:hAnsi="Arial"/>
          <w:color w:val="55516B"/>
          <w:sz w:val="18"/>
        </w:rPr>
        <w:t>Pixel-suite findings and their gating thresholds.</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2494"/>
            <w:shd w:val="clear" w:color="auto" w:fill="2E1C6B"/>
          </w:tcPr>
          <w:p>
            <w:pPr>
              <w:spacing w:after="20" w:before="20" w:line="252" w:lineRule="auto"/>
            </w:pPr>
            <w:r>
              <w:rPr>
                <w:rFonts w:ascii="Arial" w:hAnsi="Arial"/>
                <w:b/>
                <w:color w:val="FFFFFF"/>
                <w:sz w:val="16"/>
              </w:rPr>
              <w:t>Code</w:t>
            </w:r>
          </w:p>
        </w:tc>
        <w:tc>
          <w:tcPr>
            <w:tcW w:type="dxa" w:w="2608"/>
            <w:shd w:val="clear" w:color="auto" w:fill="2E1C6B"/>
          </w:tcPr>
          <w:p>
            <w:pPr>
              <w:spacing w:after="20" w:before="20" w:line="252" w:lineRule="auto"/>
            </w:pPr>
            <w:r>
              <w:rPr>
                <w:rFonts w:ascii="Arial" w:hAnsi="Arial"/>
                <w:b/>
                <w:color w:val="FFFFFF"/>
                <w:sz w:val="16"/>
              </w:rPr>
              <w:t>Measured</w:t>
            </w:r>
          </w:p>
        </w:tc>
        <w:tc>
          <w:tcPr>
            <w:tcW w:type="dxa" w:w="2041"/>
            <w:shd w:val="clear" w:color="auto" w:fill="2E1C6B"/>
          </w:tcPr>
          <w:p>
            <w:pPr>
              <w:spacing w:after="20" w:before="20" w:line="252" w:lineRule="auto"/>
            </w:pPr>
            <w:r>
              <w:rPr>
                <w:rFonts w:ascii="Arial" w:hAnsi="Arial"/>
                <w:b/>
                <w:color w:val="FFFFFF"/>
                <w:sz w:val="16"/>
              </w:rPr>
              <w:t>Gate</w:t>
            </w:r>
          </w:p>
        </w:tc>
        <w:tc>
          <w:tcPr>
            <w:tcW w:type="dxa" w:w="1814"/>
            <w:shd w:val="clear" w:color="auto" w:fill="2E1C6B"/>
          </w:tcPr>
          <w:p>
            <w:pPr>
              <w:spacing w:after="20" w:before="20" w:line="252" w:lineRule="auto"/>
            </w:pPr>
            <w:r>
              <w:rPr>
                <w:rFonts w:ascii="Arial" w:hAnsi="Arial"/>
                <w:b/>
                <w:color w:val="FFFFFF"/>
                <w:sz w:val="16"/>
              </w:rPr>
              <w:t>Confidence</w:t>
            </w:r>
          </w:p>
        </w:tc>
      </w:tr>
      <w:tr>
        <w:trPr>
          <w:cantSplit/>
        </w:trPr>
        <w:tc>
          <w:tcPr>
            <w:tcW w:type="dxa" w:w="2494"/>
          </w:tcPr>
          <w:p>
            <w:pPr>
              <w:spacing w:after="20" w:before="20" w:line="264" w:lineRule="auto"/>
            </w:pPr>
            <w:r>
              <w:rPr>
                <w:rFonts w:ascii="Consolas" w:hAnsi="Consolas"/>
                <w:color w:val="381A89"/>
                <w:sz w:val="15"/>
              </w:rPr>
              <w:t>IMG_ELA_LOCAL_ANOMALY</w:t>
            </w:r>
          </w:p>
        </w:tc>
        <w:tc>
          <w:tcPr>
            <w:tcW w:type="dxa" w:w="2608"/>
          </w:tcPr>
          <w:p>
            <w:pPr>
              <w:spacing w:after="20" w:before="20" w:line="264" w:lineRule="auto"/>
            </w:pPr>
            <w:r>
              <w:rPr>
                <w:rFonts w:ascii="Arial" w:hAnsi="Arial"/>
                <w:sz w:val="17"/>
              </w:rPr>
              <w:t>Region whose response to controlled re-compression differs from the rest of the page, in either direction</w:t>
            </w:r>
          </w:p>
        </w:tc>
        <w:tc>
          <w:tcPr>
            <w:tcW w:type="dxa" w:w="2041"/>
          </w:tcPr>
          <w:p>
            <w:pPr>
              <w:spacing w:after="20" w:before="20" w:line="264" w:lineRule="auto"/>
            </w:pPr>
            <w:r>
              <w:rPr>
                <w:rFonts w:ascii="Arial" w:hAnsi="Arial"/>
                <w:sz w:val="17"/>
              </w:rPr>
              <w:t>z ≥ 7.0, effect ≥ 0.40; top 3 regions</w:t>
            </w:r>
          </w:p>
        </w:tc>
        <w:tc>
          <w:tcPr>
            <w:tcW w:type="dxa" w:w="1814"/>
          </w:tcPr>
          <w:p>
            <w:pPr>
              <w:spacing w:after="20" w:before="20" w:line="264" w:lineRule="auto"/>
            </w:pPr>
            <w:r>
              <w:rPr>
                <w:rFonts w:ascii="Arial" w:hAnsi="Arial"/>
                <w:sz w:val="17"/>
              </w:rPr>
              <w:t>0.42–0.90, damped ×0.8 on a lossless render</w:t>
            </w:r>
          </w:p>
        </w:tc>
      </w:tr>
      <w:tr>
        <w:trPr>
          <w:cantSplit/>
        </w:trPr>
        <w:tc>
          <w:tcPr>
            <w:tcW w:type="dxa" w:w="2494"/>
            <w:shd w:val="clear" w:color="auto" w:fill="F4F2FA"/>
          </w:tcPr>
          <w:p>
            <w:pPr>
              <w:spacing w:after="20" w:before="20" w:line="264" w:lineRule="auto"/>
            </w:pPr>
            <w:r>
              <w:rPr>
                <w:rFonts w:ascii="Consolas" w:hAnsi="Consolas"/>
                <w:color w:val="381A89"/>
                <w:sz w:val="15"/>
              </w:rPr>
              <w:t>IMG_NOISE_INCONSISTENCY</w:t>
            </w:r>
          </w:p>
        </w:tc>
        <w:tc>
          <w:tcPr>
            <w:tcW w:type="dxa" w:w="2608"/>
            <w:shd w:val="clear" w:color="auto" w:fill="F4F2FA"/>
          </w:tcPr>
          <w:p>
            <w:pPr>
              <w:spacing w:after="20" w:before="20" w:line="264" w:lineRule="auto"/>
            </w:pPr>
            <w:r>
              <w:rPr>
                <w:rFonts w:ascii="Arial" w:hAnsi="Arial"/>
                <w:sz w:val="17"/>
              </w:rPr>
              <w:t>Local noise floor from a median-filtered residual differing from the page</w:t>
            </w:r>
          </w:p>
        </w:tc>
        <w:tc>
          <w:tcPr>
            <w:tcW w:type="dxa" w:w="2041"/>
            <w:shd w:val="clear" w:color="auto" w:fill="F4F2FA"/>
          </w:tcPr>
          <w:p>
            <w:pPr>
              <w:spacing w:after="20" w:before="20" w:line="264" w:lineRule="auto"/>
            </w:pPr>
            <w:r>
              <w:rPr>
                <w:rFonts w:ascii="Arial" w:hAnsi="Arial"/>
                <w:sz w:val="17"/>
              </w:rPr>
              <w:t>z ≥ 9.5, effect ≥ 0.60; top 2</w:t>
            </w:r>
          </w:p>
        </w:tc>
        <w:tc>
          <w:tcPr>
            <w:tcW w:type="dxa" w:w="1814"/>
            <w:shd w:val="clear" w:color="auto" w:fill="F4F2FA"/>
          </w:tcPr>
          <w:p>
            <w:pPr>
              <w:spacing w:after="20" w:before="20" w:line="264" w:lineRule="auto"/>
            </w:pPr>
            <w:r>
              <w:rPr>
                <w:rFonts w:ascii="Arial" w:hAnsi="Arial"/>
                <w:sz w:val="17"/>
              </w:rPr>
              <w:t>0.40–0.82, ceiling medium</w:t>
            </w:r>
          </w:p>
        </w:tc>
      </w:tr>
      <w:tr>
        <w:trPr>
          <w:cantSplit/>
        </w:trPr>
        <w:tc>
          <w:tcPr>
            <w:tcW w:type="dxa" w:w="2494"/>
          </w:tcPr>
          <w:p>
            <w:pPr>
              <w:spacing w:after="20" w:before="20" w:line="264" w:lineRule="auto"/>
            </w:pPr>
            <w:r>
              <w:rPr>
                <w:rFonts w:ascii="Consolas" w:hAnsi="Consolas"/>
                <w:color w:val="381A89"/>
                <w:sz w:val="15"/>
              </w:rPr>
              <w:t>IMG_COPY_MOVE_REGION</w:t>
            </w:r>
          </w:p>
        </w:tc>
        <w:tc>
          <w:tcPr>
            <w:tcW w:type="dxa" w:w="2608"/>
          </w:tcPr>
          <w:p>
            <w:pPr>
              <w:spacing w:after="20" w:before="20" w:line="264" w:lineRule="auto"/>
            </w:pPr>
            <w:r>
              <w:rPr>
                <w:rFonts w:ascii="Arial" w:hAnsi="Arial"/>
                <w:sz w:val="17"/>
              </w:rPr>
              <w:t>ORB self-matching with offsets clustered at 8 px</w:t>
            </w:r>
          </w:p>
        </w:tc>
        <w:tc>
          <w:tcPr>
            <w:tcW w:type="dxa" w:w="2041"/>
          </w:tcPr>
          <w:p>
            <w:pPr>
              <w:spacing w:after="20" w:before="20" w:line="264" w:lineRule="auto"/>
            </w:pPr>
            <w:r>
              <w:rPr>
                <w:rFonts w:ascii="Arial" w:hAnsi="Arial"/>
                <w:sz w:val="17"/>
              </w:rPr>
              <w:t>≥ 22 matches sharing one displacement, ≥ 0.6 % of page area; top 2</w:t>
            </w:r>
          </w:p>
        </w:tc>
        <w:tc>
          <w:tcPr>
            <w:tcW w:type="dxa" w:w="1814"/>
          </w:tcPr>
          <w:p>
            <w:pPr>
              <w:spacing w:after="20" w:before="20" w:line="264" w:lineRule="auto"/>
            </w:pPr>
            <w:r>
              <w:rPr>
                <w:rFonts w:ascii="Arial" w:hAnsi="Arial"/>
                <w:sz w:val="17"/>
              </w:rPr>
              <w:t>0.48–0.88</w:t>
            </w:r>
          </w:p>
        </w:tc>
      </w:tr>
      <w:tr>
        <w:trPr>
          <w:cantSplit/>
        </w:trPr>
        <w:tc>
          <w:tcPr>
            <w:tcW w:type="dxa" w:w="2494"/>
            <w:shd w:val="clear" w:color="auto" w:fill="F4F2FA"/>
          </w:tcPr>
          <w:p>
            <w:pPr>
              <w:spacing w:after="20" w:before="20" w:line="264" w:lineRule="auto"/>
            </w:pPr>
            <w:r>
              <w:rPr>
                <w:rFonts w:ascii="Consolas" w:hAnsi="Consolas"/>
                <w:color w:val="381A89"/>
                <w:sz w:val="15"/>
              </w:rPr>
              <w:t>IMG_COMPRESSION_INCONSISTENCY</w:t>
            </w:r>
          </w:p>
        </w:tc>
        <w:tc>
          <w:tcPr>
            <w:tcW w:type="dxa" w:w="2608"/>
            <w:shd w:val="clear" w:color="auto" w:fill="F4F2FA"/>
          </w:tcPr>
          <w:p>
            <w:pPr>
              <w:spacing w:after="20" w:before="20" w:line="264" w:lineRule="auto"/>
            </w:pPr>
            <w:r>
              <w:rPr>
                <w:rFonts w:ascii="Arial" w:hAnsi="Arial"/>
                <w:sz w:val="17"/>
              </w:rPr>
              <w:t>JPEG-ghost quality map: a region whose last compression quality differs from the page</w:t>
            </w:r>
          </w:p>
        </w:tc>
        <w:tc>
          <w:tcPr>
            <w:tcW w:type="dxa" w:w="2041"/>
            <w:shd w:val="clear" w:color="auto" w:fill="F4F2FA"/>
          </w:tcPr>
          <w:p>
            <w:pPr>
              <w:spacing w:after="20" w:before="20" w:line="264" w:lineRule="auto"/>
            </w:pPr>
            <w:r>
              <w:rPr>
                <w:rFonts w:ascii="Arial" w:hAnsi="Arial"/>
                <w:sz w:val="17"/>
              </w:rPr>
              <w:t>z ≥ 7.0, effect ≥ 0.45; JPEG sources only; top 2</w:t>
            </w:r>
          </w:p>
        </w:tc>
        <w:tc>
          <w:tcPr>
            <w:tcW w:type="dxa" w:w="1814"/>
            <w:shd w:val="clear" w:color="auto" w:fill="F4F2FA"/>
          </w:tcPr>
          <w:p>
            <w:pPr>
              <w:spacing w:after="20" w:before="20" w:line="264" w:lineRule="auto"/>
            </w:pPr>
            <w:r>
              <w:rPr>
                <w:rFonts w:ascii="Arial" w:hAnsi="Arial"/>
                <w:sz w:val="17"/>
              </w:rPr>
              <w:t>0.50–0.90</w:t>
            </w:r>
          </w:p>
        </w:tc>
      </w:tr>
      <w:tr>
        <w:trPr>
          <w:cantSplit/>
        </w:trPr>
        <w:tc>
          <w:tcPr>
            <w:tcW w:type="dxa" w:w="2494"/>
          </w:tcPr>
          <w:p>
            <w:pPr>
              <w:spacing w:after="20" w:before="20" w:line="264" w:lineRule="auto"/>
            </w:pPr>
            <w:r>
              <w:rPr>
                <w:rFonts w:ascii="Consolas" w:hAnsi="Consolas"/>
                <w:color w:val="381A89"/>
                <w:sz w:val="15"/>
              </w:rPr>
              <w:t>IMG_LOCAL_BLOCKINESS_ANOMALY</w:t>
            </w:r>
          </w:p>
        </w:tc>
        <w:tc>
          <w:tcPr>
            <w:tcW w:type="dxa" w:w="2608"/>
          </w:tcPr>
          <w:p>
            <w:pPr>
              <w:spacing w:after="20" w:before="20" w:line="264" w:lineRule="auto"/>
            </w:pPr>
            <w:r>
              <w:rPr>
                <w:rFonts w:ascii="Arial" w:hAnsi="Arial"/>
                <w:sz w:val="17"/>
              </w:rPr>
              <w:t>Gradient energy on and off the 8 px JPEG lattice</w:t>
            </w:r>
          </w:p>
        </w:tc>
        <w:tc>
          <w:tcPr>
            <w:tcW w:type="dxa" w:w="2041"/>
          </w:tcPr>
          <w:p>
            <w:pPr>
              <w:spacing w:after="20" w:before="20" w:line="264" w:lineRule="auto"/>
            </w:pPr>
            <w:r>
              <w:rPr>
                <w:rFonts w:ascii="Arial" w:hAnsi="Arial"/>
                <w:sz w:val="17"/>
              </w:rPr>
              <w:t xml:space="preserve">robust z ≥ 4.0; </w:t>
            </w:r>
            <w:r>
              <w:rPr>
                <w:rFonts w:ascii="Arial" w:hAnsi="Arial"/>
                <w:b/>
                <w:sz w:val="17"/>
              </w:rPr>
              <w:t>suppressed when text dominance ≥ 0.35</w:t>
            </w:r>
          </w:p>
        </w:tc>
        <w:tc>
          <w:tcPr>
            <w:tcW w:type="dxa" w:w="1814"/>
          </w:tcPr>
          <w:p>
            <w:pPr>
              <w:spacing w:after="20" w:before="20" w:line="264" w:lineRule="auto"/>
            </w:pPr>
            <w:r>
              <w:rPr>
                <w:rFonts w:ascii="Arial" w:hAnsi="Arial"/>
                <w:sz w:val="17"/>
              </w:rPr>
              <w:t>0.50–0.86</w:t>
            </w:r>
          </w:p>
        </w:tc>
      </w:tr>
      <w:tr>
        <w:trPr>
          <w:cantSplit/>
        </w:trPr>
        <w:tc>
          <w:tcPr>
            <w:tcW w:type="dxa" w:w="2494"/>
            <w:shd w:val="clear" w:color="auto" w:fill="F4F2FA"/>
          </w:tcPr>
          <w:p>
            <w:pPr>
              <w:spacing w:after="20" w:before="20" w:line="264" w:lineRule="auto"/>
            </w:pPr>
            <w:r>
              <w:rPr>
                <w:rFonts w:ascii="Consolas" w:hAnsi="Consolas"/>
                <w:color w:val="381A89"/>
                <w:sz w:val="15"/>
              </w:rPr>
              <w:t>IMG_RESAMPLING_ARTIFACTS</w:t>
            </w:r>
          </w:p>
        </w:tc>
        <w:tc>
          <w:tcPr>
            <w:tcW w:type="dxa" w:w="2608"/>
            <w:shd w:val="clear" w:color="auto" w:fill="F4F2FA"/>
          </w:tcPr>
          <w:p>
            <w:pPr>
              <w:spacing w:after="20" w:before="20" w:line="264" w:lineRule="auto"/>
            </w:pPr>
            <w:r>
              <w:rPr>
                <w:rFonts w:ascii="Arial" w:hAnsi="Arial"/>
                <w:sz w:val="17"/>
              </w:rPr>
              <w:t>Periodic peak in the second-derivative spectrum per axis</w:t>
            </w:r>
          </w:p>
        </w:tc>
        <w:tc>
          <w:tcPr>
            <w:tcW w:type="dxa" w:w="2041"/>
            <w:shd w:val="clear" w:color="auto" w:fill="F4F2FA"/>
          </w:tcPr>
          <w:p>
            <w:pPr>
              <w:spacing w:after="20" w:before="20" w:line="264" w:lineRule="auto"/>
            </w:pPr>
            <w:r>
              <w:rPr>
                <w:rFonts w:ascii="Arial" w:hAnsi="Arial"/>
                <w:sz w:val="17"/>
              </w:rPr>
              <w:t xml:space="preserve">peak ratio ≥ 20.0; </w:t>
            </w:r>
            <w:r>
              <w:rPr>
                <w:rFonts w:ascii="Arial" w:hAnsi="Arial"/>
                <w:b/>
                <w:sz w:val="17"/>
              </w:rPr>
              <w:t>suppressed when text dominance ≥ 0.35</w:t>
            </w:r>
          </w:p>
        </w:tc>
        <w:tc>
          <w:tcPr>
            <w:tcW w:type="dxa" w:w="1814"/>
            <w:shd w:val="clear" w:color="auto" w:fill="F4F2FA"/>
          </w:tcPr>
          <w:p>
            <w:pPr>
              <w:spacing w:after="20" w:before="20" w:line="264" w:lineRule="auto"/>
            </w:pPr>
            <w:r>
              <w:rPr>
                <w:rFonts w:ascii="Arial" w:hAnsi="Arial"/>
                <w:sz w:val="17"/>
              </w:rPr>
              <w:t>0.40–0.72, ceiling medium</w:t>
            </w:r>
          </w:p>
        </w:tc>
      </w:tr>
      <w:tr>
        <w:trPr>
          <w:cantSplit/>
        </w:trPr>
        <w:tc>
          <w:tcPr>
            <w:tcW w:type="dxa" w:w="2494"/>
          </w:tcPr>
          <w:p>
            <w:pPr>
              <w:spacing w:after="20" w:before="20" w:line="264" w:lineRule="auto"/>
            </w:pPr>
            <w:r>
              <w:rPr>
                <w:rFonts w:ascii="Consolas" w:hAnsi="Consolas"/>
                <w:color w:val="381A89"/>
                <w:sz w:val="15"/>
              </w:rPr>
              <w:t>IMG_LOW_JPEG_QUALITY</w:t>
            </w:r>
          </w:p>
        </w:tc>
        <w:tc>
          <w:tcPr>
            <w:tcW w:type="dxa" w:w="2608"/>
          </w:tcPr>
          <w:p>
            <w:pPr>
              <w:spacing w:after="20" w:before="20" w:line="264" w:lineRule="auto"/>
            </w:pPr>
            <w:r>
              <w:rPr>
                <w:rFonts w:ascii="Arial" w:hAnsi="Arial"/>
                <w:sz w:val="17"/>
              </w:rPr>
              <w:t>Estimated JPEG quality below 62</w:t>
            </w:r>
          </w:p>
        </w:tc>
        <w:tc>
          <w:tcPr>
            <w:tcW w:type="dxa" w:w="2041"/>
          </w:tcPr>
          <w:p>
            <w:pPr>
              <w:spacing w:after="20" w:before="20" w:line="264" w:lineRule="auto"/>
            </w:pPr>
            <w:r>
              <w:rPr>
                <w:rFonts w:ascii="Arial" w:hAnsi="Arial"/>
                <w:sz w:val="17"/>
              </w:rPr>
              <w:t>—</w:t>
            </w:r>
          </w:p>
        </w:tc>
        <w:tc>
          <w:tcPr>
            <w:tcW w:type="dxa" w:w="1814"/>
          </w:tcPr>
          <w:p>
            <w:pPr>
              <w:spacing w:after="20" w:before="20" w:line="264" w:lineRule="auto"/>
            </w:pPr>
            <w:r>
              <w:rPr>
                <w:rFonts w:ascii="Arial" w:hAnsi="Arial"/>
                <w:sz w:val="17"/>
              </w:rPr>
              <w:t>low / 0.60 — flags that other detectors' coverage is degraded</w:t>
            </w:r>
          </w:p>
        </w:tc>
      </w:tr>
      <w:tr>
        <w:trPr>
          <w:cantSplit/>
        </w:trPr>
        <w:tc>
          <w:tcPr>
            <w:tcW w:type="dxa" w:w="2494"/>
            <w:shd w:val="clear" w:color="auto" w:fill="F4F2FA"/>
          </w:tcPr>
          <w:p>
            <w:pPr>
              <w:spacing w:after="20" w:before="20" w:line="264" w:lineRule="auto"/>
            </w:pPr>
            <w:r>
              <w:rPr>
                <w:rFonts w:ascii="Consolas" w:hAnsi="Consolas"/>
                <w:color w:val="381A89"/>
                <w:sz w:val="15"/>
              </w:rPr>
              <w:t>IMG_NONSTANDARD_QUANT_TABLE</w:t>
            </w:r>
          </w:p>
        </w:tc>
        <w:tc>
          <w:tcPr>
            <w:tcW w:type="dxa" w:w="2608"/>
            <w:shd w:val="clear" w:color="auto" w:fill="F4F2FA"/>
          </w:tcPr>
          <w:p>
            <w:pPr>
              <w:spacing w:after="20" w:before="20" w:line="264" w:lineRule="auto"/>
            </w:pPr>
            <w:r>
              <w:rPr>
                <w:rFonts w:ascii="Arial" w:hAnsi="Arial"/>
                <w:sz w:val="17"/>
              </w:rPr>
              <w:t>Luma quantisation table off the standard IJG scaling curve</w:t>
            </w:r>
          </w:p>
        </w:tc>
        <w:tc>
          <w:tcPr>
            <w:tcW w:type="dxa" w:w="2041"/>
            <w:shd w:val="clear" w:color="auto" w:fill="F4F2FA"/>
          </w:tcPr>
          <w:p>
            <w:pPr>
              <w:spacing w:after="20" w:before="20" w:line="264" w:lineRule="auto"/>
            </w:pPr>
            <w:r>
              <w:rPr>
                <w:rFonts w:ascii="Arial" w:hAnsi="Arial"/>
                <w:sz w:val="17"/>
              </w:rPr>
              <w:t>ratio σ ≥ 0.08</w:t>
            </w:r>
          </w:p>
        </w:tc>
        <w:tc>
          <w:tcPr>
            <w:tcW w:type="dxa" w:w="1814"/>
            <w:shd w:val="clear" w:color="auto" w:fill="F4F2FA"/>
          </w:tcPr>
          <w:p>
            <w:pPr>
              <w:spacing w:after="20" w:before="20" w:line="264" w:lineRule="auto"/>
            </w:pPr>
            <w:r>
              <w:rPr>
                <w:rFonts w:ascii="Arial" w:hAnsi="Arial"/>
                <w:sz w:val="17"/>
              </w:rPr>
              <w:t>low / 0.50</w:t>
            </w:r>
          </w:p>
        </w:tc>
      </w:tr>
    </w:tbl>
    <w:p>
      <w:pPr>
        <w:spacing w:after="40"/>
      </w:pPr>
    </w:p>
    <w:p>
      <w:pPr>
        <w:spacing w:after="160"/>
        <w:jc w:val="both"/>
      </w:pPr>
      <w:r>
        <w:t xml:space="preserve">Also measured and retained as context but never raised as signals: the JPEG lattice energy ratio and a per-block high-frequency sparsity measure, both flagged </w:t>
      </w:r>
      <w:r>
        <w:rPr>
          <w:rFonts w:ascii="Consolas" w:hAnsi="Consolas"/>
          <w:color w:val="381A89"/>
          <w:sz w:val="20"/>
        </w:rPr>
        <w:t>used_as_signal: false</w:t>
      </w:r>
      <w:r>
        <w:t xml:space="preserve"> with the reason recorded. Artefact produced: a colour-mapped error-level-analysis heatmap per analysed page, stored in the artifacts scope and selectable as a viewer layer.</w:t>
      </w:r>
    </w:p>
    <w:p>
      <w:pPr>
        <w:pStyle w:val="Heading2"/>
      </w:pPr>
      <w:r>
        <w:t>A.4  Document forensics — PDF structure</w:t>
      </w:r>
    </w:p>
    <w:p>
      <w:pPr>
        <w:keepNext/>
        <w:spacing w:after="60" w:before="120"/>
      </w:pPr>
      <w:r>
        <w:rPr>
          <w:rFonts w:ascii="Arial" w:hAnsi="Arial"/>
          <w:b/>
          <w:color w:val="381A89"/>
          <w:sz w:val="18"/>
        </w:rPr>
        <w:t xml:space="preserve">Table 25. </w:t>
      </w:r>
      <w:r>
        <w:rPr>
          <w:rFonts w:ascii="Arial" w:hAnsi="Arial"/>
          <w:color w:val="55516B"/>
          <w:sz w:val="18"/>
        </w:rPr>
        <w:t>PDF structural findings.</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2835"/>
            <w:shd w:val="clear" w:color="auto" w:fill="2E1C6B"/>
          </w:tcPr>
          <w:p>
            <w:pPr>
              <w:spacing w:after="20" w:before="20" w:line="252" w:lineRule="auto"/>
            </w:pPr>
            <w:r>
              <w:rPr>
                <w:rFonts w:ascii="Arial" w:hAnsi="Arial"/>
                <w:b/>
                <w:color w:val="FFFFFF"/>
                <w:sz w:val="17"/>
              </w:rPr>
              <w:t>Code</w:t>
            </w:r>
          </w:p>
        </w:tc>
        <w:tc>
          <w:tcPr>
            <w:tcW w:type="dxa" w:w="3628"/>
            <w:shd w:val="clear" w:color="auto" w:fill="2E1C6B"/>
          </w:tcPr>
          <w:p>
            <w:pPr>
              <w:spacing w:after="20" w:before="20" w:line="252" w:lineRule="auto"/>
            </w:pPr>
            <w:r>
              <w:rPr>
                <w:rFonts w:ascii="Arial" w:hAnsi="Arial"/>
                <w:b/>
                <w:color w:val="FFFFFF"/>
                <w:sz w:val="17"/>
              </w:rPr>
              <w:t>Measured</w:t>
            </w:r>
          </w:p>
        </w:tc>
        <w:tc>
          <w:tcPr>
            <w:tcW w:type="dxa" w:w="2494"/>
            <w:shd w:val="clear" w:color="auto" w:fill="2E1C6B"/>
          </w:tcPr>
          <w:p>
            <w:pPr>
              <w:spacing w:after="20" w:before="20" w:line="252" w:lineRule="auto"/>
            </w:pPr>
            <w:r>
              <w:rPr>
                <w:rFonts w:ascii="Arial" w:hAnsi="Arial"/>
                <w:b/>
                <w:color w:val="FFFFFF"/>
                <w:sz w:val="17"/>
              </w:rPr>
              <w:t>Severity / confidence</w:t>
            </w:r>
          </w:p>
        </w:tc>
      </w:tr>
      <w:tr>
        <w:trPr>
          <w:cantSplit/>
        </w:trPr>
        <w:tc>
          <w:tcPr>
            <w:tcW w:type="dxa" w:w="2835"/>
          </w:tcPr>
          <w:p>
            <w:pPr>
              <w:spacing w:after="20" w:before="20" w:line="264" w:lineRule="auto"/>
            </w:pPr>
            <w:r>
              <w:rPr>
                <w:rFonts w:ascii="Consolas" w:hAnsi="Consolas"/>
                <w:color w:val="381A89"/>
                <w:sz w:val="16"/>
              </w:rPr>
              <w:t>PDF_INCREMENTAL_UPDATE</w:t>
            </w:r>
          </w:p>
        </w:tc>
        <w:tc>
          <w:tcPr>
            <w:tcW w:type="dxa" w:w="3628"/>
          </w:tcPr>
          <w:p>
            <w:pPr>
              <w:spacing w:after="20" w:before="20" w:line="264" w:lineRule="auto"/>
            </w:pPr>
            <w:r>
              <w:rPr>
                <w:rFonts w:ascii="Arial" w:hAnsi="Arial"/>
                <w:sz w:val="18"/>
              </w:rPr>
              <w:t xml:space="preserve">Cross-reference generations: end-of-file and startxref counts, </w:t>
            </w:r>
            <w:r>
              <w:rPr>
                <w:rFonts w:ascii="Consolas" w:hAnsi="Consolas"/>
                <w:color w:val="381A89"/>
                <w:sz w:val="16"/>
              </w:rPr>
              <w:t>/Prev</w:t>
            </w:r>
            <w:r>
              <w:rPr>
                <w:rFonts w:ascii="Arial" w:hAnsi="Arial"/>
                <w:sz w:val="18"/>
              </w:rPr>
              <w:t xml:space="preserve"> references</w:t>
            </w:r>
          </w:p>
        </w:tc>
        <w:tc>
          <w:tcPr>
            <w:tcW w:type="dxa" w:w="2494"/>
          </w:tcPr>
          <w:p>
            <w:pPr>
              <w:spacing w:after="20" w:before="20" w:line="264" w:lineRule="auto"/>
            </w:pPr>
            <w:r>
              <w:rPr>
                <w:rFonts w:ascii="Arial" w:hAnsi="Arial"/>
                <w:sz w:val="18"/>
              </w:rPr>
              <w:t>medium if ≥2 increments else low / 0.55–0.90</w:t>
            </w:r>
          </w:p>
        </w:tc>
      </w:tr>
      <w:tr>
        <w:trPr>
          <w:cantSplit/>
        </w:trPr>
        <w:tc>
          <w:tcPr>
            <w:tcW w:type="dxa" w:w="2835"/>
            <w:shd w:val="clear" w:color="auto" w:fill="F4F2FA"/>
          </w:tcPr>
          <w:p>
            <w:pPr>
              <w:spacing w:after="20" w:before="20" w:line="264" w:lineRule="auto"/>
            </w:pPr>
            <w:r>
              <w:rPr>
                <w:rFonts w:ascii="Consolas" w:hAnsi="Consolas"/>
                <w:color w:val="381A89"/>
                <w:sz w:val="16"/>
              </w:rPr>
              <w:t>PDF_TRAILING_DATA</w:t>
            </w:r>
          </w:p>
        </w:tc>
        <w:tc>
          <w:tcPr>
            <w:tcW w:type="dxa" w:w="3628"/>
            <w:shd w:val="clear" w:color="auto" w:fill="F4F2FA"/>
          </w:tcPr>
          <w:p>
            <w:pPr>
              <w:spacing w:after="20" w:before="20" w:line="264" w:lineRule="auto"/>
            </w:pPr>
            <w:r>
              <w:rPr>
                <w:rFonts w:ascii="Arial" w:hAnsi="Arial"/>
                <w:sz w:val="18"/>
              </w:rPr>
              <w:t>More than 1 KiB of bytes after the final end-of-file marker</w:t>
            </w:r>
          </w:p>
        </w:tc>
        <w:tc>
          <w:tcPr>
            <w:tcW w:type="dxa" w:w="2494"/>
            <w:shd w:val="clear" w:color="auto" w:fill="F4F2FA"/>
          </w:tcPr>
          <w:p>
            <w:pPr>
              <w:spacing w:after="20" w:before="20" w:line="264" w:lineRule="auto"/>
            </w:pPr>
            <w:r>
              <w:rPr>
                <w:rFonts w:ascii="Arial" w:hAnsi="Arial"/>
                <w:sz w:val="18"/>
              </w:rPr>
              <w:t>medium / 0.60</w:t>
            </w:r>
          </w:p>
        </w:tc>
      </w:tr>
      <w:tr>
        <w:trPr>
          <w:cantSplit/>
        </w:trPr>
        <w:tc>
          <w:tcPr>
            <w:tcW w:type="dxa" w:w="2835"/>
          </w:tcPr>
          <w:p>
            <w:pPr>
              <w:spacing w:after="20" w:before="20" w:line="264" w:lineRule="auto"/>
            </w:pPr>
            <w:r>
              <w:rPr>
                <w:rFonts w:ascii="Consolas" w:hAnsi="Consolas"/>
                <w:color w:val="381A89"/>
                <w:sz w:val="16"/>
              </w:rPr>
              <w:t>PDF_TEXT_FONT_MIX_IN_LINE</w:t>
            </w:r>
          </w:p>
        </w:tc>
        <w:tc>
          <w:tcPr>
            <w:tcW w:type="dxa" w:w="3628"/>
          </w:tcPr>
          <w:p>
            <w:pPr>
              <w:spacing w:after="20" w:before="20" w:line="264" w:lineRule="auto"/>
            </w:pPr>
            <w:r>
              <w:rPr>
                <w:rFonts w:ascii="Arial" w:hAnsi="Arial"/>
                <w:b/>
                <w:sz w:val="18"/>
              </w:rPr>
              <w:t>Exact</w:t>
            </w:r>
            <w:r>
              <w:rPr>
                <w:rFonts w:ascii="Arial" w:hAnsi="Arial"/>
                <w:sz w:val="18"/>
              </w:rPr>
              <w:t>: characters on one baseline-clustered line drawn from different font resources</w:t>
            </w:r>
          </w:p>
        </w:tc>
        <w:tc>
          <w:tcPr>
            <w:tcW w:type="dxa" w:w="2494"/>
          </w:tcPr>
          <w:p>
            <w:pPr>
              <w:spacing w:after="20" w:before="20" w:line="264" w:lineRule="auto"/>
            </w:pPr>
            <w:r>
              <w:rPr>
                <w:rFonts w:ascii="Arial" w:hAnsi="Arial"/>
                <w:sz w:val="18"/>
              </w:rPr>
              <w:t>by confidence 0.50–0.92; highest source reliability in the correlation layer</w:t>
            </w:r>
          </w:p>
        </w:tc>
      </w:tr>
      <w:tr>
        <w:trPr>
          <w:cantSplit/>
        </w:trPr>
        <w:tc>
          <w:tcPr>
            <w:tcW w:type="dxa" w:w="2835"/>
            <w:shd w:val="clear" w:color="auto" w:fill="F4F2FA"/>
          </w:tcPr>
          <w:p>
            <w:pPr>
              <w:spacing w:after="20" w:before="20" w:line="264" w:lineRule="auto"/>
            </w:pPr>
            <w:r>
              <w:rPr>
                <w:rFonts w:ascii="Consolas" w:hAnsi="Consolas"/>
                <w:color w:val="381A89"/>
                <w:sz w:val="16"/>
              </w:rPr>
              <w:t>PDF_MIXED_FONT_EMBEDDING</w:t>
            </w:r>
          </w:p>
        </w:tc>
        <w:tc>
          <w:tcPr>
            <w:tcW w:type="dxa" w:w="3628"/>
            <w:shd w:val="clear" w:color="auto" w:fill="F4F2FA"/>
          </w:tcPr>
          <w:p>
            <w:pPr>
              <w:spacing w:after="20" w:before="20" w:line="264" w:lineRule="auto"/>
            </w:pPr>
            <w:r>
              <w:rPr>
                <w:rFonts w:ascii="Arial" w:hAnsi="Arial"/>
                <w:sz w:val="18"/>
              </w:rPr>
              <w:t>A page mixing embedded and non-embedded fonts</w:t>
            </w:r>
          </w:p>
        </w:tc>
        <w:tc>
          <w:tcPr>
            <w:tcW w:type="dxa" w:w="2494"/>
            <w:shd w:val="clear" w:color="auto" w:fill="F4F2FA"/>
          </w:tcPr>
          <w:p>
            <w:pPr>
              <w:spacing w:after="20" w:before="20" w:line="264" w:lineRule="auto"/>
            </w:pPr>
            <w:r>
              <w:rPr>
                <w:rFonts w:ascii="Arial" w:hAnsi="Arial"/>
                <w:sz w:val="18"/>
              </w:rPr>
              <w:t>medium / 0.62</w:t>
            </w:r>
          </w:p>
        </w:tc>
      </w:tr>
      <w:tr>
        <w:trPr>
          <w:cantSplit/>
        </w:trPr>
        <w:tc>
          <w:tcPr>
            <w:tcW w:type="dxa" w:w="2835"/>
          </w:tcPr>
          <w:p>
            <w:pPr>
              <w:spacing w:after="20" w:before="20" w:line="264" w:lineRule="auto"/>
            </w:pPr>
            <w:r>
              <w:rPr>
                <w:rFonts w:ascii="Consolas" w:hAnsi="Consolas"/>
                <w:color w:val="381A89"/>
                <w:sz w:val="16"/>
              </w:rPr>
              <w:t>PDF_FONT_DIVERSITY</w:t>
            </w:r>
          </w:p>
        </w:tc>
        <w:tc>
          <w:tcPr>
            <w:tcW w:type="dxa" w:w="3628"/>
          </w:tcPr>
          <w:p>
            <w:pPr>
              <w:spacing w:after="20" w:before="20" w:line="264" w:lineRule="auto"/>
            </w:pPr>
            <w:r>
              <w:rPr>
                <w:rFonts w:ascii="Arial" w:hAnsi="Arial"/>
                <w:sz w:val="18"/>
              </w:rPr>
              <w:t>Six or more distinct base fonts on one page</w:t>
            </w:r>
          </w:p>
        </w:tc>
        <w:tc>
          <w:tcPr>
            <w:tcW w:type="dxa" w:w="2494"/>
          </w:tcPr>
          <w:p>
            <w:pPr>
              <w:spacing w:after="20" w:before="20" w:line="264" w:lineRule="auto"/>
            </w:pPr>
            <w:r>
              <w:rPr>
                <w:rFonts w:ascii="Arial" w:hAnsi="Arial"/>
                <w:sz w:val="18"/>
              </w:rPr>
              <w:t>low / 0.40–0.70</w:t>
            </w:r>
          </w:p>
        </w:tc>
      </w:tr>
      <w:tr>
        <w:trPr>
          <w:cantSplit/>
        </w:trPr>
        <w:tc>
          <w:tcPr>
            <w:tcW w:type="dxa" w:w="2835"/>
            <w:shd w:val="clear" w:color="auto" w:fill="F4F2FA"/>
          </w:tcPr>
          <w:p>
            <w:pPr>
              <w:spacing w:after="20" w:before="20" w:line="264" w:lineRule="auto"/>
            </w:pPr>
            <w:r>
              <w:rPr>
                <w:rFonts w:ascii="Consolas" w:hAnsi="Consolas"/>
                <w:color w:val="381A89"/>
                <w:sz w:val="16"/>
              </w:rPr>
              <w:t>PDF_MIXED_IMAGE_COMPRESSION</w:t>
            </w:r>
          </w:p>
        </w:tc>
        <w:tc>
          <w:tcPr>
            <w:tcW w:type="dxa" w:w="3628"/>
            <w:shd w:val="clear" w:color="auto" w:fill="F4F2FA"/>
          </w:tcPr>
          <w:p>
            <w:pPr>
              <w:spacing w:after="20" w:before="20" w:line="264" w:lineRule="auto"/>
            </w:pPr>
            <w:r>
              <w:rPr>
                <w:rFonts w:ascii="Arial" w:hAnsi="Arial"/>
                <w:sz w:val="18"/>
              </w:rPr>
              <w:t>Two or more embedded images using different filter chains</w:t>
            </w:r>
          </w:p>
        </w:tc>
        <w:tc>
          <w:tcPr>
            <w:tcW w:type="dxa" w:w="2494"/>
            <w:shd w:val="clear" w:color="auto" w:fill="F4F2FA"/>
          </w:tcPr>
          <w:p>
            <w:pPr>
              <w:spacing w:after="20" w:before="20" w:line="264" w:lineRule="auto"/>
            </w:pPr>
            <w:r>
              <w:rPr>
                <w:rFonts w:ascii="Arial" w:hAnsi="Arial"/>
                <w:sz w:val="18"/>
              </w:rPr>
              <w:t>medium / 0.60</w:t>
            </w:r>
          </w:p>
        </w:tc>
      </w:tr>
      <w:tr>
        <w:trPr>
          <w:cantSplit/>
        </w:trPr>
        <w:tc>
          <w:tcPr>
            <w:tcW w:type="dxa" w:w="2835"/>
          </w:tcPr>
          <w:p>
            <w:pPr>
              <w:spacing w:after="20" w:before="20" w:line="264" w:lineRule="auto"/>
            </w:pPr>
            <w:r>
              <w:rPr>
                <w:rFonts w:ascii="Consolas" w:hAnsi="Consolas"/>
                <w:color w:val="381A89"/>
                <w:sz w:val="16"/>
              </w:rPr>
              <w:t>PDF_MASKED_IMAGE_OVERLAY</w:t>
            </w:r>
          </w:p>
        </w:tc>
        <w:tc>
          <w:tcPr>
            <w:tcW w:type="dxa" w:w="3628"/>
          </w:tcPr>
          <w:p>
            <w:pPr>
              <w:spacing w:after="20" w:before="20" w:line="264" w:lineRule="auto"/>
            </w:pPr>
            <w:r>
              <w:rPr>
                <w:rFonts w:ascii="Arial" w:hAnsi="Arial"/>
                <w:sz w:val="18"/>
              </w:rPr>
              <w:t>Small embedded images carrying a soft mask</w:t>
            </w:r>
          </w:p>
        </w:tc>
        <w:tc>
          <w:tcPr>
            <w:tcW w:type="dxa" w:w="2494"/>
          </w:tcPr>
          <w:p>
            <w:pPr>
              <w:spacing w:after="20" w:before="20" w:line="264" w:lineRule="auto"/>
            </w:pPr>
            <w:r>
              <w:rPr>
                <w:rFonts w:ascii="Arial" w:hAnsi="Arial"/>
                <w:sz w:val="18"/>
              </w:rPr>
              <w:t>medium / 0.58</w:t>
            </w:r>
          </w:p>
        </w:tc>
      </w:tr>
      <w:tr>
        <w:trPr>
          <w:cantSplit/>
        </w:trPr>
        <w:tc>
          <w:tcPr>
            <w:tcW w:type="dxa" w:w="2835"/>
            <w:shd w:val="clear" w:color="auto" w:fill="F4F2FA"/>
          </w:tcPr>
          <w:p>
            <w:pPr>
              <w:spacing w:after="20" w:before="20" w:line="264" w:lineRule="auto"/>
            </w:pPr>
            <w:r>
              <w:rPr>
                <w:rFonts w:ascii="Consolas" w:hAnsi="Consolas"/>
                <w:color w:val="381A89"/>
                <w:sz w:val="16"/>
              </w:rPr>
              <w:t>PDF_MIXED_BIT_DEPTH</w:t>
            </w:r>
          </w:p>
        </w:tc>
        <w:tc>
          <w:tcPr>
            <w:tcW w:type="dxa" w:w="3628"/>
            <w:shd w:val="clear" w:color="auto" w:fill="F4F2FA"/>
          </w:tcPr>
          <w:p>
            <w:pPr>
              <w:spacing w:after="20" w:before="20" w:line="264" w:lineRule="auto"/>
            </w:pPr>
            <w:r>
              <w:rPr>
                <w:rFonts w:ascii="Arial" w:hAnsi="Arial"/>
                <w:sz w:val="18"/>
              </w:rPr>
              <w:t>More than one distinct bits-per-component among embedded images</w:t>
            </w:r>
          </w:p>
        </w:tc>
        <w:tc>
          <w:tcPr>
            <w:tcW w:type="dxa" w:w="2494"/>
            <w:shd w:val="clear" w:color="auto" w:fill="F4F2FA"/>
          </w:tcPr>
          <w:p>
            <w:pPr>
              <w:spacing w:after="20" w:before="20" w:line="264" w:lineRule="auto"/>
            </w:pPr>
            <w:r>
              <w:rPr>
                <w:rFonts w:ascii="Arial" w:hAnsi="Arial"/>
                <w:sz w:val="18"/>
              </w:rPr>
              <w:t>low / 0.45</w:t>
            </w:r>
          </w:p>
        </w:tc>
      </w:tr>
      <w:tr>
        <w:trPr>
          <w:cantSplit/>
        </w:trPr>
        <w:tc>
          <w:tcPr>
            <w:tcW w:type="dxa" w:w="2835"/>
          </w:tcPr>
          <w:p>
            <w:pPr>
              <w:spacing w:after="20" w:before="20" w:line="264" w:lineRule="auto"/>
            </w:pPr>
            <w:r>
              <w:rPr>
                <w:rFonts w:ascii="Consolas" w:hAnsi="Consolas"/>
                <w:color w:val="381A89"/>
                <w:sz w:val="16"/>
              </w:rPr>
              <w:t>PDF_CONTENT_ANNOTATIONS</w:t>
            </w:r>
          </w:p>
        </w:tc>
        <w:tc>
          <w:tcPr>
            <w:tcW w:type="dxa" w:w="3628"/>
          </w:tcPr>
          <w:p>
            <w:pPr>
              <w:spacing w:after="20" w:before="20" w:line="264" w:lineRule="auto"/>
            </w:pPr>
            <w:r>
              <w:rPr>
                <w:rFonts w:ascii="Arial" w:hAnsi="Arial"/>
                <w:sz w:val="18"/>
              </w:rPr>
              <w:t>FreeText, square, highlight, stamp, ink or redaction annotations drawn over the page</w:t>
            </w:r>
          </w:p>
        </w:tc>
        <w:tc>
          <w:tcPr>
            <w:tcW w:type="dxa" w:w="2494"/>
          </w:tcPr>
          <w:p>
            <w:pPr>
              <w:spacing w:after="20" w:before="20" w:line="264" w:lineRule="auto"/>
            </w:pPr>
            <w:r>
              <w:rPr>
                <w:rFonts w:ascii="Arial" w:hAnsi="Arial"/>
                <w:sz w:val="18"/>
              </w:rPr>
              <w:t>medium for FreeText / redact / stamp else low / 0.72</w:t>
            </w:r>
          </w:p>
        </w:tc>
      </w:tr>
    </w:tbl>
    <w:p>
      <w:pPr>
        <w:spacing w:after="40"/>
      </w:pPr>
    </w:p>
    <w:p>
      <w:pPr>
        <w:pStyle w:val="Heading2"/>
      </w:pPr>
      <w:r>
        <w:t>A.5  Typography and layout</w:t>
      </w:r>
    </w:p>
    <w:p>
      <w:pPr>
        <w:spacing w:after="160"/>
        <w:jc w:val="both"/>
      </w:pPr>
      <w:r>
        <w:t xml:space="preserve">Detector </w:t>
      </w:r>
      <w:r>
        <w:rPr>
          <w:rFonts w:ascii="Consolas" w:hAnsi="Consolas"/>
          <w:color w:val="381A89"/>
          <w:sz w:val="20"/>
        </w:rPr>
        <w:t>typography-layout-forensics</w:t>
      </w:r>
      <w:r>
        <w:t xml:space="preserve"> v1.4.0. Per recognised line of at least three words; numeric tokens are ranked first and receive a small confidence premium; at most four findings per code per page. Each emits a suspect region for the correlation layer.</w:t>
      </w:r>
    </w:p>
    <w:p>
      <w:pPr>
        <w:keepNext/>
        <w:spacing w:after="60" w:before="120"/>
      </w:pPr>
      <w:r>
        <w:rPr>
          <w:rFonts w:ascii="Arial" w:hAnsi="Arial"/>
          <w:b/>
          <w:color w:val="381A89"/>
          <w:sz w:val="18"/>
        </w:rPr>
        <w:t xml:space="preserve">Table 26. </w:t>
      </w:r>
      <w:r>
        <w:rPr>
          <w:rFonts w:ascii="Arial" w:hAnsi="Arial"/>
          <w:color w:val="55516B"/>
          <w:sz w:val="18"/>
        </w:rPr>
        <w:t>Typography findings.</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2608"/>
            <w:shd w:val="clear" w:color="auto" w:fill="2E1C6B"/>
          </w:tcPr>
          <w:p>
            <w:pPr>
              <w:spacing w:after="20" w:before="20" w:line="252" w:lineRule="auto"/>
            </w:pPr>
            <w:r>
              <w:rPr>
                <w:rFonts w:ascii="Arial" w:hAnsi="Arial"/>
                <w:b/>
                <w:color w:val="FFFFFF"/>
                <w:sz w:val="18"/>
              </w:rPr>
              <w:t>Code</w:t>
            </w:r>
          </w:p>
        </w:tc>
        <w:tc>
          <w:tcPr>
            <w:tcW w:type="dxa" w:w="3515"/>
            <w:shd w:val="clear" w:color="auto" w:fill="2E1C6B"/>
          </w:tcPr>
          <w:p>
            <w:pPr>
              <w:spacing w:after="20" w:before="20" w:line="252" w:lineRule="auto"/>
            </w:pPr>
            <w:r>
              <w:rPr>
                <w:rFonts w:ascii="Arial" w:hAnsi="Arial"/>
                <w:b/>
                <w:color w:val="FFFFFF"/>
                <w:sz w:val="18"/>
              </w:rPr>
              <w:t>Measured</w:t>
            </w:r>
          </w:p>
        </w:tc>
        <w:tc>
          <w:tcPr>
            <w:tcW w:type="dxa" w:w="1928"/>
            <w:shd w:val="clear" w:color="auto" w:fill="2E1C6B"/>
          </w:tcPr>
          <w:p>
            <w:pPr>
              <w:spacing w:after="20" w:before="20" w:line="252" w:lineRule="auto"/>
            </w:pPr>
            <w:r>
              <w:rPr>
                <w:rFonts w:ascii="Arial" w:hAnsi="Arial"/>
                <w:b/>
                <w:color w:val="FFFFFF"/>
                <w:sz w:val="18"/>
              </w:rPr>
              <w:t>Threshold</w:t>
            </w:r>
          </w:p>
        </w:tc>
        <w:tc>
          <w:tcPr>
            <w:tcW w:type="dxa" w:w="907"/>
            <w:shd w:val="clear" w:color="auto" w:fill="2E1C6B"/>
          </w:tcPr>
          <w:p>
            <w:pPr>
              <w:spacing w:after="20" w:before="20" w:line="252" w:lineRule="auto"/>
            </w:pPr>
            <w:r>
              <w:rPr>
                <w:rFonts w:ascii="Arial" w:hAnsi="Arial"/>
                <w:b/>
                <w:color w:val="FFFFFF"/>
                <w:sz w:val="18"/>
              </w:rPr>
              <w:t>Ceiling</w:t>
            </w:r>
          </w:p>
        </w:tc>
      </w:tr>
      <w:tr>
        <w:trPr>
          <w:cantSplit/>
        </w:trPr>
        <w:tc>
          <w:tcPr>
            <w:tcW w:type="dxa" w:w="2608"/>
          </w:tcPr>
          <w:p>
            <w:pPr>
              <w:spacing w:after="20" w:before="20" w:line="264" w:lineRule="auto"/>
            </w:pPr>
            <w:r>
              <w:rPr>
                <w:rFonts w:ascii="Consolas" w:hAnsi="Consolas"/>
                <w:color w:val="381A89"/>
                <w:sz w:val="17"/>
              </w:rPr>
              <w:t>TXT_BASELINE_ANOMALY</w:t>
            </w:r>
          </w:p>
        </w:tc>
        <w:tc>
          <w:tcPr>
            <w:tcW w:type="dxa" w:w="3515"/>
          </w:tcPr>
          <w:p>
            <w:pPr>
              <w:spacing w:after="20" w:before="20" w:line="264" w:lineRule="auto"/>
            </w:pPr>
            <w:r>
              <w:rPr>
                <w:rFonts w:ascii="Arial" w:hAnsi="Arial"/>
                <w:sz w:val="19"/>
              </w:rPr>
              <w:t>Word baseline against the line median, normalised by glyph height</w:t>
            </w:r>
          </w:p>
        </w:tc>
        <w:tc>
          <w:tcPr>
            <w:tcW w:type="dxa" w:w="1928"/>
          </w:tcPr>
          <w:p>
            <w:pPr>
              <w:spacing w:after="20" w:before="20" w:line="264" w:lineRule="auto"/>
            </w:pPr>
            <w:r>
              <w:rPr>
                <w:rFonts w:ascii="Arial" w:hAnsi="Arial"/>
                <w:sz w:val="19"/>
              </w:rPr>
              <w:t>deviation &gt; 0.34, line ≥ 5 words</w:t>
            </w:r>
          </w:p>
        </w:tc>
        <w:tc>
          <w:tcPr>
            <w:tcW w:type="dxa" w:w="907"/>
          </w:tcPr>
          <w:p>
            <w:pPr>
              <w:spacing w:after="20" w:before="20" w:line="264" w:lineRule="auto"/>
            </w:pPr>
            <w:r>
              <w:rPr>
                <w:rFonts w:ascii="Arial" w:hAnsi="Arial"/>
                <w:sz w:val="19"/>
              </w:rPr>
              <w:t>medium</w:t>
            </w:r>
          </w:p>
        </w:tc>
      </w:tr>
      <w:tr>
        <w:trPr>
          <w:cantSplit/>
        </w:trPr>
        <w:tc>
          <w:tcPr>
            <w:tcW w:type="dxa" w:w="2608"/>
            <w:shd w:val="clear" w:color="auto" w:fill="F4F2FA"/>
          </w:tcPr>
          <w:p>
            <w:pPr>
              <w:spacing w:after="20" w:before="20" w:line="264" w:lineRule="auto"/>
            </w:pPr>
            <w:r>
              <w:rPr>
                <w:rFonts w:ascii="Consolas" w:hAnsi="Consolas"/>
                <w:color w:val="381A89"/>
                <w:sz w:val="17"/>
              </w:rPr>
              <w:t>TXT_GLYPH_SIZE_ANOMALY</w:t>
            </w:r>
          </w:p>
        </w:tc>
        <w:tc>
          <w:tcPr>
            <w:tcW w:type="dxa" w:w="3515"/>
            <w:shd w:val="clear" w:color="auto" w:fill="F4F2FA"/>
          </w:tcPr>
          <w:p>
            <w:pPr>
              <w:spacing w:after="20" w:before="20" w:line="264" w:lineRule="auto"/>
            </w:pPr>
            <w:r>
              <w:rPr>
                <w:rFonts w:ascii="Arial" w:hAnsi="Arial"/>
                <w:sz w:val="19"/>
              </w:rPr>
              <w:t>Word height against the line median</w:t>
            </w:r>
          </w:p>
        </w:tc>
        <w:tc>
          <w:tcPr>
            <w:tcW w:type="dxa" w:w="1928"/>
            <w:shd w:val="clear" w:color="auto" w:fill="F4F2FA"/>
          </w:tcPr>
          <w:p>
            <w:pPr>
              <w:spacing w:after="20" w:before="20" w:line="264" w:lineRule="auto"/>
            </w:pPr>
            <w:r>
              <w:rPr>
                <w:rFonts w:ascii="Arial" w:hAnsi="Arial"/>
                <w:sz w:val="19"/>
              </w:rPr>
              <w:t>ratio &gt; 1.42 or &lt; 0.66</w:t>
            </w:r>
          </w:p>
        </w:tc>
        <w:tc>
          <w:tcPr>
            <w:tcW w:type="dxa" w:w="907"/>
            <w:shd w:val="clear" w:color="auto" w:fill="F4F2FA"/>
          </w:tcPr>
          <w:p>
            <w:pPr>
              <w:spacing w:after="20" w:before="20" w:line="264" w:lineRule="auto"/>
            </w:pPr>
            <w:r>
              <w:rPr>
                <w:rFonts w:ascii="Arial" w:hAnsi="Arial"/>
                <w:sz w:val="19"/>
              </w:rPr>
              <w:t>medium</w:t>
            </w:r>
          </w:p>
        </w:tc>
      </w:tr>
      <w:tr>
        <w:trPr>
          <w:cantSplit/>
        </w:trPr>
        <w:tc>
          <w:tcPr>
            <w:tcW w:type="dxa" w:w="2608"/>
          </w:tcPr>
          <w:p>
            <w:pPr>
              <w:spacing w:after="20" w:before="20" w:line="264" w:lineRule="auto"/>
            </w:pPr>
            <w:r>
              <w:rPr>
                <w:rFonts w:ascii="Consolas" w:hAnsi="Consolas"/>
                <w:color w:val="381A89"/>
                <w:sz w:val="17"/>
              </w:rPr>
              <w:t>TXT_STROKE_WEIGHT_ANOMALY</w:t>
            </w:r>
          </w:p>
        </w:tc>
        <w:tc>
          <w:tcPr>
            <w:tcW w:type="dxa" w:w="3515"/>
          </w:tcPr>
          <w:p>
            <w:pPr>
              <w:spacing w:after="20" w:before="20" w:line="264" w:lineRule="auto"/>
            </w:pPr>
            <w:r>
              <w:rPr>
                <w:rFonts w:ascii="Arial" w:hAnsi="Arial"/>
                <w:sz w:val="19"/>
              </w:rPr>
              <w:t>Mean stroke half-width via Otsu threshold and a distance transform</w:t>
            </w:r>
          </w:p>
        </w:tc>
        <w:tc>
          <w:tcPr>
            <w:tcW w:type="dxa" w:w="1928"/>
          </w:tcPr>
          <w:p>
            <w:pPr>
              <w:spacing w:after="20" w:before="20" w:line="264" w:lineRule="auto"/>
            </w:pPr>
            <w:r>
              <w:rPr>
                <w:rFonts w:ascii="Arial" w:hAnsi="Arial"/>
                <w:sz w:val="19"/>
              </w:rPr>
              <w:t>relative deviation &gt; 0.42</w:t>
            </w:r>
          </w:p>
        </w:tc>
        <w:tc>
          <w:tcPr>
            <w:tcW w:type="dxa" w:w="907"/>
          </w:tcPr>
          <w:p>
            <w:pPr>
              <w:spacing w:after="20" w:before="20" w:line="264" w:lineRule="auto"/>
            </w:pPr>
            <w:r>
              <w:rPr>
                <w:rFonts w:ascii="Arial" w:hAnsi="Arial"/>
                <w:sz w:val="19"/>
              </w:rPr>
              <w:t>high</w:t>
            </w:r>
          </w:p>
        </w:tc>
      </w:tr>
      <w:tr>
        <w:trPr>
          <w:cantSplit/>
        </w:trPr>
        <w:tc>
          <w:tcPr>
            <w:tcW w:type="dxa" w:w="2608"/>
            <w:shd w:val="clear" w:color="auto" w:fill="F4F2FA"/>
          </w:tcPr>
          <w:p>
            <w:pPr>
              <w:spacing w:after="20" w:before="20" w:line="264" w:lineRule="auto"/>
            </w:pPr>
            <w:r>
              <w:rPr>
                <w:rFonts w:ascii="Consolas" w:hAnsi="Consolas"/>
                <w:color w:val="381A89"/>
                <w:sz w:val="17"/>
              </w:rPr>
              <w:t>TXT_LOW_CONFIDENCE_ISLAND</w:t>
            </w:r>
          </w:p>
        </w:tc>
        <w:tc>
          <w:tcPr>
            <w:tcW w:type="dxa" w:w="3515"/>
            <w:shd w:val="clear" w:color="auto" w:fill="F4F2FA"/>
          </w:tcPr>
          <w:p>
            <w:pPr>
              <w:spacing w:after="20" w:before="20" w:line="264" w:lineRule="auto"/>
            </w:pPr>
            <w:r>
              <w:rPr>
                <w:rFonts w:ascii="Arial" w:hAnsi="Arial"/>
                <w:sz w:val="19"/>
              </w:rPr>
              <w:t>A word recognised below 0.58 inside a line above 0.82</w:t>
            </w:r>
          </w:p>
        </w:tc>
        <w:tc>
          <w:tcPr>
            <w:tcW w:type="dxa" w:w="1928"/>
            <w:shd w:val="clear" w:color="auto" w:fill="F4F2FA"/>
          </w:tcPr>
          <w:p>
            <w:pPr>
              <w:spacing w:after="20" w:before="20" w:line="264" w:lineRule="auto"/>
            </w:pPr>
            <w:r>
              <w:rPr>
                <w:rFonts w:ascii="Arial" w:hAnsi="Arial"/>
                <w:sz w:val="19"/>
              </w:rPr>
              <w:t>as stated</w:t>
            </w:r>
          </w:p>
        </w:tc>
        <w:tc>
          <w:tcPr>
            <w:tcW w:type="dxa" w:w="907"/>
            <w:shd w:val="clear" w:color="auto" w:fill="F4F2FA"/>
          </w:tcPr>
          <w:p>
            <w:pPr>
              <w:spacing w:after="20" w:before="20" w:line="264" w:lineRule="auto"/>
            </w:pPr>
            <w:r>
              <w:rPr>
                <w:rFonts w:ascii="Arial" w:hAnsi="Arial"/>
                <w:sz w:val="19"/>
              </w:rPr>
              <w:t>medium</w:t>
            </w:r>
          </w:p>
        </w:tc>
      </w:tr>
    </w:tbl>
    <w:p>
      <w:pPr>
        <w:spacing w:after="40"/>
      </w:pPr>
    </w:p>
    <w:p>
      <w:pPr>
        <w:pStyle w:val="Heading2"/>
      </w:pPr>
      <w:r>
        <w:t>A.6  Tampering correlation</w:t>
      </w:r>
    </w:p>
    <w:p>
      <w:pPr>
        <w:spacing w:after="160"/>
        <w:jc w:val="both"/>
      </w:pPr>
      <w:r>
        <w:t xml:space="preserve">Detector </w:t>
      </w:r>
      <w:r>
        <w:rPr>
          <w:rFonts w:ascii="Consolas" w:hAnsi="Consolas"/>
          <w:color w:val="381A89"/>
          <w:sz w:val="20"/>
        </w:rPr>
        <w:t>tampering-correlation-engine</w:t>
      </w:r>
      <w:r>
        <w:t xml:space="preserve"> v1.5.0. A region is reported only when a high-reliability source fires or two independent sources overlap on the same area, and the combined confidence clears 0.45.</w:t>
      </w:r>
    </w:p>
    <w:tbl>
      <w:tblPr>
        <w:tblW w:type="auto" w:w="0"/>
        <w:jc w:val="center"/>
        <w:tblLook w:firstColumn="1" w:firstRow="1" w:lastColumn="0" w:lastRow="0" w:noHBand="0" w:noVBand="1" w:val="04A0"/>
      </w:tblPr>
      <w:tblGrid>
        <w:gridCol w:w="9185"/>
      </w:tblGrid>
      <w:tr>
        <w:tc>
          <w:tcPr>
            <w:tcW w:type="dxa" w:w="9184"/>
            <w:tcBorders>
              <w:left w:val="single" w:sz="18" w:space="0" w:color="2E1C6B"/>
            </w:tcBorders>
            <w:shd w:val="clear" w:color="auto" w:fill="F2F0F8"/>
          </w:tcPr>
          <w:p>
            <w:pPr>
              <w:spacing w:after="0" w:line="259" w:lineRule="auto"/>
            </w:pPr>
            <w:r/>
            <w:r>
              <w:rPr>
                <w:rFonts w:ascii="Consolas" w:hAnsi="Consolas"/>
                <w:color w:val="1A1726"/>
                <w:sz w:val="19"/>
              </w:rPr>
              <w:t>combined = clamp( 1 − Π ( 1 − confidence_i × reliability_i ), 0, 0.93 )</w:t>
            </w:r>
          </w:p>
        </w:tc>
      </w:tr>
    </w:tbl>
    <w:p>
      <w:pPr>
        <w:spacing w:after="80"/>
      </w:pPr>
    </w:p>
    <w:p>
      <w:pPr>
        <w:keepNext/>
        <w:spacing w:after="60" w:before="120"/>
      </w:pPr>
      <w:r>
        <w:rPr>
          <w:rFonts w:ascii="Arial" w:hAnsi="Arial"/>
          <w:b/>
          <w:color w:val="381A89"/>
          <w:sz w:val="18"/>
        </w:rPr>
        <w:t xml:space="preserve">Table 27. </w:t>
      </w:r>
      <w:r>
        <w:rPr>
          <w:rFonts w:ascii="Arial" w:hAnsi="Arial"/>
          <w:color w:val="55516B"/>
          <w:sz w:val="18"/>
        </w:rPr>
        <w:t>Source reliabilities used in the noisy-OR combination. The first three are high-reliability sources that may raise a region alone.</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2948"/>
            <w:shd w:val="clear" w:color="auto" w:fill="2E1C6B"/>
          </w:tcPr>
          <w:p>
            <w:pPr>
              <w:spacing w:after="20" w:before="20" w:line="252" w:lineRule="auto"/>
            </w:pPr>
            <w:r>
              <w:rPr>
                <w:rFonts w:ascii="Arial" w:hAnsi="Arial"/>
                <w:b/>
                <w:color w:val="FFFFFF"/>
                <w:sz w:val="18"/>
              </w:rPr>
              <w:t>Source</w:t>
            </w:r>
          </w:p>
        </w:tc>
        <w:tc>
          <w:tcPr>
            <w:tcW w:type="dxa" w:w="1474"/>
            <w:shd w:val="clear" w:color="auto" w:fill="2E1C6B"/>
          </w:tcPr>
          <w:p>
            <w:pPr>
              <w:spacing w:after="20" w:before="20" w:line="252" w:lineRule="auto"/>
            </w:pPr>
            <w:r>
              <w:rPr>
                <w:rFonts w:ascii="Arial" w:hAnsi="Arial"/>
                <w:b/>
                <w:color w:val="FFFFFF"/>
                <w:sz w:val="18"/>
              </w:rPr>
              <w:t>Reliability</w:t>
            </w:r>
          </w:p>
        </w:tc>
        <w:tc>
          <w:tcPr>
            <w:tcW w:type="dxa" w:w="2948"/>
            <w:shd w:val="clear" w:color="auto" w:fill="2E1C6B"/>
          </w:tcPr>
          <w:p>
            <w:pPr>
              <w:spacing w:after="20" w:before="20" w:line="252" w:lineRule="auto"/>
            </w:pPr>
            <w:r>
              <w:rPr>
                <w:rFonts w:ascii="Arial" w:hAnsi="Arial"/>
                <w:b/>
                <w:color w:val="FFFFFF"/>
                <w:sz w:val="18"/>
              </w:rPr>
              <w:t>Source</w:t>
            </w:r>
          </w:p>
        </w:tc>
        <w:tc>
          <w:tcPr>
            <w:tcW w:type="dxa" w:w="1587"/>
            <w:shd w:val="clear" w:color="auto" w:fill="2E1C6B"/>
          </w:tcPr>
          <w:p>
            <w:pPr>
              <w:spacing w:after="20" w:before="20" w:line="252" w:lineRule="auto"/>
            </w:pPr>
            <w:r>
              <w:rPr>
                <w:rFonts w:ascii="Arial" w:hAnsi="Arial"/>
                <w:b/>
                <w:color w:val="FFFFFF"/>
                <w:sz w:val="18"/>
              </w:rPr>
              <w:t>Reliability</w:t>
            </w:r>
          </w:p>
        </w:tc>
      </w:tr>
      <w:tr>
        <w:trPr>
          <w:cantSplit/>
        </w:trPr>
        <w:tc>
          <w:tcPr>
            <w:tcW w:type="dxa" w:w="2948"/>
          </w:tcPr>
          <w:p>
            <w:pPr>
              <w:spacing w:after="20" w:before="20" w:line="264" w:lineRule="auto"/>
            </w:pPr>
            <w:r>
              <w:rPr>
                <w:rFonts w:ascii="Arial" w:hAnsi="Arial"/>
                <w:sz w:val="19"/>
              </w:rPr>
              <w:t>Exact PDF font mix in a line</w:t>
            </w:r>
          </w:p>
        </w:tc>
        <w:tc>
          <w:tcPr>
            <w:tcW w:type="dxa" w:w="1474"/>
          </w:tcPr>
          <w:p>
            <w:pPr>
              <w:spacing w:after="20" w:before="20" w:line="264" w:lineRule="auto"/>
            </w:pPr>
            <w:r>
              <w:rPr>
                <w:rFonts w:ascii="Arial" w:hAnsi="Arial"/>
                <w:b/>
                <w:sz w:val="19"/>
              </w:rPr>
              <w:t>0.90</w:t>
            </w:r>
          </w:p>
        </w:tc>
        <w:tc>
          <w:tcPr>
            <w:tcW w:type="dxa" w:w="2948"/>
          </w:tcPr>
          <w:p>
            <w:pPr>
              <w:spacing w:after="20" w:before="20" w:line="264" w:lineRule="auto"/>
            </w:pPr>
            <w:r>
              <w:rPr>
                <w:rFonts w:ascii="Arial" w:hAnsi="Arial"/>
                <w:sz w:val="19"/>
              </w:rPr>
              <w:t>Embedded image mismatch</w:t>
            </w:r>
          </w:p>
        </w:tc>
        <w:tc>
          <w:tcPr>
            <w:tcW w:type="dxa" w:w="1587"/>
          </w:tcPr>
          <w:p>
            <w:pPr>
              <w:spacing w:after="20" w:before="20" w:line="264" w:lineRule="auto"/>
            </w:pPr>
            <w:r>
              <w:rPr>
                <w:rFonts w:ascii="Arial" w:hAnsi="Arial"/>
                <w:sz w:val="19"/>
              </w:rPr>
              <w:t>0.68</w:t>
            </w:r>
          </w:p>
        </w:tc>
      </w:tr>
      <w:tr>
        <w:trPr>
          <w:cantSplit/>
        </w:trPr>
        <w:tc>
          <w:tcPr>
            <w:tcW w:type="dxa" w:w="2948"/>
            <w:shd w:val="clear" w:color="auto" w:fill="F4F2FA"/>
          </w:tcPr>
          <w:p>
            <w:pPr>
              <w:spacing w:after="20" w:before="20" w:line="264" w:lineRule="auto"/>
            </w:pPr>
            <w:r>
              <w:rPr>
                <w:rFonts w:ascii="Arial" w:hAnsi="Arial"/>
                <w:sz w:val="19"/>
              </w:rPr>
              <w:t>Copy-move region</w:t>
            </w:r>
          </w:p>
        </w:tc>
        <w:tc>
          <w:tcPr>
            <w:tcW w:type="dxa" w:w="1474"/>
            <w:shd w:val="clear" w:color="auto" w:fill="F4F2FA"/>
          </w:tcPr>
          <w:p>
            <w:pPr>
              <w:spacing w:after="20" w:before="20" w:line="264" w:lineRule="auto"/>
            </w:pPr>
            <w:r>
              <w:rPr>
                <w:rFonts w:ascii="Arial" w:hAnsi="Arial"/>
                <w:b/>
                <w:sz w:val="19"/>
              </w:rPr>
              <w:t>0.85</w:t>
            </w:r>
          </w:p>
        </w:tc>
        <w:tc>
          <w:tcPr>
            <w:tcW w:type="dxa" w:w="2948"/>
            <w:shd w:val="clear" w:color="auto" w:fill="F4F2FA"/>
          </w:tcPr>
          <w:p>
            <w:pPr>
              <w:spacing w:after="20" w:before="20" w:line="264" w:lineRule="auto"/>
            </w:pPr>
            <w:r>
              <w:rPr>
                <w:rFonts w:ascii="Arial" w:hAnsi="Arial"/>
                <w:sz w:val="19"/>
              </w:rPr>
              <w:t>Stroke-weight anomaly</w:t>
            </w:r>
          </w:p>
        </w:tc>
        <w:tc>
          <w:tcPr>
            <w:tcW w:type="dxa" w:w="1587"/>
            <w:shd w:val="clear" w:color="auto" w:fill="F4F2FA"/>
          </w:tcPr>
          <w:p>
            <w:pPr>
              <w:spacing w:after="20" w:before="20" w:line="264" w:lineRule="auto"/>
            </w:pPr>
            <w:r>
              <w:rPr>
                <w:rFonts w:ascii="Arial" w:hAnsi="Arial"/>
                <w:sz w:val="19"/>
              </w:rPr>
              <w:t>0.66</w:t>
            </w:r>
          </w:p>
        </w:tc>
      </w:tr>
      <w:tr>
        <w:trPr>
          <w:cantSplit/>
        </w:trPr>
        <w:tc>
          <w:tcPr>
            <w:tcW w:type="dxa" w:w="2948"/>
          </w:tcPr>
          <w:p>
            <w:pPr>
              <w:spacing w:after="20" w:before="20" w:line="264" w:lineRule="auto"/>
            </w:pPr>
            <w:r>
              <w:rPr>
                <w:rFonts w:ascii="Arial" w:hAnsi="Arial"/>
                <w:sz w:val="19"/>
              </w:rPr>
              <w:t>PDF content annotation</w:t>
            </w:r>
          </w:p>
        </w:tc>
        <w:tc>
          <w:tcPr>
            <w:tcW w:type="dxa" w:w="1474"/>
          </w:tcPr>
          <w:p>
            <w:pPr>
              <w:spacing w:after="20" w:before="20" w:line="264" w:lineRule="auto"/>
            </w:pPr>
            <w:r>
              <w:rPr>
                <w:rFonts w:ascii="Arial" w:hAnsi="Arial"/>
                <w:b/>
                <w:sz w:val="19"/>
              </w:rPr>
              <w:t>0.75</w:t>
            </w:r>
          </w:p>
        </w:tc>
        <w:tc>
          <w:tcPr>
            <w:tcW w:type="dxa" w:w="2948"/>
          </w:tcPr>
          <w:p>
            <w:pPr>
              <w:spacing w:after="20" w:before="20" w:line="264" w:lineRule="auto"/>
            </w:pPr>
            <w:r>
              <w:rPr>
                <w:rFonts w:ascii="Arial" w:hAnsi="Arial"/>
                <w:sz w:val="19"/>
              </w:rPr>
              <w:t>Noise inconsistency</w:t>
            </w:r>
          </w:p>
        </w:tc>
        <w:tc>
          <w:tcPr>
            <w:tcW w:type="dxa" w:w="1587"/>
          </w:tcPr>
          <w:p>
            <w:pPr>
              <w:spacing w:after="20" w:before="20" w:line="264" w:lineRule="auto"/>
            </w:pPr>
            <w:r>
              <w:rPr>
                <w:rFonts w:ascii="Arial" w:hAnsi="Arial"/>
                <w:sz w:val="19"/>
              </w:rPr>
              <w:t>0.60</w:t>
            </w:r>
          </w:p>
        </w:tc>
      </w:tr>
      <w:tr>
        <w:trPr>
          <w:cantSplit/>
        </w:trPr>
        <w:tc>
          <w:tcPr>
            <w:tcW w:type="dxa" w:w="2948"/>
            <w:shd w:val="clear" w:color="auto" w:fill="F4F2FA"/>
          </w:tcPr>
          <w:p>
            <w:pPr>
              <w:spacing w:after="20" w:before="20" w:line="264" w:lineRule="auto"/>
            </w:pPr>
            <w:r>
              <w:rPr>
                <w:rFonts w:ascii="Arial" w:hAnsi="Arial"/>
                <w:sz w:val="19"/>
              </w:rPr>
              <w:t>Error-level analysis anomaly</w:t>
            </w:r>
          </w:p>
        </w:tc>
        <w:tc>
          <w:tcPr>
            <w:tcW w:type="dxa" w:w="1474"/>
            <w:shd w:val="clear" w:color="auto" w:fill="F4F2FA"/>
          </w:tcPr>
          <w:p>
            <w:pPr>
              <w:spacing w:after="20" w:before="20" w:line="264" w:lineRule="auto"/>
            </w:pPr>
            <w:r>
              <w:rPr>
                <w:rFonts w:ascii="Arial" w:hAnsi="Arial"/>
                <w:sz w:val="19"/>
              </w:rPr>
              <w:t>0.72</w:t>
            </w:r>
          </w:p>
        </w:tc>
        <w:tc>
          <w:tcPr>
            <w:tcW w:type="dxa" w:w="2948"/>
            <w:shd w:val="clear" w:color="auto" w:fill="F4F2FA"/>
          </w:tcPr>
          <w:p>
            <w:pPr>
              <w:spacing w:after="20" w:before="20" w:line="264" w:lineRule="auto"/>
            </w:pPr>
            <w:r>
              <w:rPr>
                <w:rFonts w:ascii="Arial" w:hAnsi="Arial"/>
                <w:sz w:val="19"/>
              </w:rPr>
              <w:t>Baseline anomaly</w:t>
            </w:r>
          </w:p>
        </w:tc>
        <w:tc>
          <w:tcPr>
            <w:tcW w:type="dxa" w:w="1587"/>
            <w:shd w:val="clear" w:color="auto" w:fill="F4F2FA"/>
          </w:tcPr>
          <w:p>
            <w:pPr>
              <w:spacing w:after="20" w:before="20" w:line="264" w:lineRule="auto"/>
            </w:pPr>
            <w:r>
              <w:rPr>
                <w:rFonts w:ascii="Arial" w:hAnsi="Arial"/>
                <w:sz w:val="19"/>
              </w:rPr>
              <w:t>0.58</w:t>
            </w:r>
          </w:p>
        </w:tc>
      </w:tr>
      <w:tr>
        <w:trPr>
          <w:cantSplit/>
        </w:trPr>
        <w:tc>
          <w:tcPr>
            <w:tcW w:type="dxa" w:w="2948"/>
          </w:tcPr>
          <w:p>
            <w:pPr>
              <w:spacing w:after="20" w:before="20" w:line="264" w:lineRule="auto"/>
            </w:pPr>
            <w:r>
              <w:rPr>
                <w:rFonts w:ascii="Arial" w:hAnsi="Arial"/>
                <w:sz w:val="19"/>
              </w:rPr>
              <w:t>Local compression quality</w:t>
            </w:r>
          </w:p>
        </w:tc>
        <w:tc>
          <w:tcPr>
            <w:tcW w:type="dxa" w:w="1474"/>
          </w:tcPr>
          <w:p>
            <w:pPr>
              <w:spacing w:after="20" w:before="20" w:line="264" w:lineRule="auto"/>
            </w:pPr>
            <w:r>
              <w:rPr>
                <w:rFonts w:ascii="Arial" w:hAnsi="Arial"/>
                <w:sz w:val="19"/>
              </w:rPr>
              <w:t>0.70</w:t>
            </w:r>
          </w:p>
        </w:tc>
        <w:tc>
          <w:tcPr>
            <w:tcW w:type="dxa" w:w="2948"/>
          </w:tcPr>
          <w:p>
            <w:pPr>
              <w:spacing w:after="20" w:before="20" w:line="264" w:lineRule="auto"/>
            </w:pPr>
            <w:r>
              <w:rPr>
                <w:rFonts w:ascii="Arial" w:hAnsi="Arial"/>
                <w:sz w:val="19"/>
              </w:rPr>
              <w:t>Glyph-size anomaly</w:t>
            </w:r>
          </w:p>
        </w:tc>
        <w:tc>
          <w:tcPr>
            <w:tcW w:type="dxa" w:w="1587"/>
          </w:tcPr>
          <w:p>
            <w:pPr>
              <w:spacing w:after="20" w:before="20" w:line="264" w:lineRule="auto"/>
            </w:pPr>
            <w:r>
              <w:rPr>
                <w:rFonts w:ascii="Arial" w:hAnsi="Arial"/>
                <w:sz w:val="19"/>
              </w:rPr>
              <w:t>0.54</w:t>
            </w:r>
          </w:p>
        </w:tc>
      </w:tr>
      <w:tr>
        <w:trPr>
          <w:cantSplit/>
        </w:trPr>
        <w:tc>
          <w:tcPr>
            <w:tcW w:type="dxa" w:w="2948"/>
            <w:shd w:val="clear" w:color="auto" w:fill="F4F2FA"/>
          </w:tcPr>
          <w:p>
            <w:pPr>
              <w:spacing w:after="20" w:before="20" w:line="264" w:lineRule="auto"/>
            </w:pPr>
          </w:p>
        </w:tc>
        <w:tc>
          <w:tcPr>
            <w:tcW w:type="dxa" w:w="1474"/>
            <w:shd w:val="clear" w:color="auto" w:fill="F4F2FA"/>
          </w:tcPr>
          <w:p>
            <w:pPr>
              <w:spacing w:after="20" w:before="20" w:line="264" w:lineRule="auto"/>
            </w:pPr>
          </w:p>
        </w:tc>
        <w:tc>
          <w:tcPr>
            <w:tcW w:type="dxa" w:w="2948"/>
            <w:shd w:val="clear" w:color="auto" w:fill="F4F2FA"/>
          </w:tcPr>
          <w:p>
            <w:pPr>
              <w:spacing w:after="20" w:before="20" w:line="264" w:lineRule="auto"/>
            </w:pPr>
            <w:r>
              <w:rPr>
                <w:rFonts w:ascii="Arial" w:hAnsi="Arial"/>
                <w:sz w:val="19"/>
              </w:rPr>
              <w:t>Low-confidence island</w:t>
            </w:r>
          </w:p>
        </w:tc>
        <w:tc>
          <w:tcPr>
            <w:tcW w:type="dxa" w:w="1587"/>
            <w:shd w:val="clear" w:color="auto" w:fill="F4F2FA"/>
          </w:tcPr>
          <w:p>
            <w:pPr>
              <w:spacing w:after="20" w:before="20" w:line="264" w:lineRule="auto"/>
            </w:pPr>
            <w:r>
              <w:rPr>
                <w:rFonts w:ascii="Arial" w:hAnsi="Arial"/>
                <w:sz w:val="19"/>
              </w:rPr>
              <w:t>0.48</w:t>
            </w:r>
          </w:p>
        </w:tc>
      </w:tr>
    </w:tbl>
    <w:p>
      <w:pPr>
        <w:spacing w:after="40"/>
      </w:pPr>
    </w:p>
    <w:p>
      <w:pPr>
        <w:spacing w:after="160"/>
        <w:jc w:val="both"/>
      </w:pPr>
      <w:r>
        <w:t xml:space="preserve">Thirteen tamper types are produced, named by intersecting the region with the extracted fields: </w:t>
      </w:r>
      <w:r>
        <w:rPr>
          <w:rFonts w:ascii="Consolas" w:hAnsi="Consolas"/>
          <w:color w:val="381A89"/>
          <w:sz w:val="20"/>
        </w:rPr>
        <w:t>TAMPER_EDITED_AMOUNT</w:t>
      </w:r>
      <w:r>
        <w:t xml:space="preserve">, </w:t>
      </w:r>
      <w:r>
        <w:rPr>
          <w:rFonts w:ascii="Consolas" w:hAnsi="Consolas"/>
          <w:color w:val="381A89"/>
          <w:sz w:val="20"/>
        </w:rPr>
        <w:t>TAMPER_MODIFIED_DATE</w:t>
      </w:r>
      <w:r>
        <w:t xml:space="preserve">, </w:t>
      </w:r>
      <w:r>
        <w:rPr>
          <w:rFonts w:ascii="Consolas" w:hAnsi="Consolas"/>
          <w:color w:val="381A89"/>
          <w:sz w:val="20"/>
        </w:rPr>
        <w:t>TAMPER_ALTERED_IDENTIFIER</w:t>
      </w:r>
      <w:r>
        <w:t xml:space="preserve">, </w:t>
      </w:r>
      <w:r>
        <w:rPr>
          <w:rFonts w:ascii="Consolas" w:hAnsi="Consolas"/>
          <w:color w:val="381A89"/>
          <w:sz w:val="20"/>
        </w:rPr>
        <w:t>TAMPER_REPLACED_NAME</w:t>
      </w:r>
      <w:r>
        <w:t xml:space="preserve">, </w:t>
      </w:r>
      <w:r>
        <w:rPr>
          <w:rFonts w:ascii="Consolas" w:hAnsi="Consolas"/>
          <w:color w:val="381A89"/>
          <w:sz w:val="20"/>
        </w:rPr>
        <w:t>TAMPER_REPLACED_TEXT</w:t>
      </w:r>
      <w:r>
        <w:t xml:space="preserve">, </w:t>
      </w:r>
      <w:r>
        <w:rPr>
          <w:rFonts w:ascii="Consolas" w:hAnsi="Consolas"/>
          <w:color w:val="381A89"/>
          <w:sz w:val="20"/>
        </w:rPr>
        <w:t>TAMPER_EDITED_VALUE</w:t>
      </w:r>
      <w:r>
        <w:t xml:space="preserve">, </w:t>
      </w:r>
      <w:r>
        <w:rPr>
          <w:rFonts w:ascii="Consolas" w:hAnsi="Consolas"/>
          <w:color w:val="381A89"/>
          <w:sz w:val="20"/>
        </w:rPr>
        <w:t>TAMPER_COPY_PASTE_REGION</w:t>
      </w:r>
      <w:r>
        <w:t xml:space="preserve">, </w:t>
      </w:r>
      <w:r>
        <w:rPr>
          <w:rFonts w:ascii="Consolas" w:hAnsi="Consolas"/>
          <w:color w:val="381A89"/>
          <w:sz w:val="20"/>
        </w:rPr>
        <w:t>TAMPER_OVERLAY_ANNOTATION</w:t>
      </w:r>
      <w:r>
        <w:t xml:space="preserve">, </w:t>
      </w:r>
      <w:r>
        <w:rPr>
          <w:rFonts w:ascii="Consolas" w:hAnsi="Consolas"/>
          <w:color w:val="381A89"/>
          <w:sz w:val="20"/>
        </w:rPr>
        <w:t>TAMPER_IMAGE_REPLACEMENT</w:t>
      </w:r>
      <w:r>
        <w:t xml:space="preserve">, </w:t>
      </w:r>
      <w:r>
        <w:rPr>
          <w:rFonts w:ascii="Consolas" w:hAnsi="Consolas"/>
          <w:color w:val="381A89"/>
          <w:sz w:val="20"/>
        </w:rPr>
        <w:t>TAMPER_ADDED_TEXT</w:t>
      </w:r>
      <w:r>
        <w:t xml:space="preserve">, </w:t>
      </w:r>
      <w:r>
        <w:rPr>
          <w:rFonts w:ascii="Consolas" w:hAnsi="Consolas"/>
          <w:color w:val="381A89"/>
          <w:sz w:val="20"/>
        </w:rPr>
        <w:t>TAMPER_FONT_SUBSTITUTION</w:t>
      </w:r>
      <w:r>
        <w:t xml:space="preserve">, </w:t>
      </w:r>
      <w:r>
        <w:rPr>
          <w:rFonts w:ascii="Consolas" w:hAnsi="Consolas"/>
          <w:color w:val="381A89"/>
          <w:sz w:val="20"/>
        </w:rPr>
        <w:t>TAMPER_SIGNATURE_OR_STAMP</w:t>
      </w:r>
      <w:r>
        <w:t xml:space="preserve">, and </w:t>
      </w:r>
      <w:r>
        <w:rPr>
          <w:rFonts w:ascii="Consolas" w:hAnsi="Consolas"/>
          <w:color w:val="381A89"/>
          <w:sz w:val="20"/>
        </w:rPr>
        <w:t>TAMPER_REGION_ANOMALY</w:t>
      </w:r>
      <w:r>
        <w:t xml:space="preserve"> where the region covers no extracted value.</w:t>
      </w:r>
    </w:p>
    <w:p>
      <w:pPr>
        <w:pStyle w:val="Heading2"/>
      </w:pPr>
      <w:r>
        <w:t>A.7  Synthetic-media indicators</w:t>
      </w:r>
    </w:p>
    <w:p>
      <w:pPr>
        <w:spacing w:after="160"/>
        <w:jc w:val="both"/>
      </w:pPr>
      <w:r>
        <w:t xml:space="preserve">Provider </w:t>
      </w:r>
      <w:r>
        <w:rPr>
          <w:rFonts w:ascii="Consolas" w:hAnsi="Consolas"/>
          <w:color w:val="381A89"/>
          <w:sz w:val="20"/>
        </w:rPr>
        <w:t>veridoc-demo-heuristic</w:t>
      </w:r>
      <w:r>
        <w:t xml:space="preserve"> v0.4.0, declared as a demonstration provider. Eight measured features with published weights summing to 1.0; the likelihood is their weighted sum capped at 0.97, damped ×0.82 when the source is a lossless page render.</w:t>
      </w:r>
    </w:p>
    <w:p>
      <w:pPr>
        <w:keepNext/>
        <w:spacing w:after="60" w:before="120"/>
      </w:pPr>
      <w:r>
        <w:rPr>
          <w:rFonts w:ascii="Arial" w:hAnsi="Arial"/>
          <w:b/>
          <w:color w:val="381A89"/>
          <w:sz w:val="18"/>
        </w:rPr>
        <w:t xml:space="preserve">Table 28. </w:t>
      </w:r>
      <w:r>
        <w:rPr>
          <w:rFonts w:ascii="Arial" w:hAnsi="Arial"/>
          <w:color w:val="55516B"/>
          <w:sz w:val="18"/>
        </w:rPr>
        <w:t>Synthetic-media indicators, their measurement and their published weights.</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2494"/>
            <w:shd w:val="clear" w:color="auto" w:fill="2E1C6B"/>
          </w:tcPr>
          <w:p>
            <w:pPr>
              <w:spacing w:after="20" w:before="20" w:line="252" w:lineRule="auto"/>
            </w:pPr>
            <w:r>
              <w:rPr>
                <w:rFonts w:ascii="Arial" w:hAnsi="Arial"/>
                <w:b/>
                <w:color w:val="FFFFFF"/>
                <w:sz w:val="18"/>
              </w:rPr>
              <w:t>Indicator</w:t>
            </w:r>
          </w:p>
        </w:tc>
        <w:tc>
          <w:tcPr>
            <w:tcW w:type="dxa" w:w="5329"/>
            <w:shd w:val="clear" w:color="auto" w:fill="2E1C6B"/>
          </w:tcPr>
          <w:p>
            <w:pPr>
              <w:spacing w:after="20" w:before="20" w:line="252" w:lineRule="auto"/>
            </w:pPr>
            <w:r>
              <w:rPr>
                <w:rFonts w:ascii="Arial" w:hAnsi="Arial"/>
                <w:b/>
                <w:color w:val="FFFFFF"/>
                <w:sz w:val="18"/>
              </w:rPr>
              <w:t>Measured quantity</w:t>
            </w:r>
          </w:p>
        </w:tc>
        <w:tc>
          <w:tcPr>
            <w:tcW w:type="dxa" w:w="1134"/>
            <w:shd w:val="clear" w:color="auto" w:fill="2E1C6B"/>
          </w:tcPr>
          <w:p>
            <w:pPr>
              <w:spacing w:after="20" w:before="20" w:line="252" w:lineRule="auto"/>
            </w:pPr>
            <w:r>
              <w:rPr>
                <w:rFonts w:ascii="Arial" w:hAnsi="Arial"/>
                <w:b/>
                <w:color w:val="FFFFFF"/>
                <w:sz w:val="18"/>
              </w:rPr>
              <w:t>Weight</w:t>
            </w:r>
          </w:p>
        </w:tc>
      </w:tr>
      <w:tr>
        <w:trPr>
          <w:cantSplit/>
        </w:trPr>
        <w:tc>
          <w:tcPr>
            <w:tcW w:type="dxa" w:w="2494"/>
          </w:tcPr>
          <w:p>
            <w:pPr>
              <w:spacing w:after="20" w:before="20" w:line="264" w:lineRule="auto"/>
            </w:pPr>
            <w:r>
              <w:rPr>
                <w:rFonts w:ascii="Arial" w:hAnsi="Arial"/>
                <w:sz w:val="19"/>
              </w:rPr>
              <w:t>Spectral roll-off</w:t>
            </w:r>
          </w:p>
        </w:tc>
        <w:tc>
          <w:tcPr>
            <w:tcW w:type="dxa" w:w="5329"/>
          </w:tcPr>
          <w:p>
            <w:pPr>
              <w:spacing w:after="20" w:before="20" w:line="264" w:lineRule="auto"/>
            </w:pPr>
            <w:r>
              <w:rPr>
                <w:rFonts w:ascii="Arial" w:hAnsi="Arial"/>
                <w:sz w:val="19"/>
              </w:rPr>
              <w:t>Share of Fourier energy beyond 0.62 of the maximum radius, inverted</w:t>
            </w:r>
          </w:p>
        </w:tc>
        <w:tc>
          <w:tcPr>
            <w:tcW w:type="dxa" w:w="1134"/>
          </w:tcPr>
          <w:p>
            <w:pPr>
              <w:spacing w:after="20" w:before="20" w:line="264" w:lineRule="auto"/>
            </w:pPr>
            <w:r>
              <w:rPr>
                <w:rFonts w:ascii="Arial" w:hAnsi="Arial"/>
                <w:sz w:val="19"/>
              </w:rPr>
              <w:t>0.19</w:t>
            </w:r>
          </w:p>
        </w:tc>
      </w:tr>
      <w:tr>
        <w:trPr>
          <w:cantSplit/>
        </w:trPr>
        <w:tc>
          <w:tcPr>
            <w:tcW w:type="dxa" w:w="2494"/>
            <w:shd w:val="clear" w:color="auto" w:fill="F4F2FA"/>
          </w:tcPr>
          <w:p>
            <w:pPr>
              <w:spacing w:after="20" w:before="20" w:line="264" w:lineRule="auto"/>
            </w:pPr>
            <w:r>
              <w:rPr>
                <w:rFonts w:ascii="Arial" w:hAnsi="Arial"/>
                <w:sz w:val="19"/>
              </w:rPr>
              <w:t>Noise flatness</w:t>
            </w:r>
          </w:p>
        </w:tc>
        <w:tc>
          <w:tcPr>
            <w:tcW w:type="dxa" w:w="5329"/>
            <w:shd w:val="clear" w:color="auto" w:fill="F4F2FA"/>
          </w:tcPr>
          <w:p>
            <w:pPr>
              <w:spacing w:after="20" w:before="20" w:line="264" w:lineRule="auto"/>
            </w:pPr>
            <w:r>
              <w:rPr>
                <w:rFonts w:ascii="Arial" w:hAnsi="Arial"/>
                <w:sz w:val="19"/>
              </w:rPr>
              <w:t>Coefficient of variation of block noise in a median-filter residual, inverted</w:t>
            </w:r>
          </w:p>
        </w:tc>
        <w:tc>
          <w:tcPr>
            <w:tcW w:type="dxa" w:w="1134"/>
            <w:shd w:val="clear" w:color="auto" w:fill="F4F2FA"/>
          </w:tcPr>
          <w:p>
            <w:pPr>
              <w:spacing w:after="20" w:before="20" w:line="264" w:lineRule="auto"/>
            </w:pPr>
            <w:r>
              <w:rPr>
                <w:rFonts w:ascii="Arial" w:hAnsi="Arial"/>
                <w:sz w:val="19"/>
              </w:rPr>
              <w:t>0.17</w:t>
            </w:r>
          </w:p>
        </w:tc>
      </w:tr>
      <w:tr>
        <w:trPr>
          <w:cantSplit/>
        </w:trPr>
        <w:tc>
          <w:tcPr>
            <w:tcW w:type="dxa" w:w="2494"/>
          </w:tcPr>
          <w:p>
            <w:pPr>
              <w:spacing w:after="20" w:before="20" w:line="264" w:lineRule="auto"/>
            </w:pPr>
            <w:r>
              <w:rPr>
                <w:rFonts w:ascii="Arial" w:hAnsi="Arial"/>
                <w:sz w:val="19"/>
              </w:rPr>
              <w:t>Provenance absent</w:t>
            </w:r>
          </w:p>
        </w:tc>
        <w:tc>
          <w:tcPr>
            <w:tcW w:type="dxa" w:w="5329"/>
          </w:tcPr>
          <w:p>
            <w:pPr>
              <w:spacing w:after="20" w:before="20" w:line="264" w:lineRule="auto"/>
            </w:pPr>
            <w:r>
              <w:rPr>
                <w:rFonts w:ascii="Arial" w:hAnsi="Arial"/>
                <w:sz w:val="19"/>
              </w:rPr>
              <w:t>Whether camera EXIF is present (0.25 for a lossless render)</w:t>
            </w:r>
          </w:p>
        </w:tc>
        <w:tc>
          <w:tcPr>
            <w:tcW w:type="dxa" w:w="1134"/>
          </w:tcPr>
          <w:p>
            <w:pPr>
              <w:spacing w:after="20" w:before="20" w:line="264" w:lineRule="auto"/>
            </w:pPr>
            <w:r>
              <w:rPr>
                <w:rFonts w:ascii="Arial" w:hAnsi="Arial"/>
                <w:sz w:val="19"/>
              </w:rPr>
              <w:t>0.13</w:t>
            </w:r>
          </w:p>
        </w:tc>
      </w:tr>
      <w:tr>
        <w:trPr>
          <w:cantSplit/>
        </w:trPr>
        <w:tc>
          <w:tcPr>
            <w:tcW w:type="dxa" w:w="2494"/>
            <w:shd w:val="clear" w:color="auto" w:fill="F4F2FA"/>
          </w:tcPr>
          <w:p>
            <w:pPr>
              <w:spacing w:after="20" w:before="20" w:line="264" w:lineRule="auto"/>
            </w:pPr>
            <w:r>
              <w:rPr>
                <w:rFonts w:ascii="Arial" w:hAnsi="Arial"/>
                <w:sz w:val="19"/>
              </w:rPr>
              <w:t>Channel coupling</w:t>
            </w:r>
          </w:p>
        </w:tc>
        <w:tc>
          <w:tcPr>
            <w:tcW w:type="dxa" w:w="5329"/>
            <w:shd w:val="clear" w:color="auto" w:fill="F4F2FA"/>
          </w:tcPr>
          <w:p>
            <w:pPr>
              <w:spacing w:after="20" w:before="20" w:line="264" w:lineRule="auto"/>
            </w:pPr>
            <w:r>
              <w:rPr>
                <w:rFonts w:ascii="Arial" w:hAnsi="Arial"/>
                <w:sz w:val="19"/>
              </w:rPr>
              <w:t>Mean absolute correlation of per-channel Laplacians</w:t>
            </w:r>
          </w:p>
        </w:tc>
        <w:tc>
          <w:tcPr>
            <w:tcW w:type="dxa" w:w="1134"/>
            <w:shd w:val="clear" w:color="auto" w:fill="F4F2FA"/>
          </w:tcPr>
          <w:p>
            <w:pPr>
              <w:spacing w:after="20" w:before="20" w:line="264" w:lineRule="auto"/>
            </w:pPr>
            <w:r>
              <w:rPr>
                <w:rFonts w:ascii="Arial" w:hAnsi="Arial"/>
                <w:sz w:val="19"/>
              </w:rPr>
              <w:t>0.12</w:t>
            </w:r>
          </w:p>
        </w:tc>
      </w:tr>
      <w:tr>
        <w:trPr>
          <w:cantSplit/>
        </w:trPr>
        <w:tc>
          <w:tcPr>
            <w:tcW w:type="dxa" w:w="2494"/>
          </w:tcPr>
          <w:p>
            <w:pPr>
              <w:spacing w:after="20" w:before="20" w:line="264" w:lineRule="auto"/>
            </w:pPr>
            <w:r>
              <w:rPr>
                <w:rFonts w:ascii="Arial" w:hAnsi="Arial"/>
                <w:sz w:val="19"/>
              </w:rPr>
              <w:t>Text-render irregularity</w:t>
            </w:r>
          </w:p>
        </w:tc>
        <w:tc>
          <w:tcPr>
            <w:tcW w:type="dxa" w:w="5329"/>
          </w:tcPr>
          <w:p>
            <w:pPr>
              <w:spacing w:after="20" w:before="20" w:line="264" w:lineRule="auto"/>
            </w:pPr>
            <w:r>
              <w:rPr>
                <w:rFonts w:ascii="Arial" w:hAnsi="Arial"/>
                <w:sz w:val="19"/>
              </w:rPr>
              <w:t>Combined variation of recognition confidence and glyph height</w:t>
            </w:r>
          </w:p>
        </w:tc>
        <w:tc>
          <w:tcPr>
            <w:tcW w:type="dxa" w:w="1134"/>
          </w:tcPr>
          <w:p>
            <w:pPr>
              <w:spacing w:after="20" w:before="20" w:line="264" w:lineRule="auto"/>
            </w:pPr>
            <w:r>
              <w:rPr>
                <w:rFonts w:ascii="Arial" w:hAnsi="Arial"/>
                <w:sz w:val="19"/>
              </w:rPr>
              <w:t>0.12</w:t>
            </w:r>
          </w:p>
        </w:tc>
      </w:tr>
      <w:tr>
        <w:trPr>
          <w:cantSplit/>
        </w:trPr>
        <w:tc>
          <w:tcPr>
            <w:tcW w:type="dxa" w:w="2494"/>
            <w:shd w:val="clear" w:color="auto" w:fill="F4F2FA"/>
          </w:tcPr>
          <w:p>
            <w:pPr>
              <w:spacing w:after="20" w:before="20" w:line="264" w:lineRule="auto"/>
            </w:pPr>
            <w:r>
              <w:rPr>
                <w:rFonts w:ascii="Arial" w:hAnsi="Arial"/>
                <w:sz w:val="19"/>
              </w:rPr>
              <w:t>Gradient kurtosis</w:t>
            </w:r>
          </w:p>
        </w:tc>
        <w:tc>
          <w:tcPr>
            <w:tcW w:type="dxa" w:w="5329"/>
            <w:shd w:val="clear" w:color="auto" w:fill="F4F2FA"/>
          </w:tcPr>
          <w:p>
            <w:pPr>
              <w:spacing w:after="20" w:before="20" w:line="264" w:lineRule="auto"/>
            </w:pPr>
            <w:r>
              <w:rPr>
                <w:rFonts w:ascii="Arial" w:hAnsi="Arial"/>
                <w:sz w:val="19"/>
              </w:rPr>
              <w:t>Fourth moment of the normalised Sobel magnitude, descending</w:t>
            </w:r>
          </w:p>
        </w:tc>
        <w:tc>
          <w:tcPr>
            <w:tcW w:type="dxa" w:w="1134"/>
            <w:shd w:val="clear" w:color="auto" w:fill="F4F2FA"/>
          </w:tcPr>
          <w:p>
            <w:pPr>
              <w:spacing w:after="20" w:before="20" w:line="264" w:lineRule="auto"/>
            </w:pPr>
            <w:r>
              <w:rPr>
                <w:rFonts w:ascii="Arial" w:hAnsi="Arial"/>
                <w:sz w:val="19"/>
              </w:rPr>
              <w:t>0.11</w:t>
            </w:r>
          </w:p>
        </w:tc>
      </w:tr>
      <w:tr>
        <w:trPr>
          <w:cantSplit/>
        </w:trPr>
        <w:tc>
          <w:tcPr>
            <w:tcW w:type="dxa" w:w="2494"/>
          </w:tcPr>
          <w:p>
            <w:pPr>
              <w:spacing w:after="20" w:before="20" w:line="264" w:lineRule="auto"/>
            </w:pPr>
            <w:r>
              <w:rPr>
                <w:rFonts w:ascii="Arial" w:hAnsi="Arial"/>
                <w:sz w:val="19"/>
              </w:rPr>
              <w:t>Variance entropy</w:t>
            </w:r>
          </w:p>
        </w:tc>
        <w:tc>
          <w:tcPr>
            <w:tcW w:type="dxa" w:w="5329"/>
          </w:tcPr>
          <w:p>
            <w:pPr>
              <w:spacing w:after="20" w:before="20" w:line="264" w:lineRule="auto"/>
            </w:pPr>
            <w:r>
              <w:rPr>
                <w:rFonts w:ascii="Arial" w:hAnsi="Arial"/>
                <w:sz w:val="19"/>
              </w:rPr>
              <w:t>Shannon entropy of the block-variance histogram</w:t>
            </w:r>
          </w:p>
        </w:tc>
        <w:tc>
          <w:tcPr>
            <w:tcW w:type="dxa" w:w="1134"/>
          </w:tcPr>
          <w:p>
            <w:pPr>
              <w:spacing w:after="20" w:before="20" w:line="264" w:lineRule="auto"/>
            </w:pPr>
            <w:r>
              <w:rPr>
                <w:rFonts w:ascii="Arial" w:hAnsi="Arial"/>
                <w:sz w:val="19"/>
              </w:rPr>
              <w:t>0.09</w:t>
            </w:r>
          </w:p>
        </w:tc>
      </w:tr>
      <w:tr>
        <w:trPr>
          <w:cantSplit/>
        </w:trPr>
        <w:tc>
          <w:tcPr>
            <w:tcW w:type="dxa" w:w="2494"/>
            <w:shd w:val="clear" w:color="auto" w:fill="F4F2FA"/>
          </w:tcPr>
          <w:p>
            <w:pPr>
              <w:spacing w:after="20" w:before="20" w:line="264" w:lineRule="auto"/>
            </w:pPr>
            <w:r>
              <w:rPr>
                <w:rFonts w:ascii="Arial" w:hAnsi="Arial"/>
                <w:sz w:val="19"/>
              </w:rPr>
              <w:t>Palette continuity</w:t>
            </w:r>
          </w:p>
        </w:tc>
        <w:tc>
          <w:tcPr>
            <w:tcW w:type="dxa" w:w="5329"/>
            <w:shd w:val="clear" w:color="auto" w:fill="F4F2FA"/>
          </w:tcPr>
          <w:p>
            <w:pPr>
              <w:spacing w:after="20" w:before="20" w:line="264" w:lineRule="auto"/>
            </w:pPr>
            <w:r>
              <w:rPr>
                <w:rFonts w:ascii="Arial" w:hAnsi="Arial"/>
                <w:sz w:val="19"/>
              </w:rPr>
              <w:t>Unique colours per pixel on a downsample</w:t>
            </w:r>
          </w:p>
        </w:tc>
        <w:tc>
          <w:tcPr>
            <w:tcW w:type="dxa" w:w="1134"/>
            <w:shd w:val="clear" w:color="auto" w:fill="F4F2FA"/>
          </w:tcPr>
          <w:p>
            <w:pPr>
              <w:spacing w:after="20" w:before="20" w:line="264" w:lineRule="auto"/>
            </w:pPr>
            <w:r>
              <w:rPr>
                <w:rFonts w:ascii="Arial" w:hAnsi="Arial"/>
                <w:sz w:val="19"/>
              </w:rPr>
              <w:t>0.07</w:t>
            </w:r>
          </w:p>
        </w:tc>
      </w:tr>
    </w:tbl>
    <w:p>
      <w:pPr>
        <w:spacing w:after="40"/>
      </w:pPr>
    </w:p>
    <w:p>
      <w:pPr>
        <w:keepNext/>
        <w:spacing w:after="60" w:before="120"/>
      </w:pPr>
      <w:r>
        <w:rPr>
          <w:rFonts w:ascii="Arial" w:hAnsi="Arial"/>
          <w:b/>
          <w:color w:val="381A89"/>
          <w:sz w:val="18"/>
        </w:rPr>
        <w:t xml:space="preserve">Table 29. </w:t>
      </w:r>
      <w:r>
        <w:rPr>
          <w:rFonts w:ascii="Arial" w:hAnsi="Arial"/>
          <w:color w:val="55516B"/>
          <w:sz w:val="18"/>
        </w:rPr>
        <w:t>Likelihood bands. There is no code path that can emit a verdict.</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1474"/>
            <w:shd w:val="clear" w:color="auto" w:fill="2E1C6B"/>
          </w:tcPr>
          <w:p>
            <w:pPr>
              <w:spacing w:after="20" w:before="20" w:line="252" w:lineRule="auto"/>
            </w:pPr>
            <w:r>
              <w:rPr>
                <w:rFonts w:ascii="Arial" w:hAnsi="Arial"/>
                <w:b/>
                <w:color w:val="FFFFFF"/>
                <w:sz w:val="18"/>
              </w:rPr>
              <w:t>Likelihood</w:t>
            </w:r>
          </w:p>
        </w:tc>
        <w:tc>
          <w:tcPr>
            <w:tcW w:type="dxa" w:w="2835"/>
            <w:shd w:val="clear" w:color="auto" w:fill="2E1C6B"/>
          </w:tcPr>
          <w:p>
            <w:pPr>
              <w:spacing w:after="20" w:before="20" w:line="252" w:lineRule="auto"/>
            </w:pPr>
            <w:r>
              <w:rPr>
                <w:rFonts w:ascii="Arial" w:hAnsi="Arial"/>
                <w:b/>
                <w:color w:val="FFFFFF"/>
                <w:sz w:val="18"/>
              </w:rPr>
              <w:t>Band</w:t>
            </w:r>
          </w:p>
        </w:tc>
        <w:tc>
          <w:tcPr>
            <w:tcW w:type="dxa" w:w="4649"/>
            <w:shd w:val="clear" w:color="auto" w:fill="2E1C6B"/>
          </w:tcPr>
          <w:p>
            <w:pPr>
              <w:spacing w:after="20" w:before="20" w:line="252" w:lineRule="auto"/>
            </w:pPr>
            <w:r>
              <w:rPr>
                <w:rFonts w:ascii="Arial" w:hAnsi="Arial"/>
                <w:b/>
                <w:color w:val="FFFFFF"/>
                <w:sz w:val="18"/>
              </w:rPr>
              <w:t>Wording shown</w:t>
            </w:r>
          </w:p>
        </w:tc>
      </w:tr>
      <w:tr>
        <w:trPr>
          <w:cantSplit/>
        </w:trPr>
        <w:tc>
          <w:tcPr>
            <w:tcW w:type="dxa" w:w="1474"/>
          </w:tcPr>
          <w:p>
            <w:pPr>
              <w:spacing w:after="20" w:before="20" w:line="264" w:lineRule="auto"/>
            </w:pPr>
            <w:r>
              <w:rPr>
                <w:rFonts w:ascii="Arial" w:hAnsi="Arial"/>
                <w:sz w:val="19"/>
              </w:rPr>
              <w:t>&lt; 0.35</w:t>
            </w:r>
          </w:p>
        </w:tc>
        <w:tc>
          <w:tcPr>
            <w:tcW w:type="dxa" w:w="2835"/>
          </w:tcPr>
          <w:p>
            <w:pPr>
              <w:spacing w:after="20" w:before="20" w:line="264" w:lineRule="auto"/>
            </w:pPr>
            <w:r>
              <w:rPr>
                <w:rFonts w:ascii="Consolas" w:hAnsi="Consolas"/>
                <w:color w:val="381A89"/>
                <w:sz w:val="17"/>
              </w:rPr>
              <w:t>no_significant_indicators</w:t>
            </w:r>
          </w:p>
        </w:tc>
        <w:tc>
          <w:tcPr>
            <w:tcW w:type="dxa" w:w="4649"/>
          </w:tcPr>
          <w:p>
            <w:pPr>
              <w:spacing w:after="20" w:before="20" w:line="264" w:lineRule="auto"/>
            </w:pPr>
            <w:r>
              <w:rPr>
                <w:rFonts w:ascii="Arial" w:hAnsi="Arial"/>
                <w:sz w:val="19"/>
              </w:rPr>
              <w:t>No significant synthetic-media indicators detected</w:t>
            </w:r>
          </w:p>
        </w:tc>
      </w:tr>
      <w:tr>
        <w:trPr>
          <w:cantSplit/>
        </w:trPr>
        <w:tc>
          <w:tcPr>
            <w:tcW w:type="dxa" w:w="1474"/>
            <w:shd w:val="clear" w:color="auto" w:fill="F4F2FA"/>
          </w:tcPr>
          <w:p>
            <w:pPr>
              <w:spacing w:after="20" w:before="20" w:line="264" w:lineRule="auto"/>
            </w:pPr>
            <w:r>
              <w:rPr>
                <w:rFonts w:ascii="Arial" w:hAnsi="Arial"/>
                <w:sz w:val="19"/>
              </w:rPr>
              <w:t>0.35 – 0.50</w:t>
            </w:r>
          </w:p>
        </w:tc>
        <w:tc>
          <w:tcPr>
            <w:tcW w:type="dxa" w:w="2835"/>
            <w:shd w:val="clear" w:color="auto" w:fill="F4F2FA"/>
          </w:tcPr>
          <w:p>
            <w:pPr>
              <w:spacing w:after="20" w:before="20" w:line="264" w:lineRule="auto"/>
            </w:pPr>
            <w:r>
              <w:rPr>
                <w:rFonts w:ascii="Consolas" w:hAnsi="Consolas"/>
                <w:color w:val="381A89"/>
                <w:sz w:val="17"/>
              </w:rPr>
              <w:t>weak_indicators</w:t>
            </w:r>
          </w:p>
        </w:tc>
        <w:tc>
          <w:tcPr>
            <w:tcW w:type="dxa" w:w="4649"/>
            <w:shd w:val="clear" w:color="auto" w:fill="F4F2FA"/>
          </w:tcPr>
          <w:p>
            <w:pPr>
              <w:spacing w:after="20" w:before="20" w:line="264" w:lineRule="auto"/>
            </w:pPr>
            <w:r>
              <w:rPr>
                <w:rFonts w:ascii="Arial" w:hAnsi="Arial"/>
                <w:sz w:val="19"/>
              </w:rPr>
              <w:t>Weak synthetic-media indicators present</w:t>
            </w:r>
          </w:p>
        </w:tc>
      </w:tr>
      <w:tr>
        <w:trPr>
          <w:cantSplit/>
        </w:trPr>
        <w:tc>
          <w:tcPr>
            <w:tcW w:type="dxa" w:w="1474"/>
          </w:tcPr>
          <w:p>
            <w:pPr>
              <w:spacing w:after="20" w:before="20" w:line="264" w:lineRule="auto"/>
            </w:pPr>
            <w:r>
              <w:rPr>
                <w:rFonts w:ascii="Arial" w:hAnsi="Arial"/>
                <w:sz w:val="19"/>
              </w:rPr>
              <w:t>0.50 – 0.68</w:t>
            </w:r>
          </w:p>
        </w:tc>
        <w:tc>
          <w:tcPr>
            <w:tcW w:type="dxa" w:w="2835"/>
          </w:tcPr>
          <w:p>
            <w:pPr>
              <w:spacing w:after="20" w:before="20" w:line="264" w:lineRule="auto"/>
            </w:pPr>
            <w:r>
              <w:rPr>
                <w:rFonts w:ascii="Consolas" w:hAnsi="Consolas"/>
                <w:color w:val="381A89"/>
                <w:sz w:val="17"/>
              </w:rPr>
              <w:t>possible_indicators</w:t>
            </w:r>
          </w:p>
        </w:tc>
        <w:tc>
          <w:tcPr>
            <w:tcW w:type="dxa" w:w="4649"/>
          </w:tcPr>
          <w:p>
            <w:pPr>
              <w:spacing w:after="20" w:before="20" w:line="264" w:lineRule="auto"/>
            </w:pPr>
            <w:r>
              <w:rPr>
                <w:rFonts w:ascii="Arial" w:hAnsi="Arial"/>
                <w:sz w:val="19"/>
              </w:rPr>
              <w:t>Potential synthetic-media indicators detected</w:t>
            </w:r>
          </w:p>
        </w:tc>
      </w:tr>
      <w:tr>
        <w:trPr>
          <w:cantSplit/>
        </w:trPr>
        <w:tc>
          <w:tcPr>
            <w:tcW w:type="dxa" w:w="1474"/>
            <w:shd w:val="clear" w:color="auto" w:fill="F4F2FA"/>
          </w:tcPr>
          <w:p>
            <w:pPr>
              <w:spacing w:after="20" w:before="20" w:line="264" w:lineRule="auto"/>
            </w:pPr>
            <w:r>
              <w:rPr>
                <w:rFonts w:ascii="Arial" w:hAnsi="Arial"/>
                <w:sz w:val="19"/>
              </w:rPr>
              <w:t>≥ 0.68</w:t>
            </w:r>
          </w:p>
        </w:tc>
        <w:tc>
          <w:tcPr>
            <w:tcW w:type="dxa" w:w="2835"/>
            <w:shd w:val="clear" w:color="auto" w:fill="F4F2FA"/>
          </w:tcPr>
          <w:p>
            <w:pPr>
              <w:spacing w:after="20" w:before="20" w:line="264" w:lineRule="auto"/>
            </w:pPr>
            <w:r>
              <w:rPr>
                <w:rFonts w:ascii="Consolas" w:hAnsi="Consolas"/>
                <w:color w:val="381A89"/>
                <w:sz w:val="17"/>
              </w:rPr>
              <w:t>notable_indicators</w:t>
            </w:r>
          </w:p>
        </w:tc>
        <w:tc>
          <w:tcPr>
            <w:tcW w:type="dxa" w:w="4649"/>
            <w:shd w:val="clear" w:color="auto" w:fill="F4F2FA"/>
          </w:tcPr>
          <w:p>
            <w:pPr>
              <w:spacing w:after="20" w:before="20" w:line="264" w:lineRule="auto"/>
            </w:pPr>
            <w:r>
              <w:rPr>
                <w:rFonts w:ascii="Arial" w:hAnsi="Arial"/>
                <w:sz w:val="19"/>
              </w:rPr>
              <w:t>Notable synthetic-media indicators detected</w:t>
            </w:r>
          </w:p>
        </w:tc>
      </w:tr>
    </w:tbl>
    <w:p>
      <w:pPr>
        <w:spacing w:after="40"/>
      </w:pPr>
    </w:p>
    <w:p>
      <w:pPr>
        <w:pStyle w:val="Heading2"/>
      </w:pPr>
      <w:r>
        <w:t>A.8  File security</w:t>
      </w:r>
    </w:p>
    <w:p>
      <w:pPr>
        <w:keepNext/>
        <w:spacing w:after="60" w:before="120"/>
      </w:pPr>
      <w:r>
        <w:rPr>
          <w:rFonts w:ascii="Arial" w:hAnsi="Arial"/>
          <w:b/>
          <w:color w:val="381A89"/>
          <w:sz w:val="18"/>
        </w:rPr>
        <w:t xml:space="preserve">Table 30. </w:t>
      </w:r>
      <w:r>
        <w:rPr>
          <w:rFonts w:ascii="Arial" w:hAnsi="Arial"/>
          <w:color w:val="55516B"/>
          <w:sz w:val="18"/>
        </w:rPr>
        <w:t>Security findings.</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2608"/>
            <w:shd w:val="clear" w:color="auto" w:fill="2E1C6B"/>
          </w:tcPr>
          <w:p>
            <w:pPr>
              <w:spacing w:after="20" w:before="20" w:line="252" w:lineRule="auto"/>
            </w:pPr>
            <w:r>
              <w:rPr>
                <w:rFonts w:ascii="Arial" w:hAnsi="Arial"/>
                <w:b/>
                <w:color w:val="FFFFFF"/>
                <w:sz w:val="18"/>
              </w:rPr>
              <w:t>Code</w:t>
            </w:r>
          </w:p>
        </w:tc>
        <w:tc>
          <w:tcPr>
            <w:tcW w:type="dxa" w:w="3742"/>
            <w:shd w:val="clear" w:color="auto" w:fill="2E1C6B"/>
          </w:tcPr>
          <w:p>
            <w:pPr>
              <w:spacing w:after="20" w:before="20" w:line="252" w:lineRule="auto"/>
            </w:pPr>
            <w:r>
              <w:rPr>
                <w:rFonts w:ascii="Arial" w:hAnsi="Arial"/>
                <w:b/>
                <w:color w:val="FFFFFF"/>
                <w:sz w:val="18"/>
              </w:rPr>
              <w:t>Measured</w:t>
            </w:r>
          </w:p>
        </w:tc>
        <w:tc>
          <w:tcPr>
            <w:tcW w:type="dxa" w:w="2608"/>
            <w:shd w:val="clear" w:color="auto" w:fill="2E1C6B"/>
          </w:tcPr>
          <w:p>
            <w:pPr>
              <w:spacing w:after="20" w:before="20" w:line="252" w:lineRule="auto"/>
            </w:pPr>
            <w:r>
              <w:rPr>
                <w:rFonts w:ascii="Arial" w:hAnsi="Arial"/>
                <w:b/>
                <w:color w:val="FFFFFF"/>
                <w:sz w:val="18"/>
              </w:rPr>
              <w:t>Severity / confidence</w:t>
            </w:r>
          </w:p>
        </w:tc>
      </w:tr>
      <w:tr>
        <w:trPr>
          <w:cantSplit/>
        </w:trPr>
        <w:tc>
          <w:tcPr>
            <w:tcW w:type="dxa" w:w="2608"/>
          </w:tcPr>
          <w:p>
            <w:pPr>
              <w:spacing w:after="20" w:before="20" w:line="264" w:lineRule="auto"/>
            </w:pPr>
            <w:r>
              <w:rPr>
                <w:rFonts w:ascii="Consolas" w:hAnsi="Consolas"/>
                <w:color w:val="381A89"/>
                <w:sz w:val="17"/>
              </w:rPr>
              <w:t>SEC_MALWARE_SIGNATURE</w:t>
            </w:r>
          </w:p>
        </w:tc>
        <w:tc>
          <w:tcPr>
            <w:tcW w:type="dxa" w:w="3742"/>
          </w:tcPr>
          <w:p>
            <w:pPr>
              <w:spacing w:after="20" w:before="20" w:line="264" w:lineRule="auto"/>
            </w:pPr>
            <w:r>
              <w:rPr>
                <w:rFonts w:ascii="Arial" w:hAnsi="Arial"/>
                <w:sz w:val="19"/>
              </w:rPr>
              <w:t xml:space="preserve">Scanner verdict </w:t>
            </w:r>
            <w:r>
              <w:rPr>
                <w:rFonts w:ascii="Consolas" w:hAnsi="Consolas"/>
                <w:color w:val="381A89"/>
                <w:sz w:val="17"/>
              </w:rPr>
              <w:t>infected</w:t>
            </w:r>
          </w:p>
        </w:tc>
        <w:tc>
          <w:tcPr>
            <w:tcW w:type="dxa" w:w="2608"/>
          </w:tcPr>
          <w:p>
            <w:pPr>
              <w:spacing w:after="20" w:before="20" w:line="264" w:lineRule="auto"/>
            </w:pPr>
            <w:r>
              <w:rPr>
                <w:rFonts w:ascii="Arial" w:hAnsi="Arial"/>
                <w:b/>
                <w:sz w:val="19"/>
              </w:rPr>
              <w:t>critical / 0.97</w:t>
            </w:r>
            <w:r>
              <w:rPr>
                <w:rFonts w:ascii="Arial" w:hAnsi="Arial"/>
                <w:sz w:val="19"/>
              </w:rPr>
              <w:t xml:space="preserve"> — quarantines the document and halts stages 3–13 without deleting it</w:t>
            </w:r>
          </w:p>
        </w:tc>
      </w:tr>
      <w:tr>
        <w:trPr>
          <w:cantSplit/>
        </w:trPr>
        <w:tc>
          <w:tcPr>
            <w:tcW w:type="dxa" w:w="2608"/>
            <w:shd w:val="clear" w:color="auto" w:fill="F4F2FA"/>
          </w:tcPr>
          <w:p>
            <w:pPr>
              <w:spacing w:after="20" w:before="20" w:line="264" w:lineRule="auto"/>
            </w:pPr>
            <w:r>
              <w:rPr>
                <w:rFonts w:ascii="Consolas" w:hAnsi="Consolas"/>
                <w:color w:val="381A89"/>
                <w:sz w:val="17"/>
              </w:rPr>
              <w:t>SEC_ACTIVE_CONTENT</w:t>
            </w:r>
          </w:p>
        </w:tc>
        <w:tc>
          <w:tcPr>
            <w:tcW w:type="dxa" w:w="3742"/>
            <w:shd w:val="clear" w:color="auto" w:fill="F4F2FA"/>
          </w:tcPr>
          <w:p>
            <w:pPr>
              <w:spacing w:after="20" w:before="20" w:line="264" w:lineRule="auto"/>
            </w:pPr>
            <w:r>
              <w:rPr>
                <w:rFonts w:ascii="Arial" w:hAnsi="Arial"/>
                <w:sz w:val="19"/>
              </w:rPr>
              <w:t xml:space="preserve">Scanner verdict </w:t>
            </w:r>
            <w:r>
              <w:rPr>
                <w:rFonts w:ascii="Consolas" w:hAnsi="Consolas"/>
                <w:color w:val="381A89"/>
                <w:sz w:val="17"/>
              </w:rPr>
              <w:t>suspicious</w:t>
            </w:r>
            <w:r>
              <w:rPr>
                <w:rFonts w:ascii="Arial" w:hAnsi="Arial"/>
                <w:sz w:val="19"/>
              </w:rPr>
              <w:t>: active-content patterns, obfuscated script, ZIP polyglot or a PE header</w:t>
            </w:r>
          </w:p>
        </w:tc>
        <w:tc>
          <w:tcPr>
            <w:tcW w:type="dxa" w:w="2608"/>
            <w:shd w:val="clear" w:color="auto" w:fill="F4F2FA"/>
          </w:tcPr>
          <w:p>
            <w:pPr>
              <w:spacing w:after="20" w:before="20" w:line="264" w:lineRule="auto"/>
            </w:pPr>
            <w:r>
              <w:rPr>
                <w:rFonts w:ascii="Arial" w:hAnsi="Arial"/>
                <w:sz w:val="19"/>
              </w:rPr>
              <w:t>high / 0.72</w:t>
            </w:r>
          </w:p>
        </w:tc>
      </w:tr>
      <w:tr>
        <w:trPr>
          <w:cantSplit/>
        </w:trPr>
        <w:tc>
          <w:tcPr>
            <w:tcW w:type="dxa" w:w="2608"/>
          </w:tcPr>
          <w:p>
            <w:pPr>
              <w:spacing w:after="20" w:before="20" w:line="264" w:lineRule="auto"/>
            </w:pPr>
            <w:r>
              <w:rPr>
                <w:rFonts w:ascii="Consolas" w:hAnsi="Consolas"/>
                <w:color w:val="381A89"/>
                <w:sz w:val="17"/>
              </w:rPr>
              <w:t>PDF_EMBEDDED_JAVASCRIPT</w:t>
            </w:r>
          </w:p>
        </w:tc>
        <w:tc>
          <w:tcPr>
            <w:tcW w:type="dxa" w:w="3742"/>
          </w:tcPr>
          <w:p>
            <w:pPr>
              <w:spacing w:after="20" w:before="20" w:line="264" w:lineRule="auto"/>
            </w:pPr>
            <w:r>
              <w:rPr>
                <w:rFonts w:ascii="Arial" w:hAnsi="Arial"/>
                <w:sz w:val="19"/>
              </w:rPr>
              <w:t>JavaScript name tree or script in an open action</w:t>
            </w:r>
          </w:p>
        </w:tc>
        <w:tc>
          <w:tcPr>
            <w:tcW w:type="dxa" w:w="2608"/>
          </w:tcPr>
          <w:p>
            <w:pPr>
              <w:spacing w:after="20" w:before="20" w:line="264" w:lineRule="auto"/>
            </w:pPr>
            <w:r>
              <w:rPr>
                <w:rFonts w:ascii="Arial" w:hAnsi="Arial"/>
                <w:sz w:val="19"/>
              </w:rPr>
              <w:t>high / 0.85</w:t>
            </w:r>
          </w:p>
        </w:tc>
      </w:tr>
      <w:tr>
        <w:trPr>
          <w:cantSplit/>
        </w:trPr>
        <w:tc>
          <w:tcPr>
            <w:tcW w:type="dxa" w:w="2608"/>
            <w:shd w:val="clear" w:color="auto" w:fill="F4F2FA"/>
          </w:tcPr>
          <w:p>
            <w:pPr>
              <w:spacing w:after="20" w:before="20" w:line="264" w:lineRule="auto"/>
            </w:pPr>
            <w:r>
              <w:rPr>
                <w:rFonts w:ascii="Consolas" w:hAnsi="Consolas"/>
                <w:color w:val="381A89"/>
                <w:sz w:val="17"/>
              </w:rPr>
              <w:t>PDF_EMBEDDED_FILES</w:t>
            </w:r>
          </w:p>
        </w:tc>
        <w:tc>
          <w:tcPr>
            <w:tcW w:type="dxa" w:w="3742"/>
            <w:shd w:val="clear" w:color="auto" w:fill="F4F2FA"/>
          </w:tcPr>
          <w:p>
            <w:pPr>
              <w:spacing w:after="20" w:before="20" w:line="264" w:lineRule="auto"/>
            </w:pPr>
            <w:r>
              <w:rPr>
                <w:rFonts w:ascii="Arial" w:hAnsi="Arial"/>
                <w:sz w:val="19"/>
              </w:rPr>
              <w:t>Embedded-file name tree present</w:t>
            </w:r>
          </w:p>
        </w:tc>
        <w:tc>
          <w:tcPr>
            <w:tcW w:type="dxa" w:w="2608"/>
            <w:shd w:val="clear" w:color="auto" w:fill="F4F2FA"/>
          </w:tcPr>
          <w:p>
            <w:pPr>
              <w:spacing w:after="20" w:before="20" w:line="264" w:lineRule="auto"/>
            </w:pPr>
            <w:r>
              <w:rPr>
                <w:rFonts w:ascii="Arial" w:hAnsi="Arial"/>
                <w:sz w:val="19"/>
              </w:rPr>
              <w:t>medium / 0.70</w:t>
            </w:r>
          </w:p>
        </w:tc>
      </w:tr>
    </w:tbl>
    <w:p>
      <w:pPr>
        <w:spacing w:after="40"/>
      </w:pPr>
    </w:p>
    <w:p>
      <w:pPr>
        <w:pStyle w:val="Heading2"/>
      </w:pPr>
      <w:r>
        <w:t>A.9  Consistency and cross-document</w:t>
      </w:r>
    </w:p>
    <w:p>
      <w:pPr>
        <w:spacing w:after="160"/>
        <w:jc w:val="both"/>
      </w:pPr>
      <w:r>
        <w:t xml:space="preserve">The twenty consistency rules are listed by family in Section 6.5 with their seeded severities; the seventeen cross-document comparable fields and their three pairing policies are in Section 6.6. Two further consistency-category codes are emitted by the pipeline itself: </w:t>
      </w:r>
      <w:r>
        <w:rPr>
          <w:rFonts w:ascii="Consolas" w:hAnsi="Consolas"/>
          <w:color w:val="381A89"/>
          <w:sz w:val="20"/>
        </w:rPr>
        <w:t>DOC_DUPLICATE_CONTENT_HASH</w:t>
      </w:r>
      <w:r>
        <w:t xml:space="preserve"> (detector </w:t>
      </w:r>
      <w:r>
        <w:rPr>
          <w:rFonts w:ascii="Consolas" w:hAnsi="Consolas"/>
          <w:color w:val="381A89"/>
          <w:sz w:val="20"/>
        </w:rPr>
        <w:t>ingest-integrity</w:t>
      </w:r>
      <w:r>
        <w:t xml:space="preserve"> v1.0.0 — a byte-identical file already on record, attributed to the later submission) and </w:t>
      </w:r>
      <w:r>
        <w:rPr>
          <w:rFonts w:ascii="Consolas" w:hAnsi="Consolas"/>
          <w:color w:val="381A89"/>
          <w:sz w:val="20"/>
        </w:rPr>
        <w:t>CLS_UNRECOGNISED_DOCUMENT_TYPE</w:t>
      </w:r>
      <w:r>
        <w:t xml:space="preserve"> (the classifier scored below its floor). Cross-document codes take the form </w:t>
      </w:r>
      <w:r>
        <w:rPr>
          <w:rFonts w:ascii="Consolas" w:hAnsi="Consolas"/>
          <w:color w:val="381A89"/>
          <w:sz w:val="20"/>
        </w:rPr>
        <w:t>XDOC_&lt;FIELD&gt;_MISMATCH</w:t>
      </w:r>
      <w:r>
        <w:t xml:space="preserve"> for document-to-document disagreement and </w:t>
      </w:r>
      <w:r>
        <w:rPr>
          <w:rFonts w:ascii="Consolas" w:hAnsi="Consolas"/>
          <w:color w:val="381A89"/>
          <w:sz w:val="20"/>
        </w:rPr>
        <w:t>XDOC_CLAIM_&lt;FIELD&gt;_MISMATCH</w:t>
      </w:r>
      <w:r>
        <w:t xml:space="preserve"> for disagreement with the claim record.</w:t>
      </w:r>
    </w:p>
    <w:p>
      <w:r>
        <w:br w:type="page"/>
      </w:r>
    </w:p>
    <w:p>
      <w:pPr>
        <w:pStyle w:val="Heading1"/>
      </w:pPr>
      <w:r>
        <w:t>Appendix B  Risk Weights and Ceilings</w:t>
      </w:r>
    </w:p>
    <w:p>
      <w:pPr>
        <w:spacing w:after="160"/>
        <w:jc w:val="both"/>
      </w:pPr>
      <w:r>
        <w:t xml:space="preserve">The risk model is data, not code: 99 rows in the </w:t>
      </w:r>
      <w:r>
        <w:rPr>
          <w:rFonts w:ascii="Consolas" w:hAnsi="Consolas"/>
          <w:color w:val="381A89"/>
          <w:sz w:val="20"/>
        </w:rPr>
        <w:t>detection_rules</w:t>
      </w:r>
      <w:r>
        <w:t xml:space="preserve"> table carry a severity and a weight per finding code, and an administrator can retune any of them with the change audited. The values below are the seeded defaults for weights version 2026.09.1.</w:t>
      </w:r>
    </w:p>
    <w:tbl>
      <w:tblPr>
        <w:tblW w:type="auto" w:w="0"/>
        <w:jc w:val="center"/>
        <w:tblLook w:firstColumn="1" w:firstRow="1" w:lastColumn="0" w:lastRow="0" w:noHBand="0" w:noVBand="1" w:val="04A0"/>
      </w:tblPr>
      <w:tblGrid>
        <w:gridCol w:w="9185"/>
      </w:tblGrid>
      <w:tr>
        <w:tc>
          <w:tcPr>
            <w:tcW w:type="dxa" w:w="9184"/>
            <w:tcBorders>
              <w:left w:val="single" w:sz="18" w:space="0" w:color="2E1C6B"/>
            </w:tcBorders>
            <w:shd w:val="clear" w:color="auto" w:fill="F2F0F8"/>
          </w:tcPr>
          <w:p>
            <w:pPr>
              <w:spacing w:after="0" w:line="259" w:lineRule="auto"/>
            </w:pPr>
            <w:r/>
            <w:r>
              <w:rPr>
                <w:rFonts w:ascii="Consolas" w:hAnsi="Consolas"/>
                <w:color w:val="1A1726"/>
                <w:sz w:val="17"/>
              </w:rPr>
              <w:t xml:space="preserve">        contribution(signal) = weight(code) × confidence × severity_multiplier</w:t>
            </w:r>
          </w:p>
          <w:p>
            <w:pPr>
              <w:spacing w:after="0" w:line="259" w:lineRule="auto"/>
            </w:pPr>
            <w:r>
              <w:rPr>
                <w:rFonts w:ascii="Consolas" w:hAnsi="Consolas"/>
                <w:color w:val="1A1726"/>
                <w:sz w:val="17"/>
              </w:rPr>
              <w:t xml:space="preserve">        category_score       = cap × (1 − exp(−1.3 × Σ contributions / cap))</w:t>
            </w:r>
          </w:p>
          <w:p>
            <w:pPr>
              <w:spacing w:after="0" w:line="259" w:lineRule="auto"/>
            </w:pPr>
            <w:r>
              <w:rPr>
                <w:rFonts w:ascii="Consolas" w:hAnsi="Consolas"/>
                <w:color w:val="1A1726"/>
                <w:sz w:val="17"/>
              </w:rPr>
              <w:t xml:space="preserve">        score                = round(100 × Σ category_scores / 72) − mitigation</w:t>
            </w:r>
          </w:p>
          <w:p>
            <w:pPr>
              <w:spacing w:after="0" w:line="259" w:lineRule="auto"/>
            </w:pPr>
            <w:r>
              <w:rPr>
                <w:rFonts w:ascii="Consolas" w:hAnsi="Consolas"/>
                <w:color w:val="1A1726"/>
                <w:sz w:val="17"/>
              </w:rPr>
              <w:t xml:space="preserve"> </w:t>
            </w:r>
          </w:p>
          <w:p>
            <w:pPr>
              <w:spacing w:after="0" w:line="259" w:lineRule="auto"/>
            </w:pPr>
            <w:r>
              <w:rPr>
                <w:rFonts w:ascii="Consolas" w:hAnsi="Consolas"/>
                <w:color w:val="1A1726"/>
                <w:sz w:val="17"/>
              </w:rPr>
              <w:t xml:space="preserve">        severity multipliers   info 0.35 · low 0.60 · medium 1.00 · high 1.35 · critical 1.60</w:t>
            </w:r>
          </w:p>
          <w:p>
            <w:pPr>
              <w:spacing w:after="0" w:line="259" w:lineRule="auto"/>
            </w:pPr>
            <w:r>
              <w:rPr>
                <w:rFonts w:ascii="Consolas" w:hAnsi="Consolas"/>
                <w:color w:val="1A1726"/>
                <w:sz w:val="17"/>
              </w:rPr>
              <w:t xml:space="preserve">        saturation steepness   1.30</w:t>
            </w:r>
          </w:p>
          <w:p>
            <w:pPr>
              <w:spacing w:after="0" w:line="259" w:lineRule="auto"/>
            </w:pPr>
            <w:r>
              <w:rPr>
                <w:rFonts w:ascii="Consolas" w:hAnsi="Consolas"/>
                <w:color w:val="1A1726"/>
                <w:sz w:val="17"/>
              </w:rPr>
              <w:t xml:space="preserve">        calibration divisor    72.0</w:t>
            </w:r>
          </w:p>
          <w:p>
            <w:pPr>
              <w:spacing w:after="0" w:line="259" w:lineRule="auto"/>
            </w:pPr>
            <w:r>
              <w:rPr>
                <w:rFonts w:ascii="Consolas" w:hAnsi="Consolas"/>
                <w:color w:val="1A1726"/>
                <w:sz w:val="17"/>
              </w:rPr>
              <w:t xml:space="preserve">        maximum mitigation     6.0  (2.0 per corroborating external match;</w:t>
            </w:r>
          </w:p>
          <w:p>
            <w:pPr>
              <w:spacing w:after="0" w:line="259" w:lineRule="auto"/>
            </w:pPr>
            <w:r>
              <w:rPr>
                <w:rFonts w:ascii="Consolas" w:hAnsi="Consolas"/>
                <w:color w:val="1A1726"/>
                <w:sz w:val="17"/>
              </w:rPr>
              <w:t xml:space="preserve">                                     suppressed entirely if any high or critical signal exists)</w:t>
            </w:r>
          </w:p>
          <w:p>
            <w:pPr>
              <w:spacing w:after="0" w:line="259" w:lineRule="auto"/>
            </w:pPr>
            <w:r>
              <w:rPr>
                <w:rFonts w:ascii="Consolas" w:hAnsi="Consolas"/>
                <w:color w:val="1A1726"/>
                <w:sz w:val="17"/>
              </w:rPr>
              <w:t xml:space="preserve">        bands                  Low Concern &lt; 40 · Review Recommended 40–74 · High Concern ≥ 75</w:t>
            </w:r>
          </w:p>
          <w:p>
            <w:pPr>
              <w:spacing w:after="0" w:line="259" w:lineRule="auto"/>
            </w:pPr>
            <w:r>
              <w:rPr>
                <w:rFonts w:ascii="Consolas" w:hAnsi="Consolas"/>
                <w:color w:val="1A1726"/>
                <w:sz w:val="17"/>
              </w:rPr>
              <w:t xml:space="preserve">        </w:t>
            </w:r>
          </w:p>
        </w:tc>
      </w:tr>
    </w:tbl>
    <w:p>
      <w:pPr>
        <w:spacing w:after="80"/>
      </w:pPr>
    </w:p>
    <w:p>
      <w:pPr>
        <w:keepNext/>
        <w:spacing w:after="60" w:before="120"/>
      </w:pPr>
      <w:r>
        <w:rPr>
          <w:rFonts w:ascii="Arial" w:hAnsi="Arial"/>
          <w:b/>
          <w:color w:val="381A89"/>
          <w:sz w:val="18"/>
        </w:rPr>
        <w:t xml:space="preserve">Table 31. </w:t>
      </w:r>
      <w:r>
        <w:rPr>
          <w:rFonts w:ascii="Arial" w:hAnsi="Arial"/>
          <w:color w:val="55516B"/>
          <w:sz w:val="18"/>
        </w:rPr>
        <w:t>Category ceilings, rule counts and the fallback weight applied when a finding code has no row of its own.</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2948"/>
            <w:shd w:val="clear" w:color="auto" w:fill="2E1C6B"/>
          </w:tcPr>
          <w:p>
            <w:pPr>
              <w:spacing w:after="20" w:before="20" w:line="252" w:lineRule="auto"/>
            </w:pPr>
            <w:r>
              <w:rPr>
                <w:rFonts w:ascii="Arial" w:hAnsi="Arial"/>
                <w:b/>
                <w:color w:val="FFFFFF"/>
                <w:sz w:val="18"/>
              </w:rPr>
              <w:t>Category</w:t>
            </w:r>
          </w:p>
        </w:tc>
        <w:tc>
          <w:tcPr>
            <w:tcW w:type="dxa" w:w="1247"/>
            <w:shd w:val="clear" w:color="auto" w:fill="2E1C6B"/>
          </w:tcPr>
          <w:p>
            <w:pPr>
              <w:spacing w:after="20" w:before="20" w:line="252" w:lineRule="auto"/>
            </w:pPr>
            <w:r>
              <w:rPr>
                <w:rFonts w:ascii="Arial" w:hAnsi="Arial"/>
                <w:b/>
                <w:color w:val="FFFFFF"/>
                <w:sz w:val="18"/>
              </w:rPr>
              <w:t>Ceiling</w:t>
            </w:r>
          </w:p>
        </w:tc>
        <w:tc>
          <w:tcPr>
            <w:tcW w:type="dxa" w:w="2494"/>
            <w:shd w:val="clear" w:color="auto" w:fill="2E1C6B"/>
          </w:tcPr>
          <w:p>
            <w:pPr>
              <w:spacing w:after="20" w:before="20" w:line="252" w:lineRule="auto"/>
            </w:pPr>
            <w:r>
              <w:rPr>
                <w:rFonts w:ascii="Arial" w:hAnsi="Arial"/>
                <w:b/>
                <w:color w:val="FFFFFF"/>
                <w:sz w:val="18"/>
              </w:rPr>
              <w:t>Seeded rules</w:t>
            </w:r>
          </w:p>
        </w:tc>
        <w:tc>
          <w:tcPr>
            <w:tcW w:type="dxa" w:w="2268"/>
            <w:shd w:val="clear" w:color="auto" w:fill="2E1C6B"/>
          </w:tcPr>
          <w:p>
            <w:pPr>
              <w:spacing w:after="20" w:before="20" w:line="252" w:lineRule="auto"/>
            </w:pPr>
            <w:r>
              <w:rPr>
                <w:rFonts w:ascii="Arial" w:hAnsi="Arial"/>
                <w:b/>
                <w:color w:val="FFFFFF"/>
                <w:sz w:val="18"/>
              </w:rPr>
              <w:t>Fallback weight</w:t>
            </w:r>
          </w:p>
        </w:tc>
      </w:tr>
      <w:tr>
        <w:trPr>
          <w:cantSplit/>
        </w:trPr>
        <w:tc>
          <w:tcPr>
            <w:tcW w:type="dxa" w:w="2948"/>
          </w:tcPr>
          <w:p>
            <w:pPr>
              <w:spacing w:after="20" w:before="20" w:line="264" w:lineRule="auto"/>
            </w:pPr>
            <w:r>
              <w:rPr>
                <w:rFonts w:ascii="Arial" w:hAnsi="Arial"/>
                <w:sz w:val="19"/>
              </w:rPr>
              <w:t>External verification</w:t>
            </w:r>
          </w:p>
        </w:tc>
        <w:tc>
          <w:tcPr>
            <w:tcW w:type="dxa" w:w="1247"/>
          </w:tcPr>
          <w:p>
            <w:pPr>
              <w:spacing w:after="20" w:before="20" w:line="264" w:lineRule="auto"/>
            </w:pPr>
            <w:r>
              <w:rPr>
                <w:rFonts w:ascii="Arial" w:hAnsi="Arial"/>
                <w:sz w:val="19"/>
              </w:rPr>
              <w:t>70</w:t>
            </w:r>
          </w:p>
        </w:tc>
        <w:tc>
          <w:tcPr>
            <w:tcW w:type="dxa" w:w="2494"/>
          </w:tcPr>
          <w:p>
            <w:pPr>
              <w:spacing w:after="20" w:before="20" w:line="264" w:lineRule="auto"/>
            </w:pPr>
            <w:r>
              <w:rPr>
                <w:rFonts w:ascii="Arial" w:hAnsi="Arial"/>
                <w:sz w:val="19"/>
              </w:rPr>
              <w:t>18</w:t>
            </w:r>
          </w:p>
        </w:tc>
        <w:tc>
          <w:tcPr>
            <w:tcW w:type="dxa" w:w="2268"/>
          </w:tcPr>
          <w:p>
            <w:pPr>
              <w:spacing w:after="20" w:before="20" w:line="264" w:lineRule="auto"/>
            </w:pPr>
            <w:r>
              <w:rPr>
                <w:rFonts w:ascii="Arial" w:hAnsi="Arial"/>
                <w:sz w:val="19"/>
              </w:rPr>
              <w:t>26.0</w:t>
            </w:r>
          </w:p>
        </w:tc>
      </w:tr>
      <w:tr>
        <w:trPr>
          <w:cantSplit/>
        </w:trPr>
        <w:tc>
          <w:tcPr>
            <w:tcW w:type="dxa" w:w="2948"/>
            <w:shd w:val="clear" w:color="auto" w:fill="F4F2FA"/>
          </w:tcPr>
          <w:p>
            <w:pPr>
              <w:spacing w:after="20" w:before="20" w:line="264" w:lineRule="auto"/>
            </w:pPr>
            <w:r>
              <w:rPr>
                <w:rFonts w:ascii="Arial" w:hAnsi="Arial"/>
                <w:sz w:val="19"/>
              </w:rPr>
              <w:t>Tampering indicators</w:t>
            </w:r>
          </w:p>
        </w:tc>
        <w:tc>
          <w:tcPr>
            <w:tcW w:type="dxa" w:w="1247"/>
            <w:shd w:val="clear" w:color="auto" w:fill="F4F2FA"/>
          </w:tcPr>
          <w:p>
            <w:pPr>
              <w:spacing w:after="20" w:before="20" w:line="264" w:lineRule="auto"/>
            </w:pPr>
            <w:r>
              <w:rPr>
                <w:rFonts w:ascii="Arial" w:hAnsi="Arial"/>
                <w:sz w:val="19"/>
              </w:rPr>
              <w:t>58</w:t>
            </w:r>
          </w:p>
        </w:tc>
        <w:tc>
          <w:tcPr>
            <w:tcW w:type="dxa" w:w="2494"/>
            <w:shd w:val="clear" w:color="auto" w:fill="F4F2FA"/>
          </w:tcPr>
          <w:p>
            <w:pPr>
              <w:spacing w:after="20" w:before="20" w:line="264" w:lineRule="auto"/>
            </w:pPr>
            <w:r>
              <w:rPr>
                <w:rFonts w:ascii="Arial" w:hAnsi="Arial"/>
                <w:sz w:val="19"/>
              </w:rPr>
              <w:t>13</w:t>
            </w:r>
          </w:p>
        </w:tc>
        <w:tc>
          <w:tcPr>
            <w:tcW w:type="dxa" w:w="2268"/>
            <w:shd w:val="clear" w:color="auto" w:fill="F4F2FA"/>
          </w:tcPr>
          <w:p>
            <w:pPr>
              <w:spacing w:after="20" w:before="20" w:line="264" w:lineRule="auto"/>
            </w:pPr>
            <w:r>
              <w:rPr>
                <w:rFonts w:ascii="Arial" w:hAnsi="Arial"/>
                <w:sz w:val="19"/>
              </w:rPr>
              <w:t>22.0</w:t>
            </w:r>
          </w:p>
        </w:tc>
      </w:tr>
      <w:tr>
        <w:trPr>
          <w:cantSplit/>
        </w:trPr>
        <w:tc>
          <w:tcPr>
            <w:tcW w:type="dxa" w:w="2948"/>
          </w:tcPr>
          <w:p>
            <w:pPr>
              <w:spacing w:after="20" w:before="20" w:line="264" w:lineRule="auto"/>
            </w:pPr>
            <w:r>
              <w:rPr>
                <w:rFonts w:ascii="Arial" w:hAnsi="Arial"/>
                <w:sz w:val="19"/>
              </w:rPr>
              <w:t>Internal consistency</w:t>
            </w:r>
          </w:p>
        </w:tc>
        <w:tc>
          <w:tcPr>
            <w:tcW w:type="dxa" w:w="1247"/>
          </w:tcPr>
          <w:p>
            <w:pPr>
              <w:spacing w:after="20" w:before="20" w:line="264" w:lineRule="auto"/>
            </w:pPr>
            <w:r>
              <w:rPr>
                <w:rFonts w:ascii="Arial" w:hAnsi="Arial"/>
                <w:sz w:val="19"/>
              </w:rPr>
              <w:t>50</w:t>
            </w:r>
          </w:p>
        </w:tc>
        <w:tc>
          <w:tcPr>
            <w:tcW w:type="dxa" w:w="2494"/>
          </w:tcPr>
          <w:p>
            <w:pPr>
              <w:spacing w:after="20" w:before="20" w:line="264" w:lineRule="auto"/>
            </w:pPr>
            <w:r>
              <w:rPr>
                <w:rFonts w:ascii="Arial" w:hAnsi="Arial"/>
                <w:sz w:val="19"/>
              </w:rPr>
              <w:t>2 + 20 engine rules</w:t>
            </w:r>
          </w:p>
        </w:tc>
        <w:tc>
          <w:tcPr>
            <w:tcW w:type="dxa" w:w="2268"/>
          </w:tcPr>
          <w:p>
            <w:pPr>
              <w:spacing w:after="20" w:before="20" w:line="264" w:lineRule="auto"/>
            </w:pPr>
            <w:r>
              <w:rPr>
                <w:rFonts w:ascii="Arial" w:hAnsi="Arial"/>
                <w:sz w:val="19"/>
              </w:rPr>
              <w:t>14.0</w:t>
            </w:r>
          </w:p>
        </w:tc>
      </w:tr>
      <w:tr>
        <w:trPr>
          <w:cantSplit/>
        </w:trPr>
        <w:tc>
          <w:tcPr>
            <w:tcW w:type="dxa" w:w="2948"/>
            <w:shd w:val="clear" w:color="auto" w:fill="F4F2FA"/>
          </w:tcPr>
          <w:p>
            <w:pPr>
              <w:spacing w:after="20" w:before="20" w:line="264" w:lineRule="auto"/>
            </w:pPr>
            <w:r>
              <w:rPr>
                <w:rFonts w:ascii="Arial" w:hAnsi="Arial"/>
                <w:sz w:val="19"/>
              </w:rPr>
              <w:t>Cross-document agreement</w:t>
            </w:r>
          </w:p>
        </w:tc>
        <w:tc>
          <w:tcPr>
            <w:tcW w:type="dxa" w:w="1247"/>
            <w:shd w:val="clear" w:color="auto" w:fill="F4F2FA"/>
          </w:tcPr>
          <w:p>
            <w:pPr>
              <w:spacing w:after="20" w:before="20" w:line="264" w:lineRule="auto"/>
            </w:pPr>
            <w:r>
              <w:rPr>
                <w:rFonts w:ascii="Arial" w:hAnsi="Arial"/>
                <w:sz w:val="19"/>
              </w:rPr>
              <w:t>50</w:t>
            </w:r>
          </w:p>
        </w:tc>
        <w:tc>
          <w:tcPr>
            <w:tcW w:type="dxa" w:w="2494"/>
            <w:shd w:val="clear" w:color="auto" w:fill="F4F2FA"/>
          </w:tcPr>
          <w:p>
            <w:pPr>
              <w:spacing w:after="20" w:before="20" w:line="264" w:lineRule="auto"/>
            </w:pPr>
            <w:r>
              <w:rPr>
                <w:rFonts w:ascii="Arial" w:hAnsi="Arial"/>
                <w:sz w:val="19"/>
              </w:rPr>
              <w:t>9</w:t>
            </w:r>
          </w:p>
        </w:tc>
        <w:tc>
          <w:tcPr>
            <w:tcW w:type="dxa" w:w="2268"/>
            <w:shd w:val="clear" w:color="auto" w:fill="F4F2FA"/>
          </w:tcPr>
          <w:p>
            <w:pPr>
              <w:spacing w:after="20" w:before="20" w:line="264" w:lineRule="auto"/>
            </w:pPr>
            <w:r>
              <w:rPr>
                <w:rFonts w:ascii="Arial" w:hAnsi="Arial"/>
                <w:sz w:val="19"/>
              </w:rPr>
              <w:t>20.0</w:t>
            </w:r>
          </w:p>
        </w:tc>
      </w:tr>
      <w:tr>
        <w:trPr>
          <w:cantSplit/>
        </w:trPr>
        <w:tc>
          <w:tcPr>
            <w:tcW w:type="dxa" w:w="2948"/>
          </w:tcPr>
          <w:p>
            <w:pPr>
              <w:spacing w:after="20" w:before="20" w:line="264" w:lineRule="auto"/>
            </w:pPr>
            <w:r>
              <w:rPr>
                <w:rFonts w:ascii="Arial" w:hAnsi="Arial"/>
                <w:sz w:val="19"/>
              </w:rPr>
              <w:t>File security</w:t>
            </w:r>
          </w:p>
        </w:tc>
        <w:tc>
          <w:tcPr>
            <w:tcW w:type="dxa" w:w="1247"/>
          </w:tcPr>
          <w:p>
            <w:pPr>
              <w:spacing w:after="20" w:before="20" w:line="264" w:lineRule="auto"/>
            </w:pPr>
            <w:r>
              <w:rPr>
                <w:rFonts w:ascii="Arial" w:hAnsi="Arial"/>
                <w:sz w:val="19"/>
              </w:rPr>
              <w:t>40</w:t>
            </w:r>
          </w:p>
        </w:tc>
        <w:tc>
          <w:tcPr>
            <w:tcW w:type="dxa" w:w="2494"/>
          </w:tcPr>
          <w:p>
            <w:pPr>
              <w:spacing w:after="20" w:before="20" w:line="264" w:lineRule="auto"/>
            </w:pPr>
            <w:r>
              <w:rPr>
                <w:rFonts w:ascii="Arial" w:hAnsi="Arial"/>
                <w:sz w:val="19"/>
              </w:rPr>
              <w:t>4</w:t>
            </w:r>
          </w:p>
        </w:tc>
        <w:tc>
          <w:tcPr>
            <w:tcW w:type="dxa" w:w="2268"/>
          </w:tcPr>
          <w:p>
            <w:pPr>
              <w:spacing w:after="20" w:before="20" w:line="264" w:lineRule="auto"/>
            </w:pPr>
            <w:r>
              <w:rPr>
                <w:rFonts w:ascii="Arial" w:hAnsi="Arial"/>
                <w:sz w:val="19"/>
              </w:rPr>
              <w:t>18.0</w:t>
            </w:r>
          </w:p>
        </w:tc>
      </w:tr>
      <w:tr>
        <w:trPr>
          <w:cantSplit/>
        </w:trPr>
        <w:tc>
          <w:tcPr>
            <w:tcW w:type="dxa" w:w="2948"/>
            <w:shd w:val="clear" w:color="auto" w:fill="F4F2FA"/>
          </w:tcPr>
          <w:p>
            <w:pPr>
              <w:spacing w:after="20" w:before="20" w:line="264" w:lineRule="auto"/>
            </w:pPr>
            <w:r>
              <w:rPr>
                <w:rFonts w:ascii="Arial" w:hAnsi="Arial"/>
                <w:sz w:val="19"/>
              </w:rPr>
              <w:t>Document forensics</w:t>
            </w:r>
          </w:p>
        </w:tc>
        <w:tc>
          <w:tcPr>
            <w:tcW w:type="dxa" w:w="1247"/>
            <w:shd w:val="clear" w:color="auto" w:fill="F4F2FA"/>
          </w:tcPr>
          <w:p>
            <w:pPr>
              <w:spacing w:after="20" w:before="20" w:line="264" w:lineRule="auto"/>
            </w:pPr>
            <w:r>
              <w:rPr>
                <w:rFonts w:ascii="Arial" w:hAnsi="Arial"/>
                <w:sz w:val="19"/>
              </w:rPr>
              <w:t>34</w:t>
            </w:r>
          </w:p>
        </w:tc>
        <w:tc>
          <w:tcPr>
            <w:tcW w:type="dxa" w:w="2494"/>
            <w:shd w:val="clear" w:color="auto" w:fill="F4F2FA"/>
          </w:tcPr>
          <w:p>
            <w:pPr>
              <w:spacing w:after="20" w:before="20" w:line="264" w:lineRule="auto"/>
            </w:pPr>
            <w:r>
              <w:rPr>
                <w:rFonts w:ascii="Arial" w:hAnsi="Arial"/>
                <w:sz w:val="19"/>
              </w:rPr>
              <w:t>21</w:t>
            </w:r>
          </w:p>
        </w:tc>
        <w:tc>
          <w:tcPr>
            <w:tcW w:type="dxa" w:w="2268"/>
            <w:shd w:val="clear" w:color="auto" w:fill="F4F2FA"/>
          </w:tcPr>
          <w:p>
            <w:pPr>
              <w:spacing w:after="20" w:before="20" w:line="264" w:lineRule="auto"/>
            </w:pPr>
            <w:r>
              <w:rPr>
                <w:rFonts w:ascii="Arial" w:hAnsi="Arial"/>
                <w:sz w:val="19"/>
              </w:rPr>
              <w:t>11.0</w:t>
            </w:r>
          </w:p>
        </w:tc>
      </w:tr>
      <w:tr>
        <w:trPr>
          <w:cantSplit/>
        </w:trPr>
        <w:tc>
          <w:tcPr>
            <w:tcW w:type="dxa" w:w="2948"/>
          </w:tcPr>
          <w:p>
            <w:pPr>
              <w:spacing w:after="20" w:before="20" w:line="264" w:lineRule="auto"/>
            </w:pPr>
            <w:r>
              <w:rPr>
                <w:rFonts w:ascii="Arial" w:hAnsi="Arial"/>
                <w:sz w:val="19"/>
              </w:rPr>
              <w:t>Metadata provenance</w:t>
            </w:r>
          </w:p>
        </w:tc>
        <w:tc>
          <w:tcPr>
            <w:tcW w:type="dxa" w:w="1247"/>
          </w:tcPr>
          <w:p>
            <w:pPr>
              <w:spacing w:after="20" w:before="20" w:line="264" w:lineRule="auto"/>
            </w:pPr>
            <w:r>
              <w:rPr>
                <w:rFonts w:ascii="Arial" w:hAnsi="Arial"/>
                <w:sz w:val="19"/>
              </w:rPr>
              <w:t>24</w:t>
            </w:r>
          </w:p>
        </w:tc>
        <w:tc>
          <w:tcPr>
            <w:tcW w:type="dxa" w:w="2494"/>
          </w:tcPr>
          <w:p>
            <w:pPr>
              <w:spacing w:after="20" w:before="20" w:line="264" w:lineRule="auto"/>
            </w:pPr>
            <w:r>
              <w:rPr>
                <w:rFonts w:ascii="Arial" w:hAnsi="Arial"/>
                <w:sz w:val="19"/>
              </w:rPr>
              <w:t>12</w:t>
            </w:r>
          </w:p>
        </w:tc>
        <w:tc>
          <w:tcPr>
            <w:tcW w:type="dxa" w:w="2268"/>
          </w:tcPr>
          <w:p>
            <w:pPr>
              <w:spacing w:after="20" w:before="20" w:line="264" w:lineRule="auto"/>
            </w:pPr>
            <w:r>
              <w:rPr>
                <w:rFonts w:ascii="Arial" w:hAnsi="Arial"/>
                <w:sz w:val="19"/>
              </w:rPr>
              <w:t>10.0</w:t>
            </w:r>
          </w:p>
        </w:tc>
      </w:tr>
      <w:tr>
        <w:trPr>
          <w:cantSplit/>
        </w:trPr>
        <w:tc>
          <w:tcPr>
            <w:tcW w:type="dxa" w:w="2948"/>
            <w:shd w:val="clear" w:color="auto" w:fill="F4F2FA"/>
          </w:tcPr>
          <w:p>
            <w:pPr>
              <w:spacing w:after="20" w:before="20" w:line="264" w:lineRule="auto"/>
            </w:pPr>
            <w:r>
              <w:rPr>
                <w:rFonts w:ascii="Arial" w:hAnsi="Arial"/>
                <w:sz w:val="19"/>
              </w:rPr>
              <w:t>Synthetic-media indicators</w:t>
            </w:r>
          </w:p>
        </w:tc>
        <w:tc>
          <w:tcPr>
            <w:tcW w:type="dxa" w:w="1247"/>
            <w:shd w:val="clear" w:color="auto" w:fill="F4F2FA"/>
          </w:tcPr>
          <w:p>
            <w:pPr>
              <w:spacing w:after="20" w:before="20" w:line="264" w:lineRule="auto"/>
            </w:pPr>
            <w:r>
              <w:rPr>
                <w:rFonts w:ascii="Arial" w:hAnsi="Arial"/>
                <w:sz w:val="19"/>
              </w:rPr>
              <w:t>20</w:t>
            </w:r>
          </w:p>
        </w:tc>
        <w:tc>
          <w:tcPr>
            <w:tcW w:type="dxa" w:w="2494"/>
            <w:shd w:val="clear" w:color="auto" w:fill="F4F2FA"/>
          </w:tcPr>
          <w:p>
            <w:pPr>
              <w:spacing w:after="20" w:before="20" w:line="264" w:lineRule="auto"/>
            </w:pPr>
            <w:r>
              <w:rPr>
                <w:rFonts w:ascii="Arial" w:hAnsi="Arial"/>
                <w:sz w:val="19"/>
              </w:rPr>
              <w:t>1</w:t>
            </w:r>
          </w:p>
        </w:tc>
        <w:tc>
          <w:tcPr>
            <w:tcW w:type="dxa" w:w="2268"/>
            <w:shd w:val="clear" w:color="auto" w:fill="F4F2FA"/>
          </w:tcPr>
          <w:p>
            <w:pPr>
              <w:spacing w:after="20" w:before="20" w:line="264" w:lineRule="auto"/>
            </w:pPr>
            <w:r>
              <w:rPr>
                <w:rFonts w:ascii="Arial" w:hAnsi="Arial"/>
                <w:sz w:val="19"/>
              </w:rPr>
              <w:t>12.0</w:t>
            </w:r>
          </w:p>
        </w:tc>
      </w:tr>
    </w:tbl>
    <w:p>
      <w:pPr>
        <w:spacing w:after="40"/>
      </w:pPr>
    </w:p>
    <w:p>
      <w:pPr>
        <w:keepNext/>
        <w:spacing w:after="60" w:before="120"/>
      </w:pPr>
      <w:r>
        <w:rPr>
          <w:rFonts w:ascii="Arial" w:hAnsi="Arial"/>
          <w:b/>
          <w:color w:val="381A89"/>
          <w:sz w:val="18"/>
        </w:rPr>
        <w:t xml:space="preserve">Table 32. </w:t>
      </w:r>
      <w:r>
        <w:rPr>
          <w:rFonts w:ascii="Arial" w:hAnsi="Arial"/>
          <w:color w:val="55516B"/>
          <w:sz w:val="18"/>
        </w:rPr>
        <w:t>Highest and lowest seeded weights, illustrating the model's ordering of evidence.</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3515"/>
            <w:shd w:val="clear" w:color="auto" w:fill="2E1C6B"/>
          </w:tcPr>
          <w:p>
            <w:pPr>
              <w:spacing w:after="20" w:before="20" w:line="252" w:lineRule="auto"/>
            </w:pPr>
            <w:r>
              <w:rPr>
                <w:rFonts w:ascii="Arial" w:hAnsi="Arial"/>
                <w:b/>
                <w:color w:val="FFFFFF"/>
                <w:sz w:val="18"/>
              </w:rPr>
              <w:t>Finding code</w:t>
            </w:r>
          </w:p>
        </w:tc>
        <w:tc>
          <w:tcPr>
            <w:tcW w:type="dxa" w:w="1020"/>
            <w:shd w:val="clear" w:color="auto" w:fill="2E1C6B"/>
          </w:tcPr>
          <w:p>
            <w:pPr>
              <w:spacing w:after="20" w:before="20" w:line="252" w:lineRule="auto"/>
            </w:pPr>
            <w:r>
              <w:rPr>
                <w:rFonts w:ascii="Arial" w:hAnsi="Arial"/>
                <w:b/>
                <w:color w:val="FFFFFF"/>
                <w:sz w:val="18"/>
              </w:rPr>
              <w:t>Weight</w:t>
            </w:r>
          </w:p>
        </w:tc>
        <w:tc>
          <w:tcPr>
            <w:tcW w:type="dxa" w:w="4422"/>
            <w:shd w:val="clear" w:color="auto" w:fill="2E1C6B"/>
          </w:tcPr>
          <w:p>
            <w:pPr>
              <w:spacing w:after="20" w:before="20" w:line="252" w:lineRule="auto"/>
            </w:pPr>
            <w:r>
              <w:rPr>
                <w:rFonts w:ascii="Arial" w:hAnsi="Arial"/>
                <w:b/>
                <w:color w:val="FFFFFF"/>
                <w:sz w:val="18"/>
              </w:rPr>
              <w:t>Rationale</w:t>
            </w:r>
          </w:p>
        </w:tc>
      </w:tr>
      <w:tr>
        <w:trPr>
          <w:cantSplit/>
        </w:trPr>
        <w:tc>
          <w:tcPr>
            <w:tcW w:type="dxa" w:w="3515"/>
          </w:tcPr>
          <w:p>
            <w:pPr>
              <w:spacing w:after="20" w:before="20" w:line="264" w:lineRule="auto"/>
            </w:pPr>
            <w:r>
              <w:rPr>
                <w:rFonts w:ascii="Consolas" w:hAnsi="Consolas"/>
                <w:color w:val="381A89"/>
                <w:sz w:val="17"/>
              </w:rPr>
              <w:t>SEC_MALWARE_SIGNATURE</w:t>
            </w:r>
          </w:p>
        </w:tc>
        <w:tc>
          <w:tcPr>
            <w:tcW w:type="dxa" w:w="1020"/>
          </w:tcPr>
          <w:p>
            <w:pPr>
              <w:spacing w:after="20" w:before="20" w:line="264" w:lineRule="auto"/>
            </w:pPr>
            <w:r>
              <w:rPr>
                <w:rFonts w:ascii="Arial" w:hAnsi="Arial"/>
                <w:sz w:val="19"/>
              </w:rPr>
              <w:t>30.0</w:t>
            </w:r>
          </w:p>
        </w:tc>
        <w:tc>
          <w:tcPr>
            <w:tcW w:type="dxa" w:w="4422"/>
          </w:tcPr>
          <w:p>
            <w:pPr>
              <w:spacing w:after="20" w:before="20" w:line="264" w:lineRule="auto"/>
            </w:pPr>
            <w:r>
              <w:rPr>
                <w:rFonts w:ascii="Arial" w:hAnsi="Arial"/>
                <w:sz w:val="19"/>
              </w:rPr>
              <w:t>A malicious file is decisive about the submission.</w:t>
            </w:r>
          </w:p>
        </w:tc>
      </w:tr>
      <w:tr>
        <w:trPr>
          <w:cantSplit/>
        </w:trPr>
        <w:tc>
          <w:tcPr>
            <w:tcW w:type="dxa" w:w="3515"/>
            <w:shd w:val="clear" w:color="auto" w:fill="F4F2FA"/>
          </w:tcPr>
          <w:p>
            <w:pPr>
              <w:spacing w:after="20" w:before="20" w:line="264" w:lineRule="auto"/>
            </w:pPr>
            <w:r>
              <w:rPr>
                <w:rFonts w:ascii="Consolas" w:hAnsi="Consolas"/>
                <w:color w:val="381A89"/>
                <w:sz w:val="17"/>
              </w:rPr>
              <w:t>VERIFY_IDENTITY_LOOKUP_MISMATCH</w:t>
            </w:r>
          </w:p>
        </w:tc>
        <w:tc>
          <w:tcPr>
            <w:tcW w:type="dxa" w:w="1020"/>
            <w:shd w:val="clear" w:color="auto" w:fill="F4F2FA"/>
          </w:tcPr>
          <w:p>
            <w:pPr>
              <w:spacing w:after="20" w:before="20" w:line="264" w:lineRule="auto"/>
            </w:pPr>
            <w:r>
              <w:rPr>
                <w:rFonts w:ascii="Arial" w:hAnsi="Arial"/>
                <w:sz w:val="19"/>
              </w:rPr>
              <w:t>30.0</w:t>
            </w:r>
          </w:p>
        </w:tc>
        <w:tc>
          <w:tcPr>
            <w:tcW w:type="dxa" w:w="4422"/>
            <w:shd w:val="clear" w:color="auto" w:fill="F4F2FA"/>
          </w:tcPr>
          <w:p>
            <w:pPr>
              <w:spacing w:after="20" w:before="20" w:line="264" w:lineRule="auto"/>
            </w:pPr>
            <w:r>
              <w:rPr>
                <w:rFonts w:ascii="Arial" w:hAnsi="Arial"/>
                <w:sz w:val="19"/>
              </w:rPr>
              <w:t>The issuing authority's record contradicts the document.</w:t>
            </w:r>
          </w:p>
        </w:tc>
      </w:tr>
      <w:tr>
        <w:trPr>
          <w:cantSplit/>
        </w:trPr>
        <w:tc>
          <w:tcPr>
            <w:tcW w:type="dxa" w:w="3515"/>
          </w:tcPr>
          <w:p>
            <w:pPr>
              <w:spacing w:after="20" w:before="20" w:line="264" w:lineRule="auto"/>
            </w:pPr>
            <w:r>
              <w:rPr>
                <w:rFonts w:ascii="Consolas" w:hAnsi="Consolas"/>
                <w:color w:val="381A89"/>
                <w:sz w:val="17"/>
              </w:rPr>
              <w:t>VERIFY_POLICY_LOOKUP_MISMATCH</w:t>
            </w:r>
          </w:p>
        </w:tc>
        <w:tc>
          <w:tcPr>
            <w:tcW w:type="dxa" w:w="1020"/>
          </w:tcPr>
          <w:p>
            <w:pPr>
              <w:spacing w:after="20" w:before="20" w:line="264" w:lineRule="auto"/>
            </w:pPr>
            <w:r>
              <w:rPr>
                <w:rFonts w:ascii="Arial" w:hAnsi="Arial"/>
                <w:sz w:val="19"/>
              </w:rPr>
              <w:t>28.0</w:t>
            </w:r>
          </w:p>
        </w:tc>
        <w:tc>
          <w:tcPr>
            <w:tcW w:type="dxa" w:w="4422"/>
          </w:tcPr>
          <w:p>
            <w:pPr>
              <w:spacing w:after="20" w:before="20" w:line="264" w:lineRule="auto"/>
            </w:pPr>
            <w:r>
              <w:rPr>
                <w:rFonts w:ascii="Arial" w:hAnsi="Arial"/>
                <w:sz w:val="19"/>
              </w:rPr>
              <w:t>The insurer's own record contradicts the document.</w:t>
            </w:r>
          </w:p>
        </w:tc>
      </w:tr>
      <w:tr>
        <w:trPr>
          <w:cantSplit/>
        </w:trPr>
        <w:tc>
          <w:tcPr>
            <w:tcW w:type="dxa" w:w="3515"/>
            <w:shd w:val="clear" w:color="auto" w:fill="F4F2FA"/>
          </w:tcPr>
          <w:p>
            <w:pPr>
              <w:spacing w:after="20" w:before="20" w:line="264" w:lineRule="auto"/>
            </w:pPr>
            <w:r>
              <w:rPr>
                <w:rFonts w:ascii="Consolas" w:hAnsi="Consolas"/>
                <w:color w:val="381A89"/>
                <w:sz w:val="17"/>
              </w:rPr>
              <w:t>VERIFY_INVOICE_LOOKUP_MISMATCH</w:t>
            </w:r>
          </w:p>
        </w:tc>
        <w:tc>
          <w:tcPr>
            <w:tcW w:type="dxa" w:w="1020"/>
            <w:shd w:val="clear" w:color="auto" w:fill="F4F2FA"/>
          </w:tcPr>
          <w:p>
            <w:pPr>
              <w:spacing w:after="20" w:before="20" w:line="264" w:lineRule="auto"/>
            </w:pPr>
            <w:r>
              <w:rPr>
                <w:rFonts w:ascii="Arial" w:hAnsi="Arial"/>
                <w:sz w:val="19"/>
              </w:rPr>
              <w:t>28.0</w:t>
            </w:r>
          </w:p>
        </w:tc>
        <w:tc>
          <w:tcPr>
            <w:tcW w:type="dxa" w:w="4422"/>
            <w:shd w:val="clear" w:color="auto" w:fill="F4F2FA"/>
          </w:tcPr>
          <w:p>
            <w:pPr>
              <w:spacing w:after="20" w:before="20" w:line="264" w:lineRule="auto"/>
            </w:pPr>
            <w:r>
              <w:rPr>
                <w:rFonts w:ascii="Arial" w:hAnsi="Arial"/>
                <w:sz w:val="19"/>
              </w:rPr>
              <w:t>The issuer's billing record contradicts the amount.</w:t>
            </w:r>
          </w:p>
        </w:tc>
      </w:tr>
      <w:tr>
        <w:trPr>
          <w:cantSplit/>
        </w:trPr>
        <w:tc>
          <w:tcPr>
            <w:tcW w:type="dxa" w:w="3515"/>
          </w:tcPr>
          <w:p>
            <w:pPr>
              <w:spacing w:after="20" w:before="20" w:line="264" w:lineRule="auto"/>
            </w:pPr>
            <w:r>
              <w:rPr>
                <w:rFonts w:ascii="Consolas" w:hAnsi="Consolas"/>
                <w:color w:val="381A89"/>
                <w:sz w:val="17"/>
              </w:rPr>
              <w:t>TAMPER_EDITED_AMOUNT</w:t>
            </w:r>
          </w:p>
        </w:tc>
        <w:tc>
          <w:tcPr>
            <w:tcW w:type="dxa" w:w="1020"/>
          </w:tcPr>
          <w:p>
            <w:pPr>
              <w:spacing w:after="20" w:before="20" w:line="264" w:lineRule="auto"/>
            </w:pPr>
            <w:r>
              <w:rPr>
                <w:rFonts w:ascii="Arial" w:hAnsi="Arial"/>
                <w:sz w:val="19"/>
              </w:rPr>
              <w:t>24.0</w:t>
            </w:r>
          </w:p>
        </w:tc>
        <w:tc>
          <w:tcPr>
            <w:tcW w:type="dxa" w:w="4422"/>
          </w:tcPr>
          <w:p>
            <w:pPr>
              <w:spacing w:after="20" w:before="20" w:line="264" w:lineRule="auto"/>
            </w:pPr>
            <w:r>
              <w:rPr>
                <w:rFonts w:ascii="Arial" w:hAnsi="Arial"/>
                <w:sz w:val="19"/>
              </w:rPr>
              <w:t>Independent detectors agree on a region covering a money field.</w:t>
            </w:r>
          </w:p>
        </w:tc>
      </w:tr>
      <w:tr>
        <w:trPr>
          <w:cantSplit/>
        </w:trPr>
        <w:tc>
          <w:tcPr>
            <w:tcW w:type="dxa" w:w="3515"/>
            <w:shd w:val="clear" w:color="auto" w:fill="F4F2FA"/>
          </w:tcPr>
          <w:p>
            <w:pPr>
              <w:spacing w:after="20" w:before="20" w:line="264" w:lineRule="auto"/>
            </w:pPr>
            <w:r>
              <w:rPr>
                <w:rFonts w:ascii="Consolas" w:hAnsi="Consolas"/>
                <w:color w:val="381A89"/>
                <w:sz w:val="17"/>
              </w:rPr>
              <w:t>XDOC_TOTAL_MISMATCH</w:t>
            </w:r>
          </w:p>
        </w:tc>
        <w:tc>
          <w:tcPr>
            <w:tcW w:type="dxa" w:w="1020"/>
            <w:shd w:val="clear" w:color="auto" w:fill="F4F2FA"/>
          </w:tcPr>
          <w:p>
            <w:pPr>
              <w:spacing w:after="20" w:before="20" w:line="264" w:lineRule="auto"/>
            </w:pPr>
            <w:r>
              <w:rPr>
                <w:rFonts w:ascii="Arial" w:hAnsi="Arial"/>
                <w:sz w:val="19"/>
              </w:rPr>
              <w:t>24.0</w:t>
            </w:r>
          </w:p>
        </w:tc>
        <w:tc>
          <w:tcPr>
            <w:tcW w:type="dxa" w:w="4422"/>
            <w:shd w:val="clear" w:color="auto" w:fill="F4F2FA"/>
          </w:tcPr>
          <w:p>
            <w:pPr>
              <w:spacing w:after="20" w:before="20" w:line="264" w:lineRule="auto"/>
            </w:pPr>
            <w:r>
              <w:rPr>
                <w:rFonts w:ascii="Arial" w:hAnsi="Arial"/>
                <w:sz w:val="19"/>
              </w:rPr>
              <w:t>Two documents in one bundle state different totals for one invoice.</w:t>
            </w:r>
          </w:p>
        </w:tc>
      </w:tr>
      <w:tr>
        <w:trPr>
          <w:cantSplit/>
        </w:trPr>
        <w:tc>
          <w:tcPr>
            <w:tcW w:type="dxa" w:w="3515"/>
          </w:tcPr>
          <w:p>
            <w:pPr>
              <w:spacing w:after="20" w:before="20" w:line="264" w:lineRule="auto"/>
            </w:pPr>
            <w:r>
              <w:rPr>
                <w:rFonts w:ascii="Consolas" w:hAnsi="Consolas"/>
                <w:color w:val="381A89"/>
                <w:sz w:val="17"/>
              </w:rPr>
              <w:t>XDOC_CLAIM_TOTAL_MISMATCH</w:t>
            </w:r>
          </w:p>
        </w:tc>
        <w:tc>
          <w:tcPr>
            <w:tcW w:type="dxa" w:w="1020"/>
          </w:tcPr>
          <w:p>
            <w:pPr>
              <w:spacing w:after="20" w:before="20" w:line="264" w:lineRule="auto"/>
            </w:pPr>
            <w:r>
              <w:rPr>
                <w:rFonts w:ascii="Arial" w:hAnsi="Arial"/>
                <w:sz w:val="19"/>
              </w:rPr>
              <w:t>23.0</w:t>
            </w:r>
          </w:p>
        </w:tc>
        <w:tc>
          <w:tcPr>
            <w:tcW w:type="dxa" w:w="4422"/>
          </w:tcPr>
          <w:p>
            <w:pPr>
              <w:spacing w:after="20" w:before="20" w:line="264" w:lineRule="auto"/>
            </w:pPr>
            <w:r>
              <w:rPr>
                <w:rFonts w:ascii="Arial" w:hAnsi="Arial"/>
                <w:sz w:val="19"/>
              </w:rPr>
              <w:t>The document contradicts the claim record.</w:t>
            </w:r>
          </w:p>
        </w:tc>
      </w:tr>
      <w:tr>
        <w:trPr>
          <w:cantSplit/>
        </w:trPr>
        <w:tc>
          <w:tcPr>
            <w:tcW w:type="dxa" w:w="3515"/>
            <w:shd w:val="clear" w:color="auto" w:fill="F4F2FA"/>
          </w:tcPr>
          <w:p>
            <w:pPr>
              <w:spacing w:after="20" w:before="20" w:line="264" w:lineRule="auto"/>
            </w:pPr>
            <w:r>
              <w:rPr>
                <w:rFonts w:ascii="Consolas" w:hAnsi="Consolas"/>
                <w:color w:val="381A89"/>
                <w:sz w:val="17"/>
              </w:rPr>
              <w:t>PDF_TEXT_FONT_MIX_IN_LINE</w:t>
            </w:r>
          </w:p>
        </w:tc>
        <w:tc>
          <w:tcPr>
            <w:tcW w:type="dxa" w:w="1020"/>
            <w:shd w:val="clear" w:color="auto" w:fill="F4F2FA"/>
          </w:tcPr>
          <w:p>
            <w:pPr>
              <w:spacing w:after="20" w:before="20" w:line="264" w:lineRule="auto"/>
            </w:pPr>
            <w:r>
              <w:rPr>
                <w:rFonts w:ascii="Arial" w:hAnsi="Arial"/>
                <w:sz w:val="19"/>
              </w:rPr>
              <w:t>19.0</w:t>
            </w:r>
          </w:p>
        </w:tc>
        <w:tc>
          <w:tcPr>
            <w:tcW w:type="dxa" w:w="4422"/>
            <w:shd w:val="clear" w:color="auto" w:fill="F4F2FA"/>
          </w:tcPr>
          <w:p>
            <w:pPr>
              <w:spacing w:after="20" w:before="20" w:line="264" w:lineRule="auto"/>
            </w:pPr>
            <w:r>
              <w:rPr>
                <w:rFonts w:ascii="Arial" w:hAnsi="Arial"/>
                <w:sz w:val="19"/>
              </w:rPr>
              <w:t>An exact structural fact, not a statistical inference.</w:t>
            </w:r>
          </w:p>
        </w:tc>
      </w:tr>
      <w:tr>
        <w:trPr>
          <w:cantSplit/>
        </w:trPr>
        <w:tc>
          <w:tcPr>
            <w:tcW w:type="dxa" w:w="3515"/>
          </w:tcPr>
          <w:p>
            <w:pPr>
              <w:spacing w:after="20" w:before="20" w:line="264" w:lineRule="auto"/>
            </w:pPr>
            <w:r>
              <w:rPr>
                <w:rFonts w:ascii="Consolas" w:hAnsi="Consolas"/>
                <w:color w:val="381A89"/>
                <w:sz w:val="17"/>
              </w:rPr>
              <w:t>LINE_ITEM_SUM_MISMATCH</w:t>
            </w:r>
          </w:p>
        </w:tc>
        <w:tc>
          <w:tcPr>
            <w:tcW w:type="dxa" w:w="1020"/>
          </w:tcPr>
          <w:p>
            <w:pPr>
              <w:spacing w:after="20" w:before="20" w:line="264" w:lineRule="auto"/>
            </w:pPr>
            <w:r>
              <w:rPr>
                <w:rFonts w:ascii="Arial" w:hAnsi="Arial"/>
                <w:sz w:val="19"/>
              </w:rPr>
              <w:t>18.0</w:t>
            </w:r>
          </w:p>
        </w:tc>
        <w:tc>
          <w:tcPr>
            <w:tcW w:type="dxa" w:w="4422"/>
          </w:tcPr>
          <w:p>
            <w:pPr>
              <w:spacing w:after="20" w:before="20" w:line="264" w:lineRule="auto"/>
            </w:pPr>
            <w:r>
              <w:rPr>
                <w:rFonts w:ascii="Arial" w:hAnsi="Arial"/>
                <w:sz w:val="19"/>
              </w:rPr>
              <w:t>Deterministic arithmetic on extracted values.</w:t>
            </w:r>
          </w:p>
        </w:tc>
      </w:tr>
      <w:tr>
        <w:trPr>
          <w:cantSplit/>
        </w:trPr>
        <w:tc>
          <w:tcPr>
            <w:tcW w:type="dxa" w:w="3515"/>
            <w:shd w:val="clear" w:color="auto" w:fill="F4F2FA"/>
          </w:tcPr>
          <w:p>
            <w:pPr>
              <w:spacing w:after="20" w:before="20" w:line="264" w:lineRule="auto"/>
            </w:pPr>
            <w:r>
              <w:rPr>
                <w:rFonts w:ascii="Consolas" w:hAnsi="Consolas"/>
                <w:color w:val="381A89"/>
                <w:sz w:val="17"/>
              </w:rPr>
              <w:t>PDF_MODDATE_BEFORE_CREATION</w:t>
            </w:r>
          </w:p>
        </w:tc>
        <w:tc>
          <w:tcPr>
            <w:tcW w:type="dxa" w:w="1020"/>
            <w:shd w:val="clear" w:color="auto" w:fill="F4F2FA"/>
          </w:tcPr>
          <w:p>
            <w:pPr>
              <w:spacing w:after="20" w:before="20" w:line="264" w:lineRule="auto"/>
            </w:pPr>
            <w:r>
              <w:rPr>
                <w:rFonts w:ascii="Arial" w:hAnsi="Arial"/>
                <w:sz w:val="19"/>
              </w:rPr>
              <w:t>16.0</w:t>
            </w:r>
          </w:p>
        </w:tc>
        <w:tc>
          <w:tcPr>
            <w:tcW w:type="dxa" w:w="4422"/>
            <w:shd w:val="clear" w:color="auto" w:fill="F4F2FA"/>
          </w:tcPr>
          <w:p>
            <w:pPr>
              <w:spacing w:after="20" w:before="20" w:line="264" w:lineRule="auto"/>
            </w:pPr>
            <w:r>
              <w:rPr>
                <w:rFonts w:ascii="Arial" w:hAnsi="Arial"/>
                <w:sz w:val="19"/>
              </w:rPr>
              <w:t>Impossible ordering, but trivially forgeable and often a clock error.</w:t>
            </w:r>
          </w:p>
        </w:tc>
      </w:tr>
      <w:tr>
        <w:trPr>
          <w:cantSplit/>
        </w:trPr>
        <w:tc>
          <w:tcPr>
            <w:tcW w:type="dxa" w:w="3515"/>
          </w:tcPr>
          <w:p>
            <w:pPr>
              <w:spacing w:after="20" w:before="20" w:line="264" w:lineRule="auto"/>
            </w:pPr>
            <w:r>
              <w:rPr>
                <w:rFonts w:ascii="Consolas" w:hAnsi="Consolas"/>
                <w:color w:val="381A89"/>
                <w:sz w:val="17"/>
              </w:rPr>
              <w:t>AIGC_SYNTHETIC_INDICATORS</w:t>
            </w:r>
          </w:p>
        </w:tc>
        <w:tc>
          <w:tcPr>
            <w:tcW w:type="dxa" w:w="1020"/>
          </w:tcPr>
          <w:p>
            <w:pPr>
              <w:spacing w:after="20" w:before="20" w:line="264" w:lineRule="auto"/>
            </w:pPr>
            <w:r>
              <w:rPr>
                <w:rFonts w:ascii="Arial" w:hAnsi="Arial"/>
                <w:sz w:val="19"/>
              </w:rPr>
              <w:t>13.0</w:t>
            </w:r>
          </w:p>
        </w:tc>
        <w:tc>
          <w:tcPr>
            <w:tcW w:type="dxa" w:w="4422"/>
          </w:tcPr>
          <w:p>
            <w:pPr>
              <w:spacing w:after="20" w:before="20" w:line="264" w:lineRule="auto"/>
            </w:pPr>
            <w:r>
              <w:rPr>
                <w:rFonts w:ascii="Arial" w:hAnsi="Arial"/>
                <w:sz w:val="19"/>
              </w:rPr>
              <w:t>Deliberately modest: the bundled provider is a heuristic.</w:t>
            </w:r>
          </w:p>
        </w:tc>
      </w:tr>
      <w:tr>
        <w:trPr>
          <w:cantSplit/>
        </w:trPr>
        <w:tc>
          <w:tcPr>
            <w:tcW w:type="dxa" w:w="3515"/>
            <w:shd w:val="clear" w:color="auto" w:fill="F4F2FA"/>
          </w:tcPr>
          <w:p>
            <w:pPr>
              <w:spacing w:after="20" w:before="20" w:line="264" w:lineRule="auto"/>
            </w:pPr>
            <w:r>
              <w:rPr>
                <w:rFonts w:ascii="Consolas" w:hAnsi="Consolas"/>
                <w:color w:val="381A89"/>
                <w:sz w:val="17"/>
              </w:rPr>
              <w:t>IMG_LOW_JPEG_QUALITY</w:t>
            </w:r>
          </w:p>
        </w:tc>
        <w:tc>
          <w:tcPr>
            <w:tcW w:type="dxa" w:w="1020"/>
            <w:shd w:val="clear" w:color="auto" w:fill="F4F2FA"/>
          </w:tcPr>
          <w:p>
            <w:pPr>
              <w:spacing w:after="20" w:before="20" w:line="264" w:lineRule="auto"/>
            </w:pPr>
            <w:r>
              <w:rPr>
                <w:rFonts w:ascii="Arial" w:hAnsi="Arial"/>
                <w:sz w:val="19"/>
              </w:rPr>
              <w:t>4.0</w:t>
            </w:r>
          </w:p>
        </w:tc>
        <w:tc>
          <w:tcPr>
            <w:tcW w:type="dxa" w:w="4422"/>
            <w:shd w:val="clear" w:color="auto" w:fill="F4F2FA"/>
          </w:tcPr>
          <w:p>
            <w:pPr>
              <w:spacing w:after="20" w:before="20" w:line="264" w:lineRule="auto"/>
            </w:pPr>
            <w:r>
              <w:rPr>
                <w:rFonts w:ascii="Arial" w:hAnsi="Arial"/>
                <w:sz w:val="19"/>
              </w:rPr>
              <w:t>Informative about coverage rather than about the document.</w:t>
            </w:r>
          </w:p>
        </w:tc>
      </w:tr>
    </w:tbl>
    <w:p>
      <w:pPr>
        <w:spacing w:after="40"/>
      </w:pPr>
    </w:p>
    <w:p>
      <w:r>
        <w:br w:type="page"/>
      </w:r>
    </w:p>
    <w:p>
      <w:pPr>
        <w:pStyle w:val="Heading1"/>
      </w:pPr>
      <w:r>
        <w:t>Appendix C  API Endpoint Reference</w:t>
      </w:r>
    </w:p>
    <w:p>
      <w:pPr>
        <w:spacing w:after="160"/>
        <w:jc w:val="both"/>
      </w:pPr>
      <w:r>
        <w:t xml:space="preserve">58 endpoints across 12 routers, all under </w:t>
      </w:r>
      <w:r>
        <w:rPr>
          <w:rFonts w:ascii="Consolas" w:hAnsi="Consolas"/>
          <w:color w:val="381A89"/>
          <w:sz w:val="20"/>
        </w:rPr>
        <w:t>/api</w:t>
      </w:r>
      <w:r>
        <w:t xml:space="preserve">. Interactive documentation is served at </w:t>
      </w:r>
      <w:r>
        <w:rPr>
          <w:rFonts w:ascii="Consolas" w:hAnsi="Consolas"/>
          <w:color w:val="381A89"/>
          <w:sz w:val="20"/>
        </w:rPr>
        <w:t>/docs</w:t>
      </w:r>
      <w:r>
        <w:t xml:space="preserve"> and the schema at </w:t>
      </w:r>
      <w:r>
        <w:rPr>
          <w:rFonts w:ascii="Consolas" w:hAnsi="Consolas"/>
          <w:color w:val="381A89"/>
          <w:sz w:val="20"/>
        </w:rPr>
        <w:t>/openapi.json</w:t>
      </w:r>
      <w:r>
        <w:t xml:space="preserve">. Every mutating endpoint declares the permission it requires and enforces it server-side. Errors are uniform: </w:t>
      </w:r>
      <w:r>
        <w:rPr>
          <w:rFonts w:ascii="Consolas" w:hAnsi="Consolas"/>
          <w:color w:val="381A89"/>
          <w:sz w:val="20"/>
        </w:rPr>
        <w:t>{"error": {"code", "message", "details", "retryable"}}</w:t>
      </w:r>
      <w:r>
        <w:t>.</w:t>
      </w:r>
    </w:p>
    <w:p>
      <w:pPr>
        <w:keepNext/>
        <w:spacing w:after="60" w:before="120"/>
      </w:pPr>
      <w:r>
        <w:rPr>
          <w:rFonts w:ascii="Arial" w:hAnsi="Arial"/>
          <w:b/>
          <w:color w:val="381A89"/>
          <w:sz w:val="18"/>
        </w:rPr>
        <w:t xml:space="preserve">Table 33. </w:t>
      </w:r>
      <w:r>
        <w:rPr>
          <w:rFonts w:ascii="Arial" w:hAnsi="Arial"/>
          <w:color w:val="55516B"/>
          <w:sz w:val="18"/>
        </w:rPr>
        <w:t>System and authentication endpoints.</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907"/>
            <w:shd w:val="clear" w:color="auto" w:fill="2E1C6B"/>
          </w:tcPr>
          <w:p>
            <w:pPr>
              <w:spacing w:after="20" w:before="20" w:line="252" w:lineRule="auto"/>
            </w:pPr>
            <w:r>
              <w:rPr>
                <w:rFonts w:ascii="Arial" w:hAnsi="Arial"/>
                <w:b/>
                <w:color w:val="FFFFFF"/>
                <w:sz w:val="17"/>
              </w:rPr>
              <w:t>Method</w:t>
            </w:r>
          </w:p>
        </w:tc>
        <w:tc>
          <w:tcPr>
            <w:tcW w:type="dxa" w:w="2608"/>
            <w:shd w:val="clear" w:color="auto" w:fill="2E1C6B"/>
          </w:tcPr>
          <w:p>
            <w:pPr>
              <w:spacing w:after="20" w:before="20" w:line="252" w:lineRule="auto"/>
            </w:pPr>
            <w:r>
              <w:rPr>
                <w:rFonts w:ascii="Arial" w:hAnsi="Arial"/>
                <w:b/>
                <w:color w:val="FFFFFF"/>
                <w:sz w:val="17"/>
              </w:rPr>
              <w:t>Path</w:t>
            </w:r>
          </w:p>
        </w:tc>
        <w:tc>
          <w:tcPr>
            <w:tcW w:type="dxa" w:w="1587"/>
            <w:shd w:val="clear" w:color="auto" w:fill="2E1C6B"/>
          </w:tcPr>
          <w:p>
            <w:pPr>
              <w:spacing w:after="20" w:before="20" w:line="252" w:lineRule="auto"/>
            </w:pPr>
            <w:r>
              <w:rPr>
                <w:rFonts w:ascii="Arial" w:hAnsi="Arial"/>
                <w:b/>
                <w:color w:val="FFFFFF"/>
                <w:sz w:val="17"/>
              </w:rPr>
              <w:t>Permission</w:t>
            </w:r>
          </w:p>
        </w:tc>
        <w:tc>
          <w:tcPr>
            <w:tcW w:type="dxa" w:w="3855"/>
            <w:shd w:val="clear" w:color="auto" w:fill="2E1C6B"/>
          </w:tcPr>
          <w:p>
            <w:pPr>
              <w:spacing w:after="20" w:before="20" w:line="252" w:lineRule="auto"/>
            </w:pPr>
            <w:r>
              <w:rPr>
                <w:rFonts w:ascii="Arial" w:hAnsi="Arial"/>
                <w:b/>
                <w:color w:val="FFFFFF"/>
                <w:sz w:val="17"/>
              </w:rPr>
              <w:t>Purpose</w:t>
            </w:r>
          </w:p>
        </w:tc>
      </w:tr>
      <w:tr>
        <w:trPr>
          <w:cantSplit/>
        </w:trPr>
        <w:tc>
          <w:tcPr>
            <w:tcW w:type="dxa" w:w="907"/>
          </w:tcPr>
          <w:p>
            <w:pPr>
              <w:spacing w:after="20" w:before="20" w:line="264" w:lineRule="auto"/>
            </w:pPr>
            <w:r>
              <w:rPr>
                <w:rFonts w:ascii="Arial" w:hAnsi="Arial"/>
                <w:sz w:val="18"/>
              </w:rPr>
              <w:t>GET</w:t>
            </w:r>
          </w:p>
        </w:tc>
        <w:tc>
          <w:tcPr>
            <w:tcW w:type="dxa" w:w="2608"/>
          </w:tcPr>
          <w:p>
            <w:pPr>
              <w:spacing w:after="20" w:before="20" w:line="264" w:lineRule="auto"/>
            </w:pPr>
            <w:r>
              <w:rPr>
                <w:rFonts w:ascii="Consolas" w:hAnsi="Consolas"/>
                <w:color w:val="381A89"/>
                <w:sz w:val="16"/>
              </w:rPr>
              <w:t>/health</w:t>
            </w:r>
          </w:p>
        </w:tc>
        <w:tc>
          <w:tcPr>
            <w:tcW w:type="dxa" w:w="1587"/>
          </w:tcPr>
          <w:p>
            <w:pPr>
              <w:spacing w:after="20" w:before="20" w:line="264" w:lineRule="auto"/>
            </w:pPr>
            <w:r>
              <w:rPr>
                <w:rFonts w:ascii="Arial" w:hAnsi="Arial"/>
                <w:sz w:val="18"/>
              </w:rPr>
              <w:t>—</w:t>
            </w:r>
          </w:p>
        </w:tc>
        <w:tc>
          <w:tcPr>
            <w:tcW w:type="dxa" w:w="3855"/>
          </w:tcPr>
          <w:p>
            <w:pPr>
              <w:spacing w:after="20" w:before="20" w:line="264" w:lineRule="auto"/>
            </w:pPr>
            <w:r>
              <w:rPr>
                <w:rFonts w:ascii="Arial" w:hAnsi="Arial"/>
                <w:sz w:val="18"/>
              </w:rPr>
              <w:t>Liveness probe.</w:t>
            </w:r>
          </w:p>
        </w:tc>
      </w:tr>
      <w:tr>
        <w:trPr>
          <w:cantSplit/>
        </w:trPr>
        <w:tc>
          <w:tcPr>
            <w:tcW w:type="dxa" w:w="907"/>
            <w:shd w:val="clear" w:color="auto" w:fill="F4F2FA"/>
          </w:tcPr>
          <w:p>
            <w:pPr>
              <w:spacing w:after="20" w:before="20" w:line="264" w:lineRule="auto"/>
            </w:pPr>
            <w:r>
              <w:rPr>
                <w:rFonts w:ascii="Arial" w:hAnsi="Arial"/>
                <w:sz w:val="18"/>
              </w:rPr>
              <w:t>GET</w:t>
            </w:r>
          </w:p>
        </w:tc>
        <w:tc>
          <w:tcPr>
            <w:tcW w:type="dxa" w:w="2608"/>
            <w:shd w:val="clear" w:color="auto" w:fill="F4F2FA"/>
          </w:tcPr>
          <w:p>
            <w:pPr>
              <w:spacing w:after="20" w:before="20" w:line="264" w:lineRule="auto"/>
            </w:pPr>
            <w:r>
              <w:rPr>
                <w:rFonts w:ascii="Consolas" w:hAnsi="Consolas"/>
                <w:color w:val="381A89"/>
                <w:sz w:val="16"/>
              </w:rPr>
              <w:t>/ready</w:t>
            </w:r>
          </w:p>
        </w:tc>
        <w:tc>
          <w:tcPr>
            <w:tcW w:type="dxa" w:w="1587"/>
            <w:shd w:val="clear" w:color="auto" w:fill="F4F2FA"/>
          </w:tcPr>
          <w:p>
            <w:pPr>
              <w:spacing w:after="20" w:before="20" w:line="264" w:lineRule="auto"/>
            </w:pPr>
            <w:r>
              <w:rPr>
                <w:rFonts w:ascii="Arial" w:hAnsi="Arial"/>
                <w:sz w:val="18"/>
              </w:rPr>
              <w:t>—</w:t>
            </w:r>
          </w:p>
        </w:tc>
        <w:tc>
          <w:tcPr>
            <w:tcW w:type="dxa" w:w="3855"/>
            <w:shd w:val="clear" w:color="auto" w:fill="F4F2FA"/>
          </w:tcPr>
          <w:p>
            <w:pPr>
              <w:spacing w:after="20" w:before="20" w:line="264" w:lineRule="auto"/>
            </w:pPr>
            <w:r>
              <w:rPr>
                <w:rFonts w:ascii="Arial" w:hAnsi="Arial"/>
                <w:sz w:val="18"/>
              </w:rPr>
              <w:t>Readiness: database, storage, queue, versions, environment.</w:t>
            </w:r>
          </w:p>
        </w:tc>
      </w:tr>
      <w:tr>
        <w:trPr>
          <w:cantSplit/>
        </w:trPr>
        <w:tc>
          <w:tcPr>
            <w:tcW w:type="dxa" w:w="907"/>
          </w:tcPr>
          <w:p>
            <w:pPr>
              <w:spacing w:after="20" w:before="20" w:line="264" w:lineRule="auto"/>
            </w:pPr>
            <w:r>
              <w:rPr>
                <w:rFonts w:ascii="Arial" w:hAnsi="Arial"/>
                <w:sz w:val="18"/>
              </w:rPr>
              <w:t>GET</w:t>
            </w:r>
          </w:p>
        </w:tc>
        <w:tc>
          <w:tcPr>
            <w:tcW w:type="dxa" w:w="2608"/>
          </w:tcPr>
          <w:p>
            <w:pPr>
              <w:spacing w:after="20" w:before="20" w:line="264" w:lineRule="auto"/>
            </w:pPr>
            <w:r>
              <w:rPr>
                <w:rFonts w:ascii="Consolas" w:hAnsi="Consolas"/>
                <w:color w:val="381A89"/>
                <w:sz w:val="16"/>
              </w:rPr>
              <w:t>/system/capabilities</w:t>
            </w:r>
          </w:p>
        </w:tc>
        <w:tc>
          <w:tcPr>
            <w:tcW w:type="dxa" w:w="1587"/>
          </w:tcPr>
          <w:p>
            <w:pPr>
              <w:spacing w:after="20" w:before="20" w:line="264" w:lineRule="auto"/>
            </w:pPr>
            <w:r>
              <w:rPr>
                <w:rFonts w:ascii="Arial" w:hAnsi="Arial"/>
                <w:sz w:val="18"/>
              </w:rPr>
              <w:t>—</w:t>
            </w:r>
          </w:p>
        </w:tc>
        <w:tc>
          <w:tcPr>
            <w:tcW w:type="dxa" w:w="3855"/>
          </w:tcPr>
          <w:p>
            <w:pPr>
              <w:spacing w:after="20" w:before="20" w:line="264" w:lineRule="auto"/>
            </w:pPr>
            <w:r>
              <w:rPr>
                <w:rFonts w:ascii="Arial" w:hAnsi="Arial"/>
                <w:sz w:val="18"/>
              </w:rPr>
              <w:t>Upload limits, provider availability, queue mode, versions.</w:t>
            </w:r>
          </w:p>
        </w:tc>
      </w:tr>
      <w:tr>
        <w:trPr>
          <w:cantSplit/>
        </w:trPr>
        <w:tc>
          <w:tcPr>
            <w:tcW w:type="dxa" w:w="907"/>
            <w:shd w:val="clear" w:color="auto" w:fill="F4F2FA"/>
          </w:tcPr>
          <w:p>
            <w:pPr>
              <w:spacing w:after="20" w:before="20" w:line="264" w:lineRule="auto"/>
            </w:pPr>
            <w:r>
              <w:rPr>
                <w:rFonts w:ascii="Arial" w:hAnsi="Arial"/>
                <w:sz w:val="18"/>
              </w:rPr>
              <w:t>POST</w:t>
            </w:r>
          </w:p>
        </w:tc>
        <w:tc>
          <w:tcPr>
            <w:tcW w:type="dxa" w:w="2608"/>
            <w:shd w:val="clear" w:color="auto" w:fill="F4F2FA"/>
          </w:tcPr>
          <w:p>
            <w:pPr>
              <w:spacing w:after="20" w:before="20" w:line="264" w:lineRule="auto"/>
            </w:pPr>
            <w:r>
              <w:rPr>
                <w:rFonts w:ascii="Consolas" w:hAnsi="Consolas"/>
                <w:color w:val="381A89"/>
                <w:sz w:val="16"/>
              </w:rPr>
              <w:t>/auth/login</w:t>
            </w:r>
          </w:p>
        </w:tc>
        <w:tc>
          <w:tcPr>
            <w:tcW w:type="dxa" w:w="1587"/>
            <w:shd w:val="clear" w:color="auto" w:fill="F4F2FA"/>
          </w:tcPr>
          <w:p>
            <w:pPr>
              <w:spacing w:after="20" w:before="20" w:line="264" w:lineRule="auto"/>
            </w:pPr>
            <w:r>
              <w:rPr>
                <w:rFonts w:ascii="Arial" w:hAnsi="Arial"/>
                <w:sz w:val="18"/>
              </w:rPr>
              <w:t>—</w:t>
            </w:r>
          </w:p>
        </w:tc>
        <w:tc>
          <w:tcPr>
            <w:tcW w:type="dxa" w:w="3855"/>
            <w:shd w:val="clear" w:color="auto" w:fill="F4F2FA"/>
          </w:tcPr>
          <w:p>
            <w:pPr>
              <w:spacing w:after="20" w:before="20" w:line="264" w:lineRule="auto"/>
            </w:pPr>
            <w:r>
              <w:rPr>
                <w:rFonts w:ascii="Arial" w:hAnsi="Arial"/>
                <w:sz w:val="18"/>
              </w:rPr>
              <w:t>Credentials to access and refresh tokens; rate limited per IP and per account.</w:t>
            </w:r>
          </w:p>
        </w:tc>
      </w:tr>
      <w:tr>
        <w:trPr>
          <w:cantSplit/>
        </w:trPr>
        <w:tc>
          <w:tcPr>
            <w:tcW w:type="dxa" w:w="907"/>
          </w:tcPr>
          <w:p>
            <w:pPr>
              <w:spacing w:after="20" w:before="20" w:line="264" w:lineRule="auto"/>
            </w:pPr>
            <w:r>
              <w:rPr>
                <w:rFonts w:ascii="Arial" w:hAnsi="Arial"/>
                <w:sz w:val="18"/>
              </w:rPr>
              <w:t>POST</w:t>
            </w:r>
          </w:p>
        </w:tc>
        <w:tc>
          <w:tcPr>
            <w:tcW w:type="dxa" w:w="2608"/>
          </w:tcPr>
          <w:p>
            <w:pPr>
              <w:spacing w:after="20" w:before="20" w:line="264" w:lineRule="auto"/>
            </w:pPr>
            <w:r>
              <w:rPr>
                <w:rFonts w:ascii="Consolas" w:hAnsi="Consolas"/>
                <w:color w:val="381A89"/>
                <w:sz w:val="16"/>
              </w:rPr>
              <w:t>/auth/refresh</w:t>
            </w:r>
          </w:p>
        </w:tc>
        <w:tc>
          <w:tcPr>
            <w:tcW w:type="dxa" w:w="1587"/>
          </w:tcPr>
          <w:p>
            <w:pPr>
              <w:spacing w:after="20" w:before="20" w:line="264" w:lineRule="auto"/>
            </w:pPr>
            <w:r>
              <w:rPr>
                <w:rFonts w:ascii="Arial" w:hAnsi="Arial"/>
                <w:sz w:val="18"/>
              </w:rPr>
              <w:t>—</w:t>
            </w:r>
          </w:p>
        </w:tc>
        <w:tc>
          <w:tcPr>
            <w:tcW w:type="dxa" w:w="3855"/>
          </w:tcPr>
          <w:p>
            <w:pPr>
              <w:spacing w:after="20" w:before="20" w:line="264" w:lineRule="auto"/>
            </w:pPr>
            <w:r>
              <w:rPr>
                <w:rFonts w:ascii="Arial" w:hAnsi="Arial"/>
                <w:sz w:val="18"/>
              </w:rPr>
              <w:t>Rotate both tokens; an access token is rejected.</w:t>
            </w:r>
          </w:p>
        </w:tc>
      </w:tr>
      <w:tr>
        <w:trPr>
          <w:cantSplit/>
        </w:trPr>
        <w:tc>
          <w:tcPr>
            <w:tcW w:type="dxa" w:w="907"/>
            <w:shd w:val="clear" w:color="auto" w:fill="F4F2FA"/>
          </w:tcPr>
          <w:p>
            <w:pPr>
              <w:spacing w:after="20" w:before="20" w:line="264" w:lineRule="auto"/>
            </w:pPr>
            <w:r>
              <w:rPr>
                <w:rFonts w:ascii="Arial" w:hAnsi="Arial"/>
                <w:sz w:val="18"/>
              </w:rPr>
              <w:t>POST</w:t>
            </w:r>
          </w:p>
        </w:tc>
        <w:tc>
          <w:tcPr>
            <w:tcW w:type="dxa" w:w="2608"/>
            <w:shd w:val="clear" w:color="auto" w:fill="F4F2FA"/>
          </w:tcPr>
          <w:p>
            <w:pPr>
              <w:spacing w:after="20" w:before="20" w:line="264" w:lineRule="auto"/>
            </w:pPr>
            <w:r>
              <w:rPr>
                <w:rFonts w:ascii="Consolas" w:hAnsi="Consolas"/>
                <w:color w:val="381A89"/>
                <w:sz w:val="16"/>
              </w:rPr>
              <w:t>/auth/logout</w:t>
            </w:r>
          </w:p>
        </w:tc>
        <w:tc>
          <w:tcPr>
            <w:tcW w:type="dxa" w:w="1587"/>
            <w:shd w:val="clear" w:color="auto" w:fill="F4F2FA"/>
          </w:tcPr>
          <w:p>
            <w:pPr>
              <w:spacing w:after="20" w:before="20" w:line="264" w:lineRule="auto"/>
            </w:pPr>
            <w:r>
              <w:rPr>
                <w:rFonts w:ascii="Arial" w:hAnsi="Arial"/>
                <w:sz w:val="18"/>
              </w:rPr>
              <w:t>session</w:t>
            </w:r>
          </w:p>
        </w:tc>
        <w:tc>
          <w:tcPr>
            <w:tcW w:type="dxa" w:w="3855"/>
            <w:shd w:val="clear" w:color="auto" w:fill="F4F2FA"/>
          </w:tcPr>
          <w:p>
            <w:pPr>
              <w:spacing w:after="20" w:before="20" w:line="264" w:lineRule="auto"/>
            </w:pPr>
            <w:r>
              <w:rPr>
                <w:rFonts w:ascii="Arial" w:hAnsi="Arial"/>
                <w:sz w:val="18"/>
              </w:rPr>
              <w:t>Record the sign-out in the audit trail.</w:t>
            </w:r>
          </w:p>
        </w:tc>
      </w:tr>
      <w:tr>
        <w:trPr>
          <w:cantSplit/>
        </w:trPr>
        <w:tc>
          <w:tcPr>
            <w:tcW w:type="dxa" w:w="907"/>
          </w:tcPr>
          <w:p>
            <w:pPr>
              <w:spacing w:after="20" w:before="20" w:line="264" w:lineRule="auto"/>
            </w:pPr>
            <w:r>
              <w:rPr>
                <w:rFonts w:ascii="Arial" w:hAnsi="Arial"/>
                <w:sz w:val="18"/>
              </w:rPr>
              <w:t>GET</w:t>
            </w:r>
          </w:p>
        </w:tc>
        <w:tc>
          <w:tcPr>
            <w:tcW w:type="dxa" w:w="2608"/>
          </w:tcPr>
          <w:p>
            <w:pPr>
              <w:spacing w:after="20" w:before="20" w:line="264" w:lineRule="auto"/>
            </w:pPr>
            <w:r>
              <w:rPr>
                <w:rFonts w:ascii="Consolas" w:hAnsi="Consolas"/>
                <w:color w:val="381A89"/>
                <w:sz w:val="16"/>
              </w:rPr>
              <w:t>/auth/me</w:t>
            </w:r>
          </w:p>
        </w:tc>
        <w:tc>
          <w:tcPr>
            <w:tcW w:type="dxa" w:w="1587"/>
          </w:tcPr>
          <w:p>
            <w:pPr>
              <w:spacing w:after="20" w:before="20" w:line="264" w:lineRule="auto"/>
            </w:pPr>
            <w:r>
              <w:rPr>
                <w:rFonts w:ascii="Arial" w:hAnsi="Arial"/>
                <w:sz w:val="18"/>
              </w:rPr>
              <w:t>session</w:t>
            </w:r>
          </w:p>
        </w:tc>
        <w:tc>
          <w:tcPr>
            <w:tcW w:type="dxa" w:w="3855"/>
          </w:tcPr>
          <w:p>
            <w:pPr>
              <w:spacing w:after="20" w:before="20" w:line="264" w:lineRule="auto"/>
            </w:pPr>
            <w:r>
              <w:rPr>
                <w:rFonts w:ascii="Arial" w:hAnsi="Arial"/>
                <w:sz w:val="18"/>
              </w:rPr>
              <w:t>Current user with the effective permission list.</w:t>
            </w:r>
          </w:p>
        </w:tc>
      </w:tr>
      <w:tr>
        <w:trPr>
          <w:cantSplit/>
        </w:trPr>
        <w:tc>
          <w:tcPr>
            <w:tcW w:type="dxa" w:w="907"/>
            <w:shd w:val="clear" w:color="auto" w:fill="F4F2FA"/>
          </w:tcPr>
          <w:p>
            <w:pPr>
              <w:spacing w:after="20" w:before="20" w:line="264" w:lineRule="auto"/>
            </w:pPr>
            <w:r>
              <w:rPr>
                <w:rFonts w:ascii="Arial" w:hAnsi="Arial"/>
                <w:sz w:val="18"/>
              </w:rPr>
              <w:t>POST</w:t>
            </w:r>
          </w:p>
        </w:tc>
        <w:tc>
          <w:tcPr>
            <w:tcW w:type="dxa" w:w="2608"/>
            <w:shd w:val="clear" w:color="auto" w:fill="F4F2FA"/>
          </w:tcPr>
          <w:p>
            <w:pPr>
              <w:spacing w:after="20" w:before="20" w:line="264" w:lineRule="auto"/>
            </w:pPr>
            <w:r>
              <w:rPr>
                <w:rFonts w:ascii="Consolas" w:hAnsi="Consolas"/>
                <w:color w:val="381A89"/>
                <w:sz w:val="16"/>
              </w:rPr>
              <w:t>/auth/change-password</w:t>
            </w:r>
          </w:p>
        </w:tc>
        <w:tc>
          <w:tcPr>
            <w:tcW w:type="dxa" w:w="1587"/>
            <w:shd w:val="clear" w:color="auto" w:fill="F4F2FA"/>
          </w:tcPr>
          <w:p>
            <w:pPr>
              <w:spacing w:after="20" w:before="20" w:line="264" w:lineRule="auto"/>
            </w:pPr>
            <w:r>
              <w:rPr>
                <w:rFonts w:ascii="Arial" w:hAnsi="Arial"/>
                <w:sz w:val="18"/>
              </w:rPr>
              <w:t>session</w:t>
            </w:r>
          </w:p>
        </w:tc>
        <w:tc>
          <w:tcPr>
            <w:tcW w:type="dxa" w:w="3855"/>
            <w:shd w:val="clear" w:color="auto" w:fill="F4F2FA"/>
          </w:tcPr>
          <w:p>
            <w:pPr>
              <w:spacing w:after="20" w:before="20" w:line="264" w:lineRule="auto"/>
            </w:pPr>
            <w:r>
              <w:rPr>
                <w:rFonts w:ascii="Arial" w:hAnsi="Arial"/>
                <w:sz w:val="18"/>
              </w:rPr>
              <w:t>Change own password under the strength policy.</w:t>
            </w:r>
          </w:p>
        </w:tc>
      </w:tr>
      <w:tr>
        <w:trPr>
          <w:cantSplit/>
        </w:trPr>
        <w:tc>
          <w:tcPr>
            <w:tcW w:type="dxa" w:w="907"/>
          </w:tcPr>
          <w:p>
            <w:pPr>
              <w:spacing w:after="20" w:before="20" w:line="264" w:lineRule="auto"/>
            </w:pPr>
            <w:r>
              <w:rPr>
                <w:rFonts w:ascii="Arial" w:hAnsi="Arial"/>
                <w:sz w:val="18"/>
              </w:rPr>
              <w:t>GET</w:t>
            </w:r>
          </w:p>
        </w:tc>
        <w:tc>
          <w:tcPr>
            <w:tcW w:type="dxa" w:w="2608"/>
          </w:tcPr>
          <w:p>
            <w:pPr>
              <w:spacing w:after="20" w:before="20" w:line="264" w:lineRule="auto"/>
            </w:pPr>
            <w:r>
              <w:rPr>
                <w:rFonts w:ascii="Consolas" w:hAnsi="Consolas"/>
                <w:color w:val="381A89"/>
                <w:sz w:val="16"/>
              </w:rPr>
              <w:t>/auth/roles</w:t>
            </w:r>
          </w:p>
        </w:tc>
        <w:tc>
          <w:tcPr>
            <w:tcW w:type="dxa" w:w="1587"/>
          </w:tcPr>
          <w:p>
            <w:pPr>
              <w:spacing w:after="20" w:before="20" w:line="264" w:lineRule="auto"/>
            </w:pPr>
            <w:r>
              <w:rPr>
                <w:rFonts w:ascii="Arial" w:hAnsi="Arial"/>
                <w:sz w:val="18"/>
              </w:rPr>
              <w:t>session</w:t>
            </w:r>
          </w:p>
        </w:tc>
        <w:tc>
          <w:tcPr>
            <w:tcW w:type="dxa" w:w="3855"/>
          </w:tcPr>
          <w:p>
            <w:pPr>
              <w:spacing w:after="20" w:before="20" w:line="264" w:lineRule="auto"/>
            </w:pPr>
            <w:r>
              <w:rPr>
                <w:rFonts w:ascii="Arial" w:hAnsi="Arial"/>
                <w:sz w:val="18"/>
              </w:rPr>
              <w:t>Role catalogue with permissions.</w:t>
            </w:r>
          </w:p>
        </w:tc>
      </w:tr>
    </w:tbl>
    <w:p>
      <w:pPr>
        <w:spacing w:after="40"/>
      </w:pPr>
    </w:p>
    <w:p>
      <w:pPr>
        <w:keepNext/>
        <w:spacing w:after="60" w:before="120"/>
      </w:pPr>
      <w:r>
        <w:rPr>
          <w:rFonts w:ascii="Arial" w:hAnsi="Arial"/>
          <w:b/>
          <w:color w:val="381A89"/>
          <w:sz w:val="18"/>
        </w:rPr>
        <w:t xml:space="preserve">Table 34. </w:t>
      </w:r>
      <w:r>
        <w:rPr>
          <w:rFonts w:ascii="Arial" w:hAnsi="Arial"/>
          <w:color w:val="55516B"/>
          <w:sz w:val="18"/>
        </w:rPr>
        <w:t>Claim, document and dashboard endpoints.</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907"/>
            <w:shd w:val="clear" w:color="auto" w:fill="2E1C6B"/>
          </w:tcPr>
          <w:p>
            <w:pPr>
              <w:spacing w:after="20" w:before="20" w:line="252" w:lineRule="auto"/>
            </w:pPr>
            <w:r>
              <w:rPr>
                <w:rFonts w:ascii="Arial" w:hAnsi="Arial"/>
                <w:b/>
                <w:color w:val="FFFFFF"/>
                <w:sz w:val="16"/>
              </w:rPr>
              <w:t>Method</w:t>
            </w:r>
          </w:p>
        </w:tc>
        <w:tc>
          <w:tcPr>
            <w:tcW w:type="dxa" w:w="3175"/>
            <w:shd w:val="clear" w:color="auto" w:fill="2E1C6B"/>
          </w:tcPr>
          <w:p>
            <w:pPr>
              <w:spacing w:after="20" w:before="20" w:line="252" w:lineRule="auto"/>
            </w:pPr>
            <w:r>
              <w:rPr>
                <w:rFonts w:ascii="Arial" w:hAnsi="Arial"/>
                <w:b/>
                <w:color w:val="FFFFFF"/>
                <w:sz w:val="16"/>
              </w:rPr>
              <w:t>Path</w:t>
            </w:r>
          </w:p>
        </w:tc>
        <w:tc>
          <w:tcPr>
            <w:tcW w:type="dxa" w:w="1928"/>
            <w:shd w:val="clear" w:color="auto" w:fill="2E1C6B"/>
          </w:tcPr>
          <w:p>
            <w:pPr>
              <w:spacing w:after="20" w:before="20" w:line="252" w:lineRule="auto"/>
            </w:pPr>
            <w:r>
              <w:rPr>
                <w:rFonts w:ascii="Arial" w:hAnsi="Arial"/>
                <w:b/>
                <w:color w:val="FFFFFF"/>
                <w:sz w:val="16"/>
              </w:rPr>
              <w:t>Permission</w:t>
            </w:r>
          </w:p>
        </w:tc>
        <w:tc>
          <w:tcPr>
            <w:tcW w:type="dxa" w:w="2948"/>
            <w:shd w:val="clear" w:color="auto" w:fill="2E1C6B"/>
          </w:tcPr>
          <w:p>
            <w:pPr>
              <w:spacing w:after="20" w:before="20" w:line="252" w:lineRule="auto"/>
            </w:pPr>
            <w:r>
              <w:rPr>
                <w:rFonts w:ascii="Arial" w:hAnsi="Arial"/>
                <w:b/>
                <w:color w:val="FFFFFF"/>
                <w:sz w:val="16"/>
              </w:rPr>
              <w:t>Purpose</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/dashboard</w:t>
            </w:r>
          </w:p>
        </w:tc>
        <w:tc>
          <w:tcPr>
            <w:tcW w:type="dxa" w:w="1928"/>
          </w:tcPr>
          <w:p>
            <w:pPr>
              <w:spacing w:after="20" w:before="20" w:line="264" w:lineRule="auto"/>
            </w:pPr>
            <w:r>
              <w:rPr>
                <w:rFonts w:ascii="Consolas" w:hAnsi="Consolas"/>
                <w:color w:val="381A89"/>
                <w:sz w:val="15"/>
              </w:rPr>
              <w:t>dashboard:read</w:t>
            </w:r>
          </w:p>
        </w:tc>
        <w:tc>
          <w:tcPr>
            <w:tcW w:type="dxa" w:w="2948"/>
          </w:tcPr>
          <w:p>
            <w:pPr>
              <w:spacing w:after="20" w:before="20" w:line="264" w:lineRule="auto"/>
            </w:pPr>
            <w:r>
              <w:rPr>
                <w:rFonts w:ascii="Arial" w:hAnsi="Arial"/>
                <w:sz w:val="17"/>
              </w:rPr>
              <w:t>Queue, band, type, finding and verification aggregates over a window.</w:t>
            </w:r>
          </w:p>
        </w:tc>
      </w:tr>
      <w:tr>
        <w:trPr>
          <w:cantSplit/>
        </w:trPr>
        <w:tc>
          <w:tcPr>
            <w:tcW w:type="dxa" w:w="907"/>
            <w:shd w:val="clear" w:color="auto" w:fill="F4F2FA"/>
          </w:tcPr>
          <w:p>
            <w:pPr>
              <w:spacing w:after="20" w:before="20" w:line="264" w:lineRule="auto"/>
            </w:pPr>
            <w:r>
              <w:rPr>
                <w:rFonts w:ascii="Arial" w:hAnsi="Arial"/>
                <w:sz w:val="17"/>
              </w:rPr>
              <w:t>POST</w:t>
            </w:r>
          </w:p>
        </w:tc>
        <w:tc>
          <w:tcPr>
            <w:tcW w:type="dxa" w:w="3175"/>
            <w:shd w:val="clear" w:color="auto" w:fill="F4F2FA"/>
          </w:tcPr>
          <w:p>
            <w:pPr>
              <w:spacing w:after="20" w:before="20" w:line="264" w:lineRule="auto"/>
            </w:pPr>
            <w:r>
              <w:rPr>
                <w:rFonts w:ascii="Consolas" w:hAnsi="Consolas"/>
                <w:color w:val="381A89"/>
                <w:sz w:val="15"/>
              </w:rPr>
              <w:t>/claims</w:t>
            </w:r>
          </w:p>
        </w:tc>
        <w:tc>
          <w:tcPr>
            <w:tcW w:type="dxa" w:w="1928"/>
            <w:shd w:val="clear" w:color="auto" w:fill="F4F2FA"/>
          </w:tcPr>
          <w:p>
            <w:pPr>
              <w:spacing w:after="20" w:before="20" w:line="264" w:lineRule="auto"/>
            </w:pPr>
            <w:r>
              <w:rPr>
                <w:rFonts w:ascii="Consolas" w:hAnsi="Consolas"/>
                <w:color w:val="381A89"/>
                <w:sz w:val="15"/>
              </w:rPr>
              <w:t>claim:create</w:t>
            </w:r>
          </w:p>
        </w:tc>
        <w:tc>
          <w:tcPr>
            <w:tcW w:type="dxa" w:w="2948"/>
            <w:shd w:val="clear" w:color="auto" w:fill="F4F2FA"/>
          </w:tcPr>
          <w:p>
            <w:pPr>
              <w:spacing w:after="20" w:before="20" w:line="264" w:lineRule="auto"/>
            </w:pPr>
            <w:r>
              <w:rPr>
                <w:rFonts w:ascii="Arial" w:hAnsi="Arial"/>
                <w:sz w:val="17"/>
              </w:rPr>
              <w:t>Create a claim.</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/claims</w:t>
            </w:r>
          </w:p>
        </w:tc>
        <w:tc>
          <w:tcPr>
            <w:tcW w:type="dxa" w:w="1928"/>
          </w:tcPr>
          <w:p>
            <w:pPr>
              <w:spacing w:after="20" w:before="20" w:line="264" w:lineRule="auto"/>
            </w:pPr>
            <w:r>
              <w:rPr>
                <w:rFonts w:ascii="Consolas" w:hAnsi="Consolas"/>
                <w:color w:val="381A89"/>
                <w:sz w:val="15"/>
              </w:rPr>
              <w:t>claim:read</w:t>
            </w:r>
          </w:p>
        </w:tc>
        <w:tc>
          <w:tcPr>
            <w:tcW w:type="dxa" w:w="2948"/>
          </w:tcPr>
          <w:p>
            <w:pPr>
              <w:spacing w:after="20" w:before="20" w:line="264" w:lineRule="auto"/>
            </w:pPr>
            <w:r>
              <w:rPr>
                <w:rFonts w:ascii="Arial" w:hAnsi="Arial"/>
                <w:sz w:val="17"/>
              </w:rPr>
              <w:t>Paged list with status, band, assignee and search filters.</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/claims/{id}</w:t>
            </w:r>
          </w:p>
        </w:tc>
        <w:tc>
          <w:tcPr>
            <w:tcW w:type="dxa" w:w="1928"/>
            <w:shd w:val="clear" w:color="auto" w:fill="F4F2FA"/>
          </w:tcPr>
          <w:p>
            <w:pPr>
              <w:spacing w:after="20" w:before="20" w:line="264" w:lineRule="auto"/>
            </w:pPr>
            <w:r>
              <w:rPr>
                <w:rFonts w:ascii="Consolas" w:hAnsi="Consolas"/>
                <w:color w:val="381A89"/>
                <w:sz w:val="15"/>
              </w:rPr>
              <w:t>claim:read</w:t>
            </w:r>
          </w:p>
        </w:tc>
        <w:tc>
          <w:tcPr>
            <w:tcW w:type="dxa" w:w="2948"/>
            <w:shd w:val="clear" w:color="auto" w:fill="F4F2FA"/>
          </w:tcPr>
          <w:p>
            <w:pPr>
              <w:spacing w:after="20" w:before="20" w:line="264" w:lineRule="auto"/>
            </w:pPr>
            <w:r>
              <w:rPr>
                <w:rFonts w:ascii="Arial" w:hAnsi="Arial"/>
                <w:sz w:val="17"/>
              </w:rPr>
              <w:t>Claim with documents, findings and investigations.</w:t>
            </w:r>
          </w:p>
        </w:tc>
      </w:tr>
      <w:tr>
        <w:trPr>
          <w:cantSplit/>
        </w:trPr>
        <w:tc>
          <w:tcPr>
            <w:tcW w:type="dxa" w:w="907"/>
          </w:tcPr>
          <w:p>
            <w:pPr>
              <w:spacing w:after="20" w:before="20" w:line="264" w:lineRule="auto"/>
            </w:pPr>
            <w:r>
              <w:rPr>
                <w:rFonts w:ascii="Arial" w:hAnsi="Arial"/>
                <w:sz w:val="17"/>
              </w:rPr>
              <w:t>PATCH</w:t>
            </w:r>
          </w:p>
        </w:tc>
        <w:tc>
          <w:tcPr>
            <w:tcW w:type="dxa" w:w="3175"/>
          </w:tcPr>
          <w:p>
            <w:pPr>
              <w:spacing w:after="20" w:before="20" w:line="264" w:lineRule="auto"/>
            </w:pPr>
            <w:r>
              <w:rPr>
                <w:rFonts w:ascii="Consolas" w:hAnsi="Consolas"/>
                <w:color w:val="381A89"/>
                <w:sz w:val="15"/>
              </w:rPr>
              <w:t>/claims/{id}</w:t>
            </w:r>
          </w:p>
        </w:tc>
        <w:tc>
          <w:tcPr>
            <w:tcW w:type="dxa" w:w="1928"/>
          </w:tcPr>
          <w:p>
            <w:pPr>
              <w:spacing w:after="20" w:before="20" w:line="264" w:lineRule="auto"/>
            </w:pPr>
            <w:r>
              <w:rPr>
                <w:rFonts w:ascii="Consolas" w:hAnsi="Consolas"/>
                <w:color w:val="381A89"/>
                <w:sz w:val="15"/>
              </w:rPr>
              <w:t>claim:update</w:t>
            </w:r>
          </w:p>
        </w:tc>
        <w:tc>
          <w:tcPr>
            <w:tcW w:type="dxa" w:w="2948"/>
          </w:tcPr>
          <w:p>
            <w:pPr>
              <w:spacing w:after="20" w:before="20" w:line="264" w:lineRule="auto"/>
            </w:pPr>
            <w:r>
              <w:rPr>
                <w:rFonts w:ascii="Arial" w:hAnsi="Arial"/>
                <w:sz w:val="17"/>
              </w:rPr>
              <w:t xml:space="preserve">Update claim fields; reassignment additionally requires </w:t>
            </w:r>
            <w:r>
              <w:rPr>
                <w:rFonts w:ascii="Consolas" w:hAnsi="Consolas"/>
                <w:color w:val="381A89"/>
                <w:sz w:val="15"/>
              </w:rPr>
              <w:t>investigation:assign</w:t>
            </w:r>
            <w:r>
              <w:rPr>
                <w:rFonts w:ascii="Arial" w:hAnsi="Arial"/>
                <w:sz w:val="17"/>
              </w:rPr>
              <w:t>.</w:t>
            </w:r>
          </w:p>
        </w:tc>
      </w:tr>
      <w:tr>
        <w:trPr>
          <w:cantSplit/>
        </w:trPr>
        <w:tc>
          <w:tcPr>
            <w:tcW w:type="dxa" w:w="907"/>
            <w:shd w:val="clear" w:color="auto" w:fill="F4F2FA"/>
          </w:tcPr>
          <w:p>
            <w:pPr>
              <w:spacing w:after="20" w:before="20" w:line="264" w:lineRule="auto"/>
            </w:pPr>
            <w:r>
              <w:rPr>
                <w:rFonts w:ascii="Arial" w:hAnsi="Arial"/>
                <w:sz w:val="17"/>
              </w:rPr>
              <w:t>POST</w:t>
            </w:r>
          </w:p>
        </w:tc>
        <w:tc>
          <w:tcPr>
            <w:tcW w:type="dxa" w:w="3175"/>
            <w:shd w:val="clear" w:color="auto" w:fill="F4F2FA"/>
          </w:tcPr>
          <w:p>
            <w:pPr>
              <w:spacing w:after="20" w:before="20" w:line="264" w:lineRule="auto"/>
            </w:pPr>
            <w:r>
              <w:rPr>
                <w:rFonts w:ascii="Consolas" w:hAnsi="Consolas"/>
                <w:color w:val="381A89"/>
                <w:sz w:val="15"/>
              </w:rPr>
              <w:t>/claims/{id}/decision</w:t>
            </w:r>
          </w:p>
        </w:tc>
        <w:tc>
          <w:tcPr>
            <w:tcW w:type="dxa" w:w="1928"/>
            <w:shd w:val="clear" w:color="auto" w:fill="F4F2FA"/>
          </w:tcPr>
          <w:p>
            <w:pPr>
              <w:spacing w:after="20" w:before="20" w:line="264" w:lineRule="auto"/>
            </w:pPr>
            <w:r>
              <w:rPr>
                <w:rFonts w:ascii="Consolas" w:hAnsi="Consolas"/>
                <w:color w:val="381A89"/>
                <w:sz w:val="15"/>
              </w:rPr>
              <w:t>claim:decide</w:t>
            </w:r>
          </w:p>
        </w:tc>
        <w:tc>
          <w:tcPr>
            <w:tcW w:type="dxa" w:w="2948"/>
            <w:shd w:val="clear" w:color="auto" w:fill="F4F2FA"/>
          </w:tcPr>
          <w:p>
            <w:pPr>
              <w:spacing w:after="20" w:before="20" w:line="264" w:lineRule="auto"/>
            </w:pPr>
            <w:r>
              <w:rPr>
                <w:rFonts w:ascii="Arial" w:hAnsi="Arial"/>
                <w:sz w:val="17"/>
              </w:rPr>
              <w:t xml:space="preserve">Record the human decision. </w:t>
            </w:r>
            <w:r>
              <w:rPr>
                <w:rFonts w:ascii="Arial" w:hAnsi="Arial"/>
                <w:b/>
                <w:sz w:val="17"/>
              </w:rPr>
              <w:t>409 when approving with any high or critical finding still open.</w:t>
            </w:r>
          </w:p>
        </w:tc>
      </w:tr>
      <w:tr>
        <w:trPr>
          <w:cantSplit/>
        </w:trPr>
        <w:tc>
          <w:tcPr>
            <w:tcW w:type="dxa" w:w="907"/>
          </w:tcPr>
          <w:p>
            <w:pPr>
              <w:spacing w:after="20" w:before="20" w:line="264" w:lineRule="auto"/>
            </w:pPr>
            <w:r>
              <w:rPr>
                <w:rFonts w:ascii="Arial" w:hAnsi="Arial"/>
                <w:sz w:val="17"/>
              </w:rPr>
              <w:t>POST</w:t>
            </w:r>
          </w:p>
        </w:tc>
        <w:tc>
          <w:tcPr>
            <w:tcW w:type="dxa" w:w="3175"/>
          </w:tcPr>
          <w:p>
            <w:pPr>
              <w:spacing w:after="20" w:before="20" w:line="264" w:lineRule="auto"/>
            </w:pPr>
            <w:r>
              <w:rPr>
                <w:rFonts w:ascii="Consolas" w:hAnsi="Consolas"/>
                <w:color w:val="381A89"/>
                <w:sz w:val="15"/>
              </w:rPr>
              <w:t>/documents</w:t>
            </w:r>
          </w:p>
        </w:tc>
        <w:tc>
          <w:tcPr>
            <w:tcW w:type="dxa" w:w="1928"/>
          </w:tcPr>
          <w:p>
            <w:pPr>
              <w:spacing w:after="20" w:before="20" w:line="264" w:lineRule="auto"/>
            </w:pPr>
            <w:r>
              <w:rPr>
                <w:rFonts w:ascii="Consolas" w:hAnsi="Consolas"/>
                <w:color w:val="381A89"/>
                <w:sz w:val="15"/>
              </w:rPr>
              <w:t>document:upload</w:t>
            </w:r>
          </w:p>
        </w:tc>
        <w:tc>
          <w:tcPr>
            <w:tcW w:type="dxa" w:w="2948"/>
          </w:tcPr>
          <w:p>
            <w:pPr>
              <w:spacing w:after="20" w:before="20" w:line="264" w:lineRule="auto"/>
            </w:pPr>
            <w:r>
              <w:rPr>
                <w:rFonts w:ascii="Arial" w:hAnsi="Arial"/>
                <w:sz w:val="17"/>
              </w:rPr>
              <w:t>Validated multipart upload with hashing, duplicate warning and optional analysis.</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/documents</w:t>
            </w:r>
          </w:p>
        </w:tc>
        <w:tc>
          <w:tcPr>
            <w:tcW w:type="dxa" w:w="1928"/>
            <w:shd w:val="clear" w:color="auto" w:fill="F4F2FA"/>
          </w:tcPr>
          <w:p>
            <w:pPr>
              <w:spacing w:after="20" w:before="20" w:line="264" w:lineRule="auto"/>
            </w:pPr>
            <w:r>
              <w:rPr>
                <w:rFonts w:ascii="Consolas" w:hAnsi="Consolas"/>
                <w:color w:val="381A89"/>
                <w:sz w:val="15"/>
              </w:rPr>
              <w:t>document:read</w:t>
            </w:r>
          </w:p>
        </w:tc>
        <w:tc>
          <w:tcPr>
            <w:tcW w:type="dxa" w:w="2948"/>
            <w:shd w:val="clear" w:color="auto" w:fill="F4F2FA"/>
          </w:tcPr>
          <w:p>
            <w:pPr>
              <w:spacing w:after="20" w:before="20" w:line="264" w:lineRule="auto"/>
            </w:pPr>
            <w:r>
              <w:rPr>
                <w:rFonts w:ascii="Arial" w:hAnsi="Arial"/>
                <w:sz w:val="17"/>
              </w:rPr>
              <w:t>Paged queue with band, status, type and verdict filters.</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/documents/{id}</w:t>
            </w:r>
          </w:p>
        </w:tc>
        <w:tc>
          <w:tcPr>
            <w:tcW w:type="dxa" w:w="1928"/>
          </w:tcPr>
          <w:p>
            <w:pPr>
              <w:spacing w:after="20" w:before="20" w:line="264" w:lineRule="auto"/>
            </w:pPr>
            <w:r>
              <w:rPr>
                <w:rFonts w:ascii="Consolas" w:hAnsi="Consolas"/>
                <w:color w:val="381A89"/>
                <w:sz w:val="15"/>
              </w:rPr>
              <w:t>document:read</w:t>
            </w:r>
          </w:p>
        </w:tc>
        <w:tc>
          <w:tcPr>
            <w:tcW w:type="dxa" w:w="2948"/>
          </w:tcPr>
          <w:p>
            <w:pPr>
              <w:spacing w:after="20" w:before="20" w:line="264" w:lineRule="auto"/>
            </w:pPr>
            <w:r>
              <w:rPr>
                <w:rFonts w:ascii="Arial" w:hAnsi="Arial"/>
                <w:sz w:val="17"/>
              </w:rPr>
              <w:t>The full investigation payload; audits the view.</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/documents/{id}/findings</w:t>
            </w:r>
          </w:p>
        </w:tc>
        <w:tc>
          <w:tcPr>
            <w:tcW w:type="dxa" w:w="1928"/>
            <w:shd w:val="clear" w:color="auto" w:fill="F4F2FA"/>
          </w:tcPr>
          <w:p>
            <w:pPr>
              <w:spacing w:after="20" w:before="20" w:line="264" w:lineRule="auto"/>
            </w:pPr>
            <w:r>
              <w:rPr>
                <w:rFonts w:ascii="Consolas" w:hAnsi="Consolas"/>
                <w:color w:val="381A89"/>
                <w:sz w:val="15"/>
              </w:rPr>
              <w:t>document:read</w:t>
            </w:r>
          </w:p>
        </w:tc>
        <w:tc>
          <w:tcPr>
            <w:tcW w:type="dxa" w:w="2948"/>
            <w:shd w:val="clear" w:color="auto" w:fill="F4F2FA"/>
          </w:tcPr>
          <w:p>
            <w:pPr>
              <w:spacing w:after="20" w:before="20" w:line="264" w:lineRule="auto"/>
            </w:pPr>
            <w:r>
              <w:rPr>
                <w:rFonts w:ascii="Arial" w:hAnsi="Arial"/>
                <w:sz w:val="17"/>
              </w:rPr>
              <w:t>Unified findings with the provenance legend.</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/documents/{id}/analysis</w:t>
            </w:r>
          </w:p>
        </w:tc>
        <w:tc>
          <w:tcPr>
            <w:tcW w:type="dxa" w:w="1928"/>
          </w:tcPr>
          <w:p>
            <w:pPr>
              <w:spacing w:after="20" w:before="20" w:line="264" w:lineRule="auto"/>
            </w:pPr>
            <w:r>
              <w:rPr>
                <w:rFonts w:ascii="Consolas" w:hAnsi="Consolas"/>
                <w:color w:val="381A89"/>
                <w:sz w:val="15"/>
              </w:rPr>
              <w:t>document:read</w:t>
            </w:r>
          </w:p>
        </w:tc>
        <w:tc>
          <w:tcPr>
            <w:tcW w:type="dxa" w:w="2948"/>
          </w:tcPr>
          <w:p>
            <w:pPr>
              <w:spacing w:after="20" w:before="20" w:line="264" w:lineRule="auto"/>
            </w:pPr>
            <w:r>
              <w:rPr>
                <w:rFonts w:ascii="Arial" w:hAnsi="Arial"/>
                <w:sz w:val="17"/>
              </w:rPr>
              <w:t>Every analysis run with its stage timeline.</w:t>
            </w:r>
          </w:p>
        </w:tc>
      </w:tr>
      <w:tr>
        <w:trPr>
          <w:cantSplit/>
        </w:trPr>
        <w:tc>
          <w:tcPr>
            <w:tcW w:type="dxa" w:w="907"/>
            <w:shd w:val="clear" w:color="auto" w:fill="F4F2FA"/>
          </w:tcPr>
          <w:p>
            <w:pPr>
              <w:spacing w:after="20" w:before="20" w:line="264" w:lineRule="auto"/>
            </w:pPr>
            <w:r>
              <w:rPr>
                <w:rFonts w:ascii="Arial" w:hAnsi="Arial"/>
                <w:sz w:val="17"/>
              </w:rPr>
              <w:t>POST</w:t>
            </w:r>
          </w:p>
        </w:tc>
        <w:tc>
          <w:tcPr>
            <w:tcW w:type="dxa" w:w="3175"/>
            <w:shd w:val="clear" w:color="auto" w:fill="F4F2FA"/>
          </w:tcPr>
          <w:p>
            <w:pPr>
              <w:spacing w:after="20" w:before="20" w:line="264" w:lineRule="auto"/>
            </w:pPr>
            <w:r>
              <w:rPr>
                <w:rFonts w:ascii="Consolas" w:hAnsi="Consolas"/>
                <w:color w:val="381A89"/>
                <w:sz w:val="15"/>
              </w:rPr>
              <w:t>/documents/{id}/analyze</w:t>
            </w:r>
          </w:p>
        </w:tc>
        <w:tc>
          <w:tcPr>
            <w:tcW w:type="dxa" w:w="1928"/>
            <w:shd w:val="clear" w:color="auto" w:fill="F4F2FA"/>
          </w:tcPr>
          <w:p>
            <w:pPr>
              <w:spacing w:after="20" w:before="20" w:line="264" w:lineRule="auto"/>
            </w:pPr>
            <w:r>
              <w:rPr>
                <w:rFonts w:ascii="Consolas" w:hAnsi="Consolas"/>
                <w:color w:val="381A89"/>
                <w:sz w:val="15"/>
              </w:rPr>
              <w:t>document:analyze</w:t>
            </w:r>
          </w:p>
        </w:tc>
        <w:tc>
          <w:tcPr>
            <w:tcW w:type="dxa" w:w="2948"/>
            <w:shd w:val="clear" w:color="auto" w:fill="F4F2FA"/>
          </w:tcPr>
          <w:p>
            <w:pPr>
              <w:spacing w:after="20" w:before="20" w:line="264" w:lineRule="auto"/>
            </w:pPr>
            <w:r>
              <w:rPr>
                <w:rFonts w:ascii="Arial" w:hAnsi="Arial"/>
                <w:sz w:val="17"/>
              </w:rPr>
              <w:t>Queue or re-queue the pipeline.</w:t>
            </w:r>
          </w:p>
        </w:tc>
      </w:tr>
      <w:tr>
        <w:trPr>
          <w:cantSplit/>
        </w:trPr>
        <w:tc>
          <w:tcPr>
            <w:tcW w:type="dxa" w:w="907"/>
          </w:tcPr>
          <w:p>
            <w:pPr>
              <w:spacing w:after="20" w:before="20" w:line="264" w:lineRule="auto"/>
            </w:pPr>
            <w:r>
              <w:rPr>
                <w:rFonts w:ascii="Arial" w:hAnsi="Arial"/>
                <w:sz w:val="17"/>
              </w:rPr>
              <w:t>POST</w:t>
            </w:r>
          </w:p>
        </w:tc>
        <w:tc>
          <w:tcPr>
            <w:tcW w:type="dxa" w:w="3175"/>
          </w:tcPr>
          <w:p>
            <w:pPr>
              <w:spacing w:after="20" w:before="20" w:line="264" w:lineRule="auto"/>
            </w:pPr>
            <w:r>
              <w:rPr>
                <w:rFonts w:ascii="Consolas" w:hAnsi="Consolas"/>
                <w:color w:val="381A89"/>
                <w:sz w:val="15"/>
              </w:rPr>
              <w:t>/documents/{id}/classification</w:t>
            </w:r>
          </w:p>
        </w:tc>
        <w:tc>
          <w:tcPr>
            <w:tcW w:type="dxa" w:w="1928"/>
          </w:tcPr>
          <w:p>
            <w:pPr>
              <w:spacing w:after="20" w:before="20" w:line="264" w:lineRule="auto"/>
            </w:pPr>
            <w:r>
              <w:rPr>
                <w:rFonts w:ascii="Consolas" w:hAnsi="Consolas"/>
                <w:color w:val="381A89"/>
                <w:sz w:val="15"/>
              </w:rPr>
              <w:t>document:analyze</w:t>
            </w:r>
          </w:p>
        </w:tc>
        <w:tc>
          <w:tcPr>
            <w:tcW w:type="dxa" w:w="2948"/>
          </w:tcPr>
          <w:p>
            <w:pPr>
              <w:spacing w:after="20" w:before="20" w:line="264" w:lineRule="auto"/>
            </w:pPr>
            <w:r>
              <w:rPr>
                <w:rFonts w:ascii="Arial" w:hAnsi="Arial"/>
                <w:sz w:val="17"/>
              </w:rPr>
              <w:t>Override the document type, recording who and why.</w:t>
            </w:r>
          </w:p>
        </w:tc>
      </w:tr>
      <w:tr>
        <w:trPr>
          <w:cantSplit/>
        </w:trPr>
        <w:tc>
          <w:tcPr>
            <w:tcW w:type="dxa" w:w="907"/>
            <w:shd w:val="clear" w:color="auto" w:fill="F4F2FA"/>
          </w:tcPr>
          <w:p>
            <w:pPr>
              <w:spacing w:after="20" w:before="20" w:line="264" w:lineRule="auto"/>
            </w:pPr>
            <w:r>
              <w:rPr>
                <w:rFonts w:ascii="Arial" w:hAnsi="Arial"/>
                <w:sz w:val="17"/>
              </w:rPr>
              <w:t>POST</w:t>
            </w:r>
          </w:p>
        </w:tc>
        <w:tc>
          <w:tcPr>
            <w:tcW w:type="dxa" w:w="3175"/>
            <w:shd w:val="clear" w:color="auto" w:fill="F4F2FA"/>
          </w:tcPr>
          <w:p>
            <w:pPr>
              <w:spacing w:after="20" w:before="20" w:line="264" w:lineRule="auto"/>
            </w:pPr>
            <w:r>
              <w:rPr>
                <w:rFonts w:ascii="Consolas" w:hAnsi="Consolas"/>
                <w:color w:val="381A89"/>
                <w:sz w:val="15"/>
              </w:rPr>
              <w:t>/documents/{id}/review</w:t>
            </w:r>
          </w:p>
        </w:tc>
        <w:tc>
          <w:tcPr>
            <w:tcW w:type="dxa" w:w="1928"/>
            <w:shd w:val="clear" w:color="auto" w:fill="F4F2FA"/>
          </w:tcPr>
          <w:p>
            <w:pPr>
              <w:spacing w:after="20" w:before="20" w:line="264" w:lineRule="auto"/>
            </w:pPr>
            <w:r>
              <w:rPr>
                <w:rFonts w:ascii="Arial" w:hAnsi="Arial"/>
                <w:sz w:val="17"/>
              </w:rPr>
              <w:t>per action</w:t>
            </w:r>
          </w:p>
        </w:tc>
        <w:tc>
          <w:tcPr>
            <w:tcW w:type="dxa" w:w="2948"/>
            <w:shd w:val="clear" w:color="auto" w:fill="F4F2FA"/>
          </w:tcPr>
          <w:p>
            <w:pPr>
              <w:spacing w:after="20" w:before="20" w:line="264" w:lineRule="auto"/>
            </w:pPr>
            <w:r>
              <w:rPr>
                <w:rFonts w:ascii="Arial" w:hAnsi="Arial"/>
                <w:sz w:val="17"/>
              </w:rPr>
              <w:t>Record a human review action.</w:t>
            </w:r>
          </w:p>
        </w:tc>
      </w:tr>
      <w:tr>
        <w:trPr>
          <w:cantSplit/>
        </w:trPr>
        <w:tc>
          <w:tcPr>
            <w:tcW w:type="dxa" w:w="907"/>
          </w:tcPr>
          <w:p>
            <w:pPr>
              <w:spacing w:after="20" w:before="20" w:line="264" w:lineRule="auto"/>
            </w:pPr>
            <w:r>
              <w:rPr>
                <w:rFonts w:ascii="Arial" w:hAnsi="Arial"/>
                <w:sz w:val="17"/>
              </w:rPr>
              <w:t>POST</w:t>
            </w:r>
          </w:p>
        </w:tc>
        <w:tc>
          <w:tcPr>
            <w:tcW w:type="dxa" w:w="3175"/>
          </w:tcPr>
          <w:p>
            <w:pPr>
              <w:spacing w:after="20" w:before="20" w:line="264" w:lineRule="auto"/>
            </w:pPr>
            <w:r>
              <w:rPr>
                <w:rFonts w:ascii="Consolas" w:hAnsi="Consolas"/>
                <w:color w:val="381A89"/>
                <w:sz w:val="15"/>
              </w:rPr>
              <w:t>/documents/{id}/reassess</w:t>
            </w:r>
          </w:p>
        </w:tc>
        <w:tc>
          <w:tcPr>
            <w:tcW w:type="dxa" w:w="1928"/>
          </w:tcPr>
          <w:p>
            <w:pPr>
              <w:spacing w:after="20" w:before="20" w:line="264" w:lineRule="auto"/>
            </w:pPr>
            <w:r>
              <w:rPr>
                <w:rFonts w:ascii="Consolas" w:hAnsi="Consolas"/>
                <w:color w:val="381A89"/>
                <w:sz w:val="15"/>
              </w:rPr>
              <w:t>document:analyze</w:t>
            </w:r>
          </w:p>
        </w:tc>
        <w:tc>
          <w:tcPr>
            <w:tcW w:type="dxa" w:w="2948"/>
          </w:tcPr>
          <w:p>
            <w:pPr>
              <w:spacing w:after="20" w:before="20" w:line="264" w:lineRule="auto"/>
            </w:pPr>
            <w:r>
              <w:rPr>
                <w:rFonts w:ascii="Arial" w:hAnsi="Arial"/>
                <w:sz w:val="17"/>
              </w:rPr>
              <w:t>Recompute the score after review.</w:t>
            </w:r>
          </w:p>
        </w:tc>
      </w:tr>
      <w:tr>
        <w:trPr>
          <w:cantSplit/>
        </w:trPr>
        <w:tc>
          <w:tcPr>
            <w:tcW w:type="dxa" w:w="907"/>
            <w:shd w:val="clear" w:color="auto" w:fill="F4F2FA"/>
          </w:tcPr>
          <w:p>
            <w:pPr>
              <w:spacing w:after="20" w:before="20" w:line="264" w:lineRule="auto"/>
            </w:pPr>
            <w:r>
              <w:rPr>
                <w:rFonts w:ascii="Arial" w:hAnsi="Arial"/>
                <w:sz w:val="17"/>
              </w:rPr>
              <w:t>POST</w:t>
            </w:r>
          </w:p>
        </w:tc>
        <w:tc>
          <w:tcPr>
            <w:tcW w:type="dxa" w:w="3175"/>
            <w:shd w:val="clear" w:color="auto" w:fill="F4F2FA"/>
          </w:tcPr>
          <w:p>
            <w:pPr>
              <w:spacing w:after="20" w:before="20" w:line="264" w:lineRule="auto"/>
            </w:pPr>
            <w:r>
              <w:rPr>
                <w:rFonts w:ascii="Consolas" w:hAnsi="Consolas"/>
                <w:color w:val="381A89"/>
                <w:sz w:val="15"/>
              </w:rPr>
              <w:t>/documents/{id}/links</w:t>
            </w:r>
          </w:p>
        </w:tc>
        <w:tc>
          <w:tcPr>
            <w:tcW w:type="dxa" w:w="1928"/>
            <w:shd w:val="clear" w:color="auto" w:fill="F4F2FA"/>
          </w:tcPr>
          <w:p>
            <w:pPr>
              <w:spacing w:after="20" w:before="20" w:line="264" w:lineRule="auto"/>
            </w:pPr>
            <w:r>
              <w:rPr>
                <w:rFonts w:ascii="Consolas" w:hAnsi="Consolas"/>
                <w:color w:val="381A89"/>
                <w:sz w:val="15"/>
              </w:rPr>
              <w:t>document:download</w:t>
            </w:r>
          </w:p>
        </w:tc>
        <w:tc>
          <w:tcPr>
            <w:tcW w:type="dxa" w:w="2948"/>
            <w:shd w:val="clear" w:color="auto" w:fill="F4F2FA"/>
          </w:tcPr>
          <w:p>
            <w:pPr>
              <w:spacing w:after="20" w:before="20" w:line="264" w:lineRule="auto"/>
            </w:pPr>
            <w:r>
              <w:rPr>
                <w:rFonts w:ascii="Arial" w:hAnsi="Arial"/>
                <w:sz w:val="17"/>
              </w:rPr>
              <w:t>Mint short-lived signed links.</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/documents/{id}/file</w:t>
            </w:r>
          </w:p>
        </w:tc>
        <w:tc>
          <w:tcPr>
            <w:tcW w:type="dxa" w:w="1928"/>
          </w:tcPr>
          <w:p>
            <w:pPr>
              <w:spacing w:after="20" w:before="20" w:line="264" w:lineRule="auto"/>
            </w:pPr>
            <w:r>
              <w:rPr>
                <w:rFonts w:ascii="Arial" w:hAnsi="Arial"/>
                <w:sz w:val="17"/>
              </w:rPr>
              <w:t xml:space="preserve">signed or </w:t>
            </w:r>
            <w:r>
              <w:rPr>
                <w:rFonts w:ascii="Consolas" w:hAnsi="Consolas"/>
                <w:color w:val="381A89"/>
                <w:sz w:val="15"/>
              </w:rPr>
              <w:t>document:download</w:t>
            </w:r>
          </w:p>
        </w:tc>
        <w:tc>
          <w:tcPr>
            <w:tcW w:type="dxa" w:w="2948"/>
          </w:tcPr>
          <w:p>
            <w:pPr>
              <w:spacing w:after="20" w:before="20" w:line="264" w:lineRule="auto"/>
            </w:pPr>
            <w:r>
              <w:rPr>
                <w:rFonts w:ascii="Arial" w:hAnsi="Arial"/>
                <w:sz w:val="17"/>
              </w:rPr>
              <w:t>Stream the original; audits the download.</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/documents/{id}/pages/{n}/render</w:t>
            </w:r>
          </w:p>
        </w:tc>
        <w:tc>
          <w:tcPr>
            <w:tcW w:type="dxa" w:w="1928"/>
            <w:shd w:val="clear" w:color="auto" w:fill="F4F2FA"/>
          </w:tcPr>
          <w:p>
            <w:pPr>
              <w:spacing w:after="20" w:before="20" w:line="264" w:lineRule="auto"/>
            </w:pPr>
            <w:r>
              <w:rPr>
                <w:rFonts w:ascii="Arial" w:hAnsi="Arial"/>
                <w:sz w:val="17"/>
              </w:rPr>
              <w:t xml:space="preserve">signed or </w:t>
            </w:r>
            <w:r>
              <w:rPr>
                <w:rFonts w:ascii="Consolas" w:hAnsi="Consolas"/>
                <w:color w:val="381A89"/>
                <w:sz w:val="15"/>
              </w:rPr>
              <w:t>document:download</w:t>
            </w:r>
          </w:p>
        </w:tc>
        <w:tc>
          <w:tcPr>
            <w:tcW w:type="dxa" w:w="2948"/>
            <w:shd w:val="clear" w:color="auto" w:fill="F4F2FA"/>
          </w:tcPr>
          <w:p>
            <w:pPr>
              <w:spacing w:after="20" w:before="20" w:line="264" w:lineRule="auto"/>
            </w:pPr>
            <w:r>
              <w:rPr>
                <w:rFonts w:ascii="Arial" w:hAnsi="Arial"/>
                <w:sz w:val="17"/>
              </w:rPr>
              <w:t>Stream a page render or a forensic layer.</w:t>
            </w:r>
          </w:p>
        </w:tc>
      </w:tr>
      <w:tr>
        <w:trPr>
          <w:cantSplit/>
        </w:trPr>
        <w:tc>
          <w:tcPr>
            <w:tcW w:type="dxa" w:w="907"/>
          </w:tcPr>
          <w:p>
            <w:pPr>
              <w:spacing w:after="20" w:before="20" w:line="264" w:lineRule="auto"/>
            </w:pPr>
            <w:r>
              <w:rPr>
                <w:rFonts w:ascii="Arial" w:hAnsi="Arial"/>
                <w:sz w:val="17"/>
              </w:rPr>
              <w:t>DELETE</w:t>
            </w:r>
          </w:p>
        </w:tc>
        <w:tc>
          <w:tcPr>
            <w:tcW w:type="dxa" w:w="3175"/>
          </w:tcPr>
          <w:p>
            <w:pPr>
              <w:spacing w:after="20" w:before="20" w:line="264" w:lineRule="auto"/>
            </w:pPr>
            <w:r>
              <w:rPr>
                <w:rFonts w:ascii="Consolas" w:hAnsi="Consolas"/>
                <w:color w:val="381A89"/>
                <w:sz w:val="15"/>
              </w:rPr>
              <w:t>/documents/{id}</w:t>
            </w:r>
          </w:p>
        </w:tc>
        <w:tc>
          <w:tcPr>
            <w:tcW w:type="dxa" w:w="1928"/>
          </w:tcPr>
          <w:p>
            <w:pPr>
              <w:spacing w:after="20" w:before="20" w:line="264" w:lineRule="auto"/>
            </w:pPr>
            <w:r>
              <w:rPr>
                <w:rFonts w:ascii="Consolas" w:hAnsi="Consolas"/>
                <w:color w:val="381A89"/>
                <w:sz w:val="15"/>
              </w:rPr>
              <w:t>document:delete</w:t>
            </w:r>
          </w:p>
        </w:tc>
        <w:tc>
          <w:tcPr>
            <w:tcW w:type="dxa" w:w="2948"/>
          </w:tcPr>
          <w:p>
            <w:pPr>
              <w:spacing w:after="20" w:before="20" w:line="264" w:lineRule="auto"/>
            </w:pPr>
            <w:r>
              <w:rPr>
                <w:rFonts w:ascii="Arial" w:hAnsi="Arial"/>
                <w:sz w:val="17"/>
              </w:rPr>
              <w:t>Soft delete with a reason.</w:t>
            </w:r>
          </w:p>
        </w:tc>
      </w:tr>
    </w:tbl>
    <w:p>
      <w:pPr>
        <w:spacing w:after="40"/>
      </w:pPr>
    </w:p>
    <w:p>
      <w:pPr>
        <w:spacing w:after="160"/>
        <w:jc w:val="both"/>
      </w:pPr>
      <w:r>
        <w:t xml:space="preserve">The review endpoint accepts six actions, each mapped to its own permission: </w:t>
      </w:r>
      <w:r>
        <w:rPr>
          <w:rFonts w:ascii="Consolas" w:hAnsi="Consolas"/>
          <w:color w:val="381A89"/>
          <w:sz w:val="20"/>
        </w:rPr>
        <w:t>confirm_finding</w:t>
      </w:r>
      <w:r>
        <w:t xml:space="preserve"> (</w:t>
      </w:r>
      <w:r>
        <w:rPr>
          <w:rFonts w:ascii="Consolas" w:hAnsi="Consolas"/>
          <w:color w:val="381A89"/>
          <w:sz w:val="20"/>
        </w:rPr>
        <w:t>finding:confirm</w:t>
      </w:r>
      <w:r>
        <w:t xml:space="preserve">), </w:t>
      </w:r>
      <w:r>
        <w:rPr>
          <w:rFonts w:ascii="Consolas" w:hAnsi="Consolas"/>
          <w:color w:val="381A89"/>
          <w:sz w:val="20"/>
        </w:rPr>
        <w:t>dismiss_finding</w:t>
      </w:r>
      <w:r>
        <w:t xml:space="preserve"> (</w:t>
      </w:r>
      <w:r>
        <w:rPr>
          <w:rFonts w:ascii="Consolas" w:hAnsi="Consolas"/>
          <w:color w:val="381A89"/>
          <w:sz w:val="20"/>
        </w:rPr>
        <w:t>finding:dismiss</w:t>
      </w:r>
      <w:r>
        <w:t xml:space="preserve">), </w:t>
      </w:r>
      <w:r>
        <w:rPr>
          <w:rFonts w:ascii="Consolas" w:hAnsi="Consolas"/>
          <w:color w:val="381A89"/>
          <w:sz w:val="20"/>
        </w:rPr>
        <w:t>request_information</w:t>
      </w:r>
      <w:r>
        <w:t xml:space="preserve"> (</w:t>
      </w:r>
      <w:r>
        <w:rPr>
          <w:rFonts w:ascii="Consolas" w:hAnsi="Consolas"/>
          <w:color w:val="381A89"/>
          <w:sz w:val="20"/>
        </w:rPr>
        <w:t>finding:request_info</w:t>
      </w:r>
      <w:r>
        <w:t xml:space="preserve">), </w:t>
      </w:r>
      <w:r>
        <w:rPr>
          <w:rFonts w:ascii="Consolas" w:hAnsi="Consolas"/>
          <w:color w:val="381A89"/>
          <w:sz w:val="20"/>
        </w:rPr>
        <w:t>mark_document_verified</w:t>
      </w:r>
      <w:r>
        <w:t xml:space="preserve"> and </w:t>
      </w:r>
      <w:r>
        <w:rPr>
          <w:rFonts w:ascii="Consolas" w:hAnsi="Consolas"/>
          <w:color w:val="381A89"/>
          <w:sz w:val="20"/>
        </w:rPr>
        <w:t>reject_document</w:t>
      </w:r>
      <w:r>
        <w:t xml:space="preserve"> (</w:t>
      </w:r>
      <w:r>
        <w:rPr>
          <w:rFonts w:ascii="Consolas" w:hAnsi="Consolas"/>
          <w:color w:val="381A89"/>
          <w:sz w:val="20"/>
        </w:rPr>
        <w:t>document:verify</w:t>
      </w:r>
      <w:r>
        <w:t xml:space="preserve">), and </w:t>
      </w:r>
      <w:r>
        <w:rPr>
          <w:rFonts w:ascii="Consolas" w:hAnsi="Consolas"/>
          <w:color w:val="381A89"/>
          <w:sz w:val="20"/>
        </w:rPr>
        <w:t>escalate_investigation</w:t>
      </w:r>
      <w:r>
        <w:t xml:space="preserve"> (</w:t>
      </w:r>
      <w:r>
        <w:rPr>
          <w:rFonts w:ascii="Consolas" w:hAnsi="Consolas"/>
          <w:color w:val="381A89"/>
          <w:sz w:val="20"/>
        </w:rPr>
        <w:t>investigation:escalate</w:t>
      </w:r>
      <w:r>
        <w:t xml:space="preserve">). All except </w:t>
      </w:r>
      <w:r>
        <w:rPr>
          <w:rFonts w:ascii="Consolas" w:hAnsi="Consolas"/>
          <w:color w:val="381A89"/>
          <w:sz w:val="20"/>
        </w:rPr>
        <w:t>request_information</w:t>
      </w:r>
      <w:r>
        <w:t xml:space="preserve"> require a written reason of at least ten characters, enforced server-side.</w:t>
      </w:r>
    </w:p>
    <w:p>
      <w:pPr>
        <w:keepNext/>
        <w:spacing w:after="60" w:before="120"/>
      </w:pPr>
      <w:r>
        <w:rPr>
          <w:rFonts w:ascii="Arial" w:hAnsi="Arial"/>
          <w:b/>
          <w:color w:val="381A89"/>
          <w:sz w:val="18"/>
        </w:rPr>
        <w:t xml:space="preserve">Table 35. </w:t>
      </w:r>
      <w:r>
        <w:rPr>
          <w:rFonts w:ascii="Arial" w:hAnsi="Arial"/>
          <w:color w:val="55516B"/>
          <w:sz w:val="18"/>
        </w:rPr>
        <w:t>Verification, investigation, report, audit, user and administration endpoints.</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cantSplit/>
          <w:tblHeader w:val="true"/>
        </w:trPr>
        <w:tc>
          <w:tcPr>
            <w:tcW w:type="dxa" w:w="907"/>
            <w:shd w:val="clear" w:color="auto" w:fill="2E1C6B"/>
          </w:tcPr>
          <w:p>
            <w:pPr>
              <w:spacing w:after="20" w:before="20" w:line="252" w:lineRule="auto"/>
            </w:pPr>
            <w:r>
              <w:rPr>
                <w:rFonts w:ascii="Arial" w:hAnsi="Arial"/>
                <w:b/>
                <w:color w:val="FFFFFF"/>
                <w:sz w:val="16"/>
              </w:rPr>
              <w:t>Method</w:t>
            </w:r>
          </w:p>
        </w:tc>
        <w:tc>
          <w:tcPr>
            <w:tcW w:type="dxa" w:w="3175"/>
            <w:shd w:val="clear" w:color="auto" w:fill="2E1C6B"/>
          </w:tcPr>
          <w:p>
            <w:pPr>
              <w:spacing w:after="20" w:before="20" w:line="252" w:lineRule="auto"/>
            </w:pPr>
            <w:r>
              <w:rPr>
                <w:rFonts w:ascii="Arial" w:hAnsi="Arial"/>
                <w:b/>
                <w:color w:val="FFFFFF"/>
                <w:sz w:val="16"/>
              </w:rPr>
              <w:t>Path</w:t>
            </w:r>
          </w:p>
        </w:tc>
        <w:tc>
          <w:tcPr>
            <w:tcW w:type="dxa" w:w="1928"/>
            <w:shd w:val="clear" w:color="auto" w:fill="2E1C6B"/>
          </w:tcPr>
          <w:p>
            <w:pPr>
              <w:spacing w:after="20" w:before="20" w:line="252" w:lineRule="auto"/>
            </w:pPr>
            <w:r>
              <w:rPr>
                <w:rFonts w:ascii="Arial" w:hAnsi="Arial"/>
                <w:b/>
                <w:color w:val="FFFFFF"/>
                <w:sz w:val="16"/>
              </w:rPr>
              <w:t>Permission</w:t>
            </w:r>
          </w:p>
        </w:tc>
        <w:tc>
          <w:tcPr>
            <w:tcW w:type="dxa" w:w="2948"/>
            <w:shd w:val="clear" w:color="auto" w:fill="2E1C6B"/>
          </w:tcPr>
          <w:p>
            <w:pPr>
              <w:spacing w:after="20" w:before="20" w:line="252" w:lineRule="auto"/>
            </w:pPr>
            <w:r>
              <w:rPr>
                <w:rFonts w:ascii="Arial" w:hAnsi="Arial"/>
                <w:b/>
                <w:color w:val="FFFFFF"/>
                <w:sz w:val="16"/>
              </w:rPr>
              <w:t>Purpose</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/verification/providers</w:t>
            </w:r>
          </w:p>
        </w:tc>
        <w:tc>
          <w:tcPr>
            <w:tcW w:type="dxa" w:w="1928"/>
          </w:tcPr>
          <w:p>
            <w:pPr>
              <w:spacing w:after="20" w:before="20" w:line="264" w:lineRule="auto"/>
            </w:pPr>
            <w:r>
              <w:rPr>
                <w:rFonts w:ascii="Consolas" w:hAnsi="Consolas"/>
                <w:color w:val="381A89"/>
                <w:sz w:val="15"/>
              </w:rPr>
              <w:t>verification:read</w:t>
            </w:r>
          </w:p>
        </w:tc>
        <w:tc>
          <w:tcPr>
            <w:tcW w:type="dxa" w:w="2948"/>
          </w:tcPr>
          <w:p>
            <w:pPr>
              <w:spacing w:after="20" w:before="20" w:line="264" w:lineRule="auto"/>
            </w:pPr>
            <w:r>
              <w:rPr>
                <w:rFonts w:ascii="Arial" w:hAnsi="Arial"/>
                <w:sz w:val="17"/>
              </w:rPr>
              <w:t>Providers with mode and demo flag.</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/verification/requests</w:t>
            </w:r>
          </w:p>
        </w:tc>
        <w:tc>
          <w:tcPr>
            <w:tcW w:type="dxa" w:w="1928"/>
            <w:shd w:val="clear" w:color="auto" w:fill="F4F2FA"/>
          </w:tcPr>
          <w:p>
            <w:pPr>
              <w:spacing w:after="20" w:before="20" w:line="264" w:lineRule="auto"/>
            </w:pPr>
            <w:r>
              <w:rPr>
                <w:rFonts w:ascii="Consolas" w:hAnsi="Consolas"/>
                <w:color w:val="381A89"/>
                <w:sz w:val="15"/>
              </w:rPr>
              <w:t>verification:read</w:t>
            </w:r>
          </w:p>
        </w:tc>
        <w:tc>
          <w:tcPr>
            <w:tcW w:type="dxa" w:w="2948"/>
            <w:shd w:val="clear" w:color="auto" w:fill="F4F2FA"/>
          </w:tcPr>
          <w:p>
            <w:pPr>
              <w:spacing w:after="20" w:before="20" w:line="264" w:lineRule="auto"/>
            </w:pPr>
            <w:r>
              <w:rPr>
                <w:rFonts w:ascii="Arial" w:hAnsi="Arial"/>
                <w:sz w:val="17"/>
              </w:rPr>
              <w:t>Paged verification history.</w:t>
            </w:r>
          </w:p>
        </w:tc>
      </w:tr>
      <w:tr>
        <w:trPr>
          <w:cantSplit/>
        </w:trPr>
        <w:tc>
          <w:tcPr>
            <w:tcW w:type="dxa" w:w="907"/>
          </w:tcPr>
          <w:p>
            <w:pPr>
              <w:spacing w:after="20" w:before="20" w:line="264" w:lineRule="auto"/>
            </w:pPr>
            <w:r>
              <w:rPr>
                <w:rFonts w:ascii="Arial" w:hAnsi="Arial"/>
                <w:sz w:val="17"/>
              </w:rPr>
              <w:t>POST</w:t>
            </w:r>
          </w:p>
        </w:tc>
        <w:tc>
          <w:tcPr>
            <w:tcW w:type="dxa" w:w="3175"/>
          </w:tcPr>
          <w:p>
            <w:pPr>
              <w:spacing w:after="20" w:before="20" w:line="264" w:lineRule="auto"/>
            </w:pPr>
            <w:r>
              <w:rPr>
                <w:rFonts w:ascii="Consolas" w:hAnsi="Consolas"/>
                <w:color w:val="381A89"/>
                <w:sz w:val="15"/>
              </w:rPr>
              <w:t>/verification/documents/{id}/run</w:t>
            </w:r>
          </w:p>
        </w:tc>
        <w:tc>
          <w:tcPr>
            <w:tcW w:type="dxa" w:w="1928"/>
          </w:tcPr>
          <w:p>
            <w:pPr>
              <w:spacing w:after="20" w:before="20" w:line="264" w:lineRule="auto"/>
            </w:pPr>
            <w:r>
              <w:rPr>
                <w:rFonts w:ascii="Consolas" w:hAnsi="Consolas"/>
                <w:color w:val="381A89"/>
                <w:sz w:val="15"/>
              </w:rPr>
              <w:t>verification:run</w:t>
            </w:r>
          </w:p>
        </w:tc>
        <w:tc>
          <w:tcPr>
            <w:tcW w:type="dxa" w:w="2948"/>
          </w:tcPr>
          <w:p>
            <w:pPr>
              <w:spacing w:after="20" w:before="20" w:line="264" w:lineRule="auto"/>
            </w:pPr>
            <w:r>
              <w:rPr>
                <w:rFonts w:ascii="Arial" w:hAnsi="Arial"/>
                <w:sz w:val="17"/>
              </w:rPr>
              <w:t>Run checks on demand.</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/investigations</w:t>
            </w:r>
          </w:p>
        </w:tc>
        <w:tc>
          <w:tcPr>
            <w:tcW w:type="dxa" w:w="1928"/>
            <w:shd w:val="clear" w:color="auto" w:fill="F4F2FA"/>
          </w:tcPr>
          <w:p>
            <w:pPr>
              <w:spacing w:after="20" w:before="20" w:line="264" w:lineRule="auto"/>
            </w:pPr>
            <w:r>
              <w:rPr>
                <w:rFonts w:ascii="Consolas" w:hAnsi="Consolas"/>
                <w:color w:val="381A89"/>
                <w:sz w:val="15"/>
              </w:rPr>
              <w:t>investigation:read</w:t>
            </w:r>
          </w:p>
        </w:tc>
        <w:tc>
          <w:tcPr>
            <w:tcW w:type="dxa" w:w="2948"/>
            <w:shd w:val="clear" w:color="auto" w:fill="F4F2FA"/>
          </w:tcPr>
          <w:p>
            <w:pPr>
              <w:spacing w:after="20" w:before="20" w:line="264" w:lineRule="auto"/>
            </w:pPr>
            <w:r>
              <w:rPr>
                <w:rFonts w:ascii="Arial" w:hAnsi="Arial"/>
                <w:sz w:val="17"/>
              </w:rPr>
              <w:t>Paged case list.</w:t>
            </w:r>
          </w:p>
        </w:tc>
      </w:tr>
      <w:tr>
        <w:trPr>
          <w:cantSplit/>
        </w:trPr>
        <w:tc>
          <w:tcPr>
            <w:tcW w:type="dxa" w:w="907"/>
          </w:tcPr>
          <w:p>
            <w:pPr>
              <w:spacing w:after="20" w:before="20" w:line="264" w:lineRule="auto"/>
            </w:pPr>
            <w:r>
              <w:rPr>
                <w:rFonts w:ascii="Arial" w:hAnsi="Arial"/>
                <w:sz w:val="17"/>
              </w:rPr>
              <w:t>POST</w:t>
            </w:r>
          </w:p>
        </w:tc>
        <w:tc>
          <w:tcPr>
            <w:tcW w:type="dxa" w:w="3175"/>
          </w:tcPr>
          <w:p>
            <w:pPr>
              <w:spacing w:after="20" w:before="20" w:line="264" w:lineRule="auto"/>
            </w:pPr>
            <w:r>
              <w:rPr>
                <w:rFonts w:ascii="Consolas" w:hAnsi="Consolas"/>
                <w:color w:val="381A89"/>
                <w:sz w:val="15"/>
              </w:rPr>
              <w:t>/investigations</w:t>
            </w:r>
          </w:p>
        </w:tc>
        <w:tc>
          <w:tcPr>
            <w:tcW w:type="dxa" w:w="1928"/>
          </w:tcPr>
          <w:p>
            <w:pPr>
              <w:spacing w:after="20" w:before="20" w:line="264" w:lineRule="auto"/>
            </w:pPr>
            <w:r>
              <w:rPr>
                <w:rFonts w:ascii="Consolas" w:hAnsi="Consolas"/>
                <w:color w:val="381A89"/>
                <w:sz w:val="15"/>
              </w:rPr>
              <w:t>investigation:escalate</w:t>
            </w:r>
          </w:p>
        </w:tc>
        <w:tc>
          <w:tcPr>
            <w:tcW w:type="dxa" w:w="2948"/>
          </w:tcPr>
          <w:p>
            <w:pPr>
              <w:spacing w:after="20" w:before="20" w:line="264" w:lineRule="auto"/>
            </w:pPr>
            <w:r>
              <w:rPr>
                <w:rFonts w:ascii="Arial" w:hAnsi="Arial"/>
                <w:sz w:val="17"/>
              </w:rPr>
              <w:t>Open a case.</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/investigations/{id}</w:t>
            </w:r>
          </w:p>
        </w:tc>
        <w:tc>
          <w:tcPr>
            <w:tcW w:type="dxa" w:w="1928"/>
            <w:shd w:val="clear" w:color="auto" w:fill="F4F2FA"/>
          </w:tcPr>
          <w:p>
            <w:pPr>
              <w:spacing w:after="20" w:before="20" w:line="264" w:lineRule="auto"/>
            </w:pPr>
            <w:r>
              <w:rPr>
                <w:rFonts w:ascii="Consolas" w:hAnsi="Consolas"/>
                <w:color w:val="381A89"/>
                <w:sz w:val="15"/>
              </w:rPr>
              <w:t>investigation:read</w:t>
            </w:r>
          </w:p>
        </w:tc>
        <w:tc>
          <w:tcPr>
            <w:tcW w:type="dxa" w:w="2948"/>
            <w:shd w:val="clear" w:color="auto" w:fill="F4F2FA"/>
          </w:tcPr>
          <w:p>
            <w:pPr>
              <w:spacing w:after="20" w:before="20" w:line="264" w:lineRule="auto"/>
            </w:pPr>
            <w:r>
              <w:rPr>
                <w:rFonts w:ascii="Arial" w:hAnsi="Arial"/>
                <w:sz w:val="17"/>
              </w:rPr>
              <w:t>Case detail with notes.</w:t>
            </w:r>
          </w:p>
        </w:tc>
      </w:tr>
      <w:tr>
        <w:trPr>
          <w:cantSplit/>
        </w:trPr>
        <w:tc>
          <w:tcPr>
            <w:tcW w:type="dxa" w:w="907"/>
          </w:tcPr>
          <w:p>
            <w:pPr>
              <w:spacing w:after="20" w:before="20" w:line="264" w:lineRule="auto"/>
            </w:pPr>
            <w:r>
              <w:rPr>
                <w:rFonts w:ascii="Arial" w:hAnsi="Arial"/>
                <w:sz w:val="17"/>
              </w:rPr>
              <w:t>PATCH</w:t>
            </w:r>
          </w:p>
        </w:tc>
        <w:tc>
          <w:tcPr>
            <w:tcW w:type="dxa" w:w="3175"/>
          </w:tcPr>
          <w:p>
            <w:pPr>
              <w:spacing w:after="20" w:before="20" w:line="264" w:lineRule="auto"/>
            </w:pPr>
            <w:r>
              <w:rPr>
                <w:rFonts w:ascii="Consolas" w:hAnsi="Consolas"/>
                <w:color w:val="381A89"/>
                <w:sz w:val="15"/>
              </w:rPr>
              <w:t>/investigations/{id}</w:t>
            </w:r>
          </w:p>
        </w:tc>
        <w:tc>
          <w:tcPr>
            <w:tcW w:type="dxa" w:w="1928"/>
          </w:tcPr>
          <w:p>
            <w:pPr>
              <w:spacing w:after="20" w:before="20" w:line="264" w:lineRule="auto"/>
            </w:pPr>
            <w:r>
              <w:rPr>
                <w:rFonts w:ascii="Consolas" w:hAnsi="Consolas"/>
                <w:color w:val="381A89"/>
                <w:sz w:val="15"/>
              </w:rPr>
              <w:t>investigation:note</w:t>
            </w:r>
          </w:p>
        </w:tc>
        <w:tc>
          <w:tcPr>
            <w:tcW w:type="dxa" w:w="2948"/>
          </w:tcPr>
          <w:p>
            <w:pPr>
              <w:spacing w:after="20" w:before="20" w:line="264" w:lineRule="auto"/>
            </w:pPr>
            <w:r>
              <w:rPr>
                <w:rFonts w:ascii="Arial" w:hAnsi="Arial"/>
                <w:sz w:val="17"/>
              </w:rPr>
              <w:t xml:space="preserve">Update a case; closing requires </w:t>
            </w:r>
            <w:r>
              <w:rPr>
                <w:rFonts w:ascii="Consolas" w:hAnsi="Consolas"/>
                <w:color w:val="381A89"/>
                <w:sz w:val="15"/>
              </w:rPr>
              <w:t>investigation:close</w:t>
            </w:r>
            <w:r>
              <w:rPr>
                <w:rFonts w:ascii="Arial" w:hAnsi="Arial"/>
                <w:sz w:val="17"/>
              </w:rPr>
              <w:t>.</w:t>
            </w:r>
          </w:p>
        </w:tc>
      </w:tr>
      <w:tr>
        <w:trPr>
          <w:cantSplit/>
        </w:trPr>
        <w:tc>
          <w:tcPr>
            <w:tcW w:type="dxa" w:w="907"/>
            <w:shd w:val="clear" w:color="auto" w:fill="F4F2FA"/>
          </w:tcPr>
          <w:p>
            <w:pPr>
              <w:spacing w:after="20" w:before="20" w:line="264" w:lineRule="auto"/>
            </w:pPr>
            <w:r>
              <w:rPr>
                <w:rFonts w:ascii="Arial" w:hAnsi="Arial"/>
                <w:sz w:val="17"/>
              </w:rPr>
              <w:t>POST</w:t>
            </w:r>
          </w:p>
        </w:tc>
        <w:tc>
          <w:tcPr>
            <w:tcW w:type="dxa" w:w="3175"/>
            <w:shd w:val="clear" w:color="auto" w:fill="F4F2FA"/>
          </w:tcPr>
          <w:p>
            <w:pPr>
              <w:spacing w:after="20" w:before="20" w:line="264" w:lineRule="auto"/>
            </w:pPr>
            <w:r>
              <w:rPr>
                <w:rFonts w:ascii="Consolas" w:hAnsi="Consolas"/>
                <w:color w:val="381A89"/>
                <w:sz w:val="15"/>
              </w:rPr>
              <w:t>/investigations/{id}/notes</w:t>
            </w:r>
          </w:p>
        </w:tc>
        <w:tc>
          <w:tcPr>
            <w:tcW w:type="dxa" w:w="1928"/>
            <w:shd w:val="clear" w:color="auto" w:fill="F4F2FA"/>
          </w:tcPr>
          <w:p>
            <w:pPr>
              <w:spacing w:after="20" w:before="20" w:line="264" w:lineRule="auto"/>
            </w:pPr>
            <w:r>
              <w:rPr>
                <w:rFonts w:ascii="Consolas" w:hAnsi="Consolas"/>
                <w:color w:val="381A89"/>
                <w:sz w:val="15"/>
              </w:rPr>
              <w:t>investigation:note</w:t>
            </w:r>
          </w:p>
        </w:tc>
        <w:tc>
          <w:tcPr>
            <w:tcW w:type="dxa" w:w="2948"/>
            <w:shd w:val="clear" w:color="auto" w:fill="F4F2FA"/>
          </w:tcPr>
          <w:p>
            <w:pPr>
              <w:spacing w:after="20" w:before="20" w:line="264" w:lineRule="auto"/>
            </w:pPr>
            <w:r>
              <w:rPr>
                <w:rFonts w:ascii="Arial" w:hAnsi="Arial"/>
                <w:sz w:val="17"/>
              </w:rPr>
              <w:t>Add a note.</w:t>
            </w:r>
          </w:p>
        </w:tc>
      </w:tr>
      <w:tr>
        <w:trPr>
          <w:cantSplit/>
        </w:trPr>
        <w:tc>
          <w:tcPr>
            <w:tcW w:type="dxa" w:w="907"/>
          </w:tcPr>
          <w:p>
            <w:pPr>
              <w:spacing w:after="20" w:before="20" w:line="264" w:lineRule="auto"/>
            </w:pPr>
            <w:r>
              <w:rPr>
                <w:rFonts w:ascii="Arial" w:hAnsi="Arial"/>
                <w:sz w:val="17"/>
              </w:rPr>
              <w:t>POST</w:t>
            </w:r>
          </w:p>
        </w:tc>
        <w:tc>
          <w:tcPr>
            <w:tcW w:type="dxa" w:w="3175"/>
          </w:tcPr>
          <w:p>
            <w:pPr>
              <w:spacing w:after="20" w:before="20" w:line="264" w:lineRule="auto"/>
            </w:pPr>
            <w:r>
              <w:rPr>
                <w:rFonts w:ascii="Consolas" w:hAnsi="Consolas"/>
                <w:color w:val="381A89"/>
                <w:sz w:val="15"/>
              </w:rPr>
              <w:t>/reports</w:t>
            </w:r>
          </w:p>
        </w:tc>
        <w:tc>
          <w:tcPr>
            <w:tcW w:type="dxa" w:w="1928"/>
          </w:tcPr>
          <w:p>
            <w:pPr>
              <w:spacing w:after="20" w:before="20" w:line="264" w:lineRule="auto"/>
            </w:pPr>
            <w:r>
              <w:rPr>
                <w:rFonts w:ascii="Consolas" w:hAnsi="Consolas"/>
                <w:color w:val="381A89"/>
                <w:sz w:val="15"/>
              </w:rPr>
              <w:t>report:generate</w:t>
            </w:r>
          </w:p>
        </w:tc>
        <w:tc>
          <w:tcPr>
            <w:tcW w:type="dxa" w:w="2948"/>
          </w:tcPr>
          <w:p>
            <w:pPr>
              <w:spacing w:after="20" w:before="20" w:line="264" w:lineRule="auto"/>
            </w:pPr>
            <w:r>
              <w:rPr>
                <w:rFonts w:ascii="Arial" w:hAnsi="Arial"/>
                <w:sz w:val="17"/>
              </w:rPr>
              <w:t>Generate the PDF evidence report.</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/reports</w:t>
            </w:r>
          </w:p>
        </w:tc>
        <w:tc>
          <w:tcPr>
            <w:tcW w:type="dxa" w:w="1928"/>
            <w:shd w:val="clear" w:color="auto" w:fill="F4F2FA"/>
          </w:tcPr>
          <w:p>
            <w:pPr>
              <w:spacing w:after="20" w:before="20" w:line="264" w:lineRule="auto"/>
            </w:pPr>
            <w:r>
              <w:rPr>
                <w:rFonts w:ascii="Consolas" w:hAnsi="Consolas"/>
                <w:color w:val="381A89"/>
                <w:sz w:val="15"/>
              </w:rPr>
              <w:t>report:read</w:t>
            </w:r>
          </w:p>
        </w:tc>
        <w:tc>
          <w:tcPr>
            <w:tcW w:type="dxa" w:w="2948"/>
            <w:shd w:val="clear" w:color="auto" w:fill="F4F2FA"/>
          </w:tcPr>
          <w:p>
            <w:pPr>
              <w:spacing w:after="20" w:before="20" w:line="264" w:lineRule="auto"/>
            </w:pPr>
            <w:r>
              <w:rPr>
                <w:rFonts w:ascii="Arial" w:hAnsi="Arial"/>
                <w:sz w:val="17"/>
              </w:rPr>
              <w:t>Paged report register.</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/reports/{id}</w:t>
            </w:r>
          </w:p>
        </w:tc>
        <w:tc>
          <w:tcPr>
            <w:tcW w:type="dxa" w:w="1928"/>
          </w:tcPr>
          <w:p>
            <w:pPr>
              <w:spacing w:after="20" w:before="20" w:line="264" w:lineRule="auto"/>
            </w:pPr>
            <w:r>
              <w:rPr>
                <w:rFonts w:ascii="Consolas" w:hAnsi="Consolas"/>
                <w:color w:val="381A89"/>
                <w:sz w:val="15"/>
              </w:rPr>
              <w:t>report:read</w:t>
            </w:r>
          </w:p>
        </w:tc>
        <w:tc>
          <w:tcPr>
            <w:tcW w:type="dxa" w:w="2948"/>
          </w:tcPr>
          <w:p>
            <w:pPr>
              <w:spacing w:after="20" w:before="20" w:line="264" w:lineRule="auto"/>
            </w:pPr>
            <w:r>
              <w:rPr>
                <w:rFonts w:ascii="Arial" w:hAnsi="Arial"/>
                <w:sz w:val="17"/>
              </w:rPr>
              <w:t>Report metadata with both hashes.</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/reports/{id}/export</w:t>
            </w:r>
          </w:p>
        </w:tc>
        <w:tc>
          <w:tcPr>
            <w:tcW w:type="dxa" w:w="1928"/>
            <w:shd w:val="clear" w:color="auto" w:fill="F4F2FA"/>
          </w:tcPr>
          <w:p>
            <w:pPr>
              <w:spacing w:after="20" w:before="20" w:line="264" w:lineRule="auto"/>
            </w:pPr>
            <w:r>
              <w:rPr>
                <w:rFonts w:ascii="Consolas" w:hAnsi="Consolas"/>
                <w:color w:val="381A89"/>
                <w:sz w:val="15"/>
              </w:rPr>
              <w:t>report:read</w:t>
            </w:r>
          </w:p>
        </w:tc>
        <w:tc>
          <w:tcPr>
            <w:tcW w:type="dxa" w:w="2948"/>
            <w:shd w:val="clear" w:color="auto" w:fill="F4F2FA"/>
          </w:tcPr>
          <w:p>
            <w:pPr>
              <w:spacing w:after="20" w:before="20" w:line="264" w:lineRule="auto"/>
            </w:pPr>
            <w:r>
              <w:rPr>
                <w:rFonts w:ascii="Arial" w:hAnsi="Arial"/>
                <w:sz w:val="17"/>
              </w:rPr>
              <w:t>Download the PDF.</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/audit-logs</w:t>
            </w:r>
          </w:p>
        </w:tc>
        <w:tc>
          <w:tcPr>
            <w:tcW w:type="dxa" w:w="1928"/>
          </w:tcPr>
          <w:p>
            <w:pPr>
              <w:spacing w:after="20" w:before="20" w:line="264" w:lineRule="auto"/>
            </w:pPr>
            <w:r>
              <w:rPr>
                <w:rFonts w:ascii="Consolas" w:hAnsi="Consolas"/>
                <w:color w:val="381A89"/>
                <w:sz w:val="15"/>
              </w:rPr>
              <w:t>audit:read</w:t>
            </w:r>
          </w:p>
        </w:tc>
        <w:tc>
          <w:tcPr>
            <w:tcW w:type="dxa" w:w="2948"/>
          </w:tcPr>
          <w:p>
            <w:pPr>
              <w:spacing w:after="20" w:before="20" w:line="264" w:lineRule="auto"/>
            </w:pPr>
            <w:r>
              <w:rPr>
                <w:rFonts w:ascii="Arial" w:hAnsi="Arial"/>
                <w:sz w:val="17"/>
              </w:rPr>
              <w:t>Paged, filtered audit trail.</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/audit-logs/actions</w:t>
            </w:r>
          </w:p>
        </w:tc>
        <w:tc>
          <w:tcPr>
            <w:tcW w:type="dxa" w:w="1928"/>
            <w:shd w:val="clear" w:color="auto" w:fill="F4F2FA"/>
          </w:tcPr>
          <w:p>
            <w:pPr>
              <w:spacing w:after="20" w:before="20" w:line="264" w:lineRule="auto"/>
            </w:pPr>
            <w:r>
              <w:rPr>
                <w:rFonts w:ascii="Consolas" w:hAnsi="Consolas"/>
                <w:color w:val="381A89"/>
                <w:sz w:val="15"/>
              </w:rPr>
              <w:t>audit:read</w:t>
            </w:r>
          </w:p>
        </w:tc>
        <w:tc>
          <w:tcPr>
            <w:tcW w:type="dxa" w:w="2948"/>
            <w:shd w:val="clear" w:color="auto" w:fill="F4F2FA"/>
          </w:tcPr>
          <w:p>
            <w:pPr>
              <w:spacing w:after="20" w:before="20" w:line="264" w:lineRule="auto"/>
            </w:pPr>
            <w:r>
              <w:rPr>
                <w:rFonts w:ascii="Arial" w:hAnsi="Arial"/>
                <w:sz w:val="17"/>
              </w:rPr>
              <w:t>Known audit action codes.</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/audit-logs/chain/verify</w:t>
            </w:r>
          </w:p>
        </w:tc>
        <w:tc>
          <w:tcPr>
            <w:tcW w:type="dxa" w:w="1928"/>
          </w:tcPr>
          <w:p>
            <w:pPr>
              <w:spacing w:after="20" w:before="20" w:line="264" w:lineRule="auto"/>
            </w:pPr>
            <w:r>
              <w:rPr>
                <w:rFonts w:ascii="Consolas" w:hAnsi="Consolas"/>
                <w:color w:val="381A89"/>
                <w:sz w:val="15"/>
              </w:rPr>
              <w:t>audit:read</w:t>
            </w:r>
          </w:p>
        </w:tc>
        <w:tc>
          <w:tcPr>
            <w:tcW w:type="dxa" w:w="2948"/>
          </w:tcPr>
          <w:p>
            <w:pPr>
              <w:spacing w:after="20" w:before="20" w:line="264" w:lineRule="auto"/>
            </w:pPr>
            <w:r>
              <w:rPr>
                <w:rFonts w:ascii="Arial" w:hAnsi="Arial"/>
                <w:sz w:val="17"/>
              </w:rPr>
              <w:t>Recompute the hash chain and name the first divergence.</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/users</w:t>
            </w:r>
          </w:p>
        </w:tc>
        <w:tc>
          <w:tcPr>
            <w:tcW w:type="dxa" w:w="1928"/>
            <w:shd w:val="clear" w:color="auto" w:fill="F4F2FA"/>
          </w:tcPr>
          <w:p>
            <w:pPr>
              <w:spacing w:after="20" w:before="20" w:line="264" w:lineRule="auto"/>
            </w:pPr>
            <w:r>
              <w:rPr>
                <w:rFonts w:ascii="Consolas" w:hAnsi="Consolas"/>
                <w:color w:val="381A89"/>
                <w:sz w:val="15"/>
              </w:rPr>
              <w:t>user:read</w:t>
            </w:r>
          </w:p>
        </w:tc>
        <w:tc>
          <w:tcPr>
            <w:tcW w:type="dxa" w:w="2948"/>
            <w:shd w:val="clear" w:color="auto" w:fill="F4F2FA"/>
          </w:tcPr>
          <w:p>
            <w:pPr>
              <w:spacing w:after="20" w:before="20" w:line="264" w:lineRule="auto"/>
            </w:pPr>
            <w:r>
              <w:rPr>
                <w:rFonts w:ascii="Arial" w:hAnsi="Arial"/>
                <w:sz w:val="17"/>
              </w:rPr>
              <w:t>Paged user list.</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/users/{id}</w:t>
            </w:r>
          </w:p>
        </w:tc>
        <w:tc>
          <w:tcPr>
            <w:tcW w:type="dxa" w:w="1928"/>
          </w:tcPr>
          <w:p>
            <w:pPr>
              <w:spacing w:after="20" w:before="20" w:line="264" w:lineRule="auto"/>
            </w:pPr>
            <w:r>
              <w:rPr>
                <w:rFonts w:ascii="Consolas" w:hAnsi="Consolas"/>
                <w:color w:val="381A89"/>
                <w:sz w:val="15"/>
              </w:rPr>
              <w:t>user:read</w:t>
            </w:r>
          </w:p>
        </w:tc>
        <w:tc>
          <w:tcPr>
            <w:tcW w:type="dxa" w:w="2948"/>
          </w:tcPr>
          <w:p>
            <w:pPr>
              <w:spacing w:after="20" w:before="20" w:line="264" w:lineRule="auto"/>
            </w:pPr>
            <w:r>
              <w:rPr>
                <w:rFonts w:ascii="Arial" w:hAnsi="Arial"/>
                <w:sz w:val="17"/>
              </w:rPr>
              <w:t>User detail.</w:t>
            </w:r>
          </w:p>
        </w:tc>
      </w:tr>
      <w:tr>
        <w:trPr>
          <w:cantSplit/>
        </w:trPr>
        <w:tc>
          <w:tcPr>
            <w:tcW w:type="dxa" w:w="907"/>
            <w:shd w:val="clear" w:color="auto" w:fill="F4F2FA"/>
          </w:tcPr>
          <w:p>
            <w:pPr>
              <w:spacing w:after="20" w:before="20" w:line="264" w:lineRule="auto"/>
            </w:pPr>
            <w:r>
              <w:rPr>
                <w:rFonts w:ascii="Arial" w:hAnsi="Arial"/>
                <w:sz w:val="17"/>
              </w:rPr>
              <w:t>POST</w:t>
            </w:r>
          </w:p>
        </w:tc>
        <w:tc>
          <w:tcPr>
            <w:tcW w:type="dxa" w:w="3175"/>
            <w:shd w:val="clear" w:color="auto" w:fill="F4F2FA"/>
          </w:tcPr>
          <w:p>
            <w:pPr>
              <w:spacing w:after="20" w:before="20" w:line="264" w:lineRule="auto"/>
            </w:pPr>
            <w:r>
              <w:rPr>
                <w:rFonts w:ascii="Consolas" w:hAnsi="Consolas"/>
                <w:color w:val="381A89"/>
                <w:sz w:val="15"/>
              </w:rPr>
              <w:t>/users</w:t>
            </w:r>
          </w:p>
        </w:tc>
        <w:tc>
          <w:tcPr>
            <w:tcW w:type="dxa" w:w="1928"/>
            <w:shd w:val="clear" w:color="auto" w:fill="F4F2FA"/>
          </w:tcPr>
          <w:p>
            <w:pPr>
              <w:spacing w:after="20" w:before="20" w:line="264" w:lineRule="auto"/>
            </w:pPr>
            <w:r>
              <w:rPr>
                <w:rFonts w:ascii="Consolas" w:hAnsi="Consolas"/>
                <w:color w:val="381A89"/>
                <w:sz w:val="15"/>
              </w:rPr>
              <w:t>user:write</w:t>
            </w:r>
          </w:p>
        </w:tc>
        <w:tc>
          <w:tcPr>
            <w:tcW w:type="dxa" w:w="2948"/>
            <w:shd w:val="clear" w:color="auto" w:fill="F4F2FA"/>
          </w:tcPr>
          <w:p>
            <w:pPr>
              <w:spacing w:after="20" w:before="20" w:line="264" w:lineRule="auto"/>
            </w:pPr>
            <w:r>
              <w:rPr>
                <w:rFonts w:ascii="Arial" w:hAnsi="Arial"/>
                <w:sz w:val="17"/>
              </w:rPr>
              <w:t>Create a user.</w:t>
            </w:r>
          </w:p>
        </w:tc>
      </w:tr>
      <w:tr>
        <w:trPr>
          <w:cantSplit/>
        </w:trPr>
        <w:tc>
          <w:tcPr>
            <w:tcW w:type="dxa" w:w="907"/>
          </w:tcPr>
          <w:p>
            <w:pPr>
              <w:spacing w:after="20" w:before="20" w:line="264" w:lineRule="auto"/>
            </w:pPr>
            <w:r>
              <w:rPr>
                <w:rFonts w:ascii="Arial" w:hAnsi="Arial"/>
                <w:sz w:val="17"/>
              </w:rPr>
              <w:t>PATCH</w:t>
            </w:r>
          </w:p>
        </w:tc>
        <w:tc>
          <w:tcPr>
            <w:tcW w:type="dxa" w:w="3175"/>
          </w:tcPr>
          <w:p>
            <w:pPr>
              <w:spacing w:after="20" w:before="20" w:line="264" w:lineRule="auto"/>
            </w:pPr>
            <w:r>
              <w:rPr>
                <w:rFonts w:ascii="Consolas" w:hAnsi="Consolas"/>
                <w:color w:val="381A89"/>
                <w:sz w:val="15"/>
              </w:rPr>
              <w:t>/users/{id}</w:t>
            </w:r>
          </w:p>
        </w:tc>
        <w:tc>
          <w:tcPr>
            <w:tcW w:type="dxa" w:w="1928"/>
          </w:tcPr>
          <w:p>
            <w:pPr>
              <w:spacing w:after="20" w:before="20" w:line="264" w:lineRule="auto"/>
            </w:pPr>
            <w:r>
              <w:rPr>
                <w:rFonts w:ascii="Consolas" w:hAnsi="Consolas"/>
                <w:color w:val="381A89"/>
                <w:sz w:val="15"/>
              </w:rPr>
              <w:t>user:write</w:t>
            </w:r>
          </w:p>
        </w:tc>
        <w:tc>
          <w:tcPr>
            <w:tcW w:type="dxa" w:w="2948"/>
          </w:tcPr>
          <w:p>
            <w:pPr>
              <w:spacing w:after="20" w:before="20" w:line="264" w:lineRule="auto"/>
            </w:pPr>
            <w:r>
              <w:rPr>
                <w:rFonts w:ascii="Arial" w:hAnsi="Arial"/>
                <w:sz w:val="17"/>
              </w:rPr>
              <w:t>Update role or activation.</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/users/investigators</w:t>
            </w:r>
          </w:p>
        </w:tc>
        <w:tc>
          <w:tcPr>
            <w:tcW w:type="dxa" w:w="1928"/>
            <w:shd w:val="clear" w:color="auto" w:fill="F4F2FA"/>
          </w:tcPr>
          <w:p>
            <w:pPr>
              <w:spacing w:after="20" w:before="20" w:line="264" w:lineRule="auto"/>
            </w:pPr>
            <w:r>
              <w:rPr>
                <w:rFonts w:ascii="Consolas" w:hAnsi="Consolas"/>
                <w:color w:val="381A89"/>
                <w:sz w:val="15"/>
              </w:rPr>
              <w:t>claim:read</w:t>
            </w:r>
          </w:p>
        </w:tc>
        <w:tc>
          <w:tcPr>
            <w:tcW w:type="dxa" w:w="2948"/>
            <w:shd w:val="clear" w:color="auto" w:fill="F4F2FA"/>
          </w:tcPr>
          <w:p>
            <w:pPr>
              <w:spacing w:after="20" w:before="20" w:line="264" w:lineRule="auto"/>
            </w:pPr>
            <w:r>
              <w:rPr>
                <w:rFonts w:ascii="Arial" w:hAnsi="Arial"/>
                <w:sz w:val="17"/>
              </w:rPr>
              <w:t>Investigators available for assignment.</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/users/workload</w:t>
            </w:r>
          </w:p>
        </w:tc>
        <w:tc>
          <w:tcPr>
            <w:tcW w:type="dxa" w:w="1928"/>
          </w:tcPr>
          <w:p>
            <w:pPr>
              <w:spacing w:after="20" w:before="20" w:line="264" w:lineRule="auto"/>
            </w:pPr>
            <w:r>
              <w:rPr>
                <w:rFonts w:ascii="Consolas" w:hAnsi="Consolas"/>
                <w:color w:val="381A89"/>
                <w:sz w:val="15"/>
              </w:rPr>
              <w:t>investigation:read</w:t>
            </w:r>
          </w:p>
        </w:tc>
        <w:tc>
          <w:tcPr>
            <w:tcW w:type="dxa" w:w="2948"/>
          </w:tcPr>
          <w:p>
            <w:pPr>
              <w:spacing w:after="20" w:before="20" w:line="264" w:lineRule="auto"/>
            </w:pPr>
            <w:r>
              <w:rPr>
                <w:rFonts w:ascii="Arial" w:hAnsi="Arial"/>
                <w:sz w:val="17"/>
              </w:rPr>
              <w:t>Open-case load per investigator.</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/rules</w:t>
            </w:r>
          </w:p>
        </w:tc>
        <w:tc>
          <w:tcPr>
            <w:tcW w:type="dxa" w:w="1928"/>
            <w:shd w:val="clear" w:color="auto" w:fill="F4F2FA"/>
          </w:tcPr>
          <w:p>
            <w:pPr>
              <w:spacing w:after="20" w:before="20" w:line="264" w:lineRule="auto"/>
            </w:pPr>
            <w:r>
              <w:rPr>
                <w:rFonts w:ascii="Consolas" w:hAnsi="Consolas"/>
                <w:color w:val="381A89"/>
                <w:sz w:val="15"/>
              </w:rPr>
              <w:t>rule:read</w:t>
            </w:r>
          </w:p>
        </w:tc>
        <w:tc>
          <w:tcPr>
            <w:tcW w:type="dxa" w:w="2948"/>
            <w:shd w:val="clear" w:color="auto" w:fill="F4F2FA"/>
          </w:tcPr>
          <w:p>
            <w:pPr>
              <w:spacing w:after="20" w:before="20" w:line="264" w:lineRule="auto"/>
            </w:pPr>
            <w:r>
              <w:rPr>
                <w:rFonts w:ascii="Arial" w:hAnsi="Arial"/>
                <w:sz w:val="17"/>
              </w:rPr>
              <w:t>Detection rule catalogue with weights.</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/rules/catalogue</w:t>
            </w:r>
          </w:p>
        </w:tc>
        <w:tc>
          <w:tcPr>
            <w:tcW w:type="dxa" w:w="1928"/>
          </w:tcPr>
          <w:p>
            <w:pPr>
              <w:spacing w:after="20" w:before="20" w:line="264" w:lineRule="auto"/>
            </w:pPr>
            <w:r>
              <w:rPr>
                <w:rFonts w:ascii="Consolas" w:hAnsi="Consolas"/>
                <w:color w:val="381A89"/>
                <w:sz w:val="15"/>
              </w:rPr>
              <w:t>rule:read</w:t>
            </w:r>
          </w:p>
        </w:tc>
        <w:tc>
          <w:tcPr>
            <w:tcW w:type="dxa" w:w="2948"/>
          </w:tcPr>
          <w:p>
            <w:pPr>
              <w:spacing w:after="20" w:before="20" w:line="264" w:lineRule="auto"/>
            </w:pPr>
            <w:r>
              <w:rPr>
                <w:rFonts w:ascii="Arial" w:hAnsi="Arial"/>
                <w:sz w:val="17"/>
              </w:rPr>
              <w:t>Built-in definitions and the risk weight model.</w:t>
            </w:r>
          </w:p>
        </w:tc>
      </w:tr>
      <w:tr>
        <w:trPr>
          <w:cantSplit/>
        </w:trPr>
        <w:tc>
          <w:tcPr>
            <w:tcW w:type="dxa" w:w="907"/>
            <w:shd w:val="clear" w:color="auto" w:fill="F4F2FA"/>
          </w:tcPr>
          <w:p>
            <w:pPr>
              <w:spacing w:after="20" w:before="20" w:line="264" w:lineRule="auto"/>
            </w:pPr>
            <w:r>
              <w:rPr>
                <w:rFonts w:ascii="Arial" w:hAnsi="Arial"/>
                <w:sz w:val="17"/>
              </w:rPr>
              <w:t>PATCH</w:t>
            </w:r>
          </w:p>
        </w:tc>
        <w:tc>
          <w:tcPr>
            <w:tcW w:type="dxa" w:w="3175"/>
            <w:shd w:val="clear" w:color="auto" w:fill="F4F2FA"/>
          </w:tcPr>
          <w:p>
            <w:pPr>
              <w:spacing w:after="20" w:before="20" w:line="264" w:lineRule="auto"/>
            </w:pPr>
            <w:r>
              <w:rPr>
                <w:rFonts w:ascii="Consolas" w:hAnsi="Consolas"/>
                <w:color w:val="381A89"/>
                <w:sz w:val="15"/>
              </w:rPr>
              <w:t>/rules/{code}</w:t>
            </w:r>
          </w:p>
        </w:tc>
        <w:tc>
          <w:tcPr>
            <w:tcW w:type="dxa" w:w="1928"/>
            <w:shd w:val="clear" w:color="auto" w:fill="F4F2FA"/>
          </w:tcPr>
          <w:p>
            <w:pPr>
              <w:spacing w:after="20" w:before="20" w:line="264" w:lineRule="auto"/>
            </w:pPr>
            <w:r>
              <w:rPr>
                <w:rFonts w:ascii="Consolas" w:hAnsi="Consolas"/>
                <w:color w:val="381A89"/>
                <w:sz w:val="15"/>
              </w:rPr>
              <w:t>rule:write</w:t>
            </w:r>
          </w:p>
        </w:tc>
        <w:tc>
          <w:tcPr>
            <w:tcW w:type="dxa" w:w="2948"/>
            <w:shd w:val="clear" w:color="auto" w:fill="F4F2FA"/>
          </w:tcPr>
          <w:p>
            <w:pPr>
              <w:spacing w:after="20" w:before="20" w:line="264" w:lineRule="auto"/>
            </w:pPr>
            <w:r>
              <w:rPr>
                <w:rFonts w:ascii="Arial" w:hAnsi="Arial"/>
                <w:sz w:val="17"/>
              </w:rPr>
              <w:t>Retune a rule; audited.</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/document-types</w:t>
            </w:r>
          </w:p>
        </w:tc>
        <w:tc>
          <w:tcPr>
            <w:tcW w:type="dxa" w:w="1928"/>
          </w:tcPr>
          <w:p>
            <w:pPr>
              <w:spacing w:after="20" w:before="20" w:line="264" w:lineRule="auto"/>
            </w:pPr>
            <w:r>
              <w:rPr>
                <w:rFonts w:ascii="Consolas" w:hAnsi="Consolas"/>
                <w:color w:val="381A89"/>
                <w:sz w:val="15"/>
              </w:rPr>
              <w:t>rule:read</w:t>
            </w:r>
          </w:p>
        </w:tc>
        <w:tc>
          <w:tcPr>
            <w:tcW w:type="dxa" w:w="2948"/>
          </w:tcPr>
          <w:p>
            <w:pPr>
              <w:spacing w:after="20" w:before="20" w:line="264" w:lineRule="auto"/>
            </w:pPr>
            <w:r>
              <w:rPr>
                <w:rFonts w:ascii="Arial" w:hAnsi="Arial"/>
                <w:sz w:val="17"/>
              </w:rPr>
              <w:t>Schemas, required fields, synonyms and verification routes.</w:t>
            </w:r>
          </w:p>
        </w:tc>
      </w:tr>
      <w:tr>
        <w:trPr>
          <w:cantSplit/>
        </w:trPr>
        <w:tc>
          <w:tcPr>
            <w:tcW w:type="dxa" w:w="907"/>
            <w:shd w:val="clear" w:color="auto" w:fill="F4F2FA"/>
          </w:tcPr>
          <w:p>
            <w:pPr>
              <w:spacing w:after="20" w:before="20" w:line="264" w:lineRule="auto"/>
            </w:pPr>
            <w:r>
              <w:rPr>
                <w:rFonts w:ascii="Arial" w:hAnsi="Arial"/>
                <w:sz w:val="17"/>
              </w:rPr>
              <w:t>GET</w:t>
            </w:r>
          </w:p>
        </w:tc>
        <w:tc>
          <w:tcPr>
            <w:tcW w:type="dxa" w:w="3175"/>
            <w:shd w:val="clear" w:color="auto" w:fill="F4F2FA"/>
          </w:tcPr>
          <w:p>
            <w:pPr>
              <w:spacing w:after="20" w:before="20" w:line="264" w:lineRule="auto"/>
            </w:pPr>
            <w:r>
              <w:rPr>
                <w:rFonts w:ascii="Consolas" w:hAnsi="Consolas"/>
                <w:color w:val="381A89"/>
                <w:sz w:val="15"/>
              </w:rPr>
              <w:t>/providers</w:t>
            </w:r>
          </w:p>
        </w:tc>
        <w:tc>
          <w:tcPr>
            <w:tcW w:type="dxa" w:w="1928"/>
            <w:shd w:val="clear" w:color="auto" w:fill="F4F2FA"/>
          </w:tcPr>
          <w:p>
            <w:pPr>
              <w:spacing w:after="20" w:before="20" w:line="264" w:lineRule="auto"/>
            </w:pPr>
            <w:r>
              <w:rPr>
                <w:rFonts w:ascii="Consolas" w:hAnsi="Consolas"/>
                <w:color w:val="381A89"/>
                <w:sz w:val="15"/>
              </w:rPr>
              <w:t>provider:read</w:t>
            </w:r>
          </w:p>
        </w:tc>
        <w:tc>
          <w:tcPr>
            <w:tcW w:type="dxa" w:w="2948"/>
            <w:shd w:val="clear" w:color="auto" w:fill="F4F2FA"/>
          </w:tcPr>
          <w:p>
            <w:pPr>
              <w:spacing w:after="20" w:before="20" w:line="264" w:lineRule="auto"/>
            </w:pPr>
            <w:r>
              <w:rPr>
                <w:rFonts w:ascii="Arial" w:hAnsi="Arial"/>
                <w:sz w:val="17"/>
              </w:rPr>
              <w:t xml:space="preserve">Provider configuration — credential variable </w:t>
            </w:r>
            <w:r>
              <w:rPr>
                <w:rFonts w:ascii="Arial" w:hAnsi="Arial"/>
                <w:b/>
                <w:sz w:val="17"/>
              </w:rPr>
              <w:t>names</w:t>
            </w:r>
            <w:r>
              <w:rPr>
                <w:rFonts w:ascii="Arial" w:hAnsi="Arial"/>
                <w:sz w:val="17"/>
              </w:rPr>
              <w:t xml:space="preserve"> only.</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/providers/runtime</w:t>
            </w:r>
          </w:p>
        </w:tc>
        <w:tc>
          <w:tcPr>
            <w:tcW w:type="dxa" w:w="1928"/>
          </w:tcPr>
          <w:p>
            <w:pPr>
              <w:spacing w:after="20" w:before="20" w:line="264" w:lineRule="auto"/>
            </w:pPr>
            <w:r>
              <w:rPr>
                <w:rFonts w:ascii="Consolas" w:hAnsi="Consolas"/>
                <w:color w:val="381A89"/>
                <w:sz w:val="15"/>
              </w:rPr>
              <w:t>provider:read</w:t>
            </w:r>
          </w:p>
        </w:tc>
        <w:tc>
          <w:tcPr>
            <w:tcW w:type="dxa" w:w="2948"/>
          </w:tcPr>
          <w:p>
            <w:pPr>
              <w:spacing w:after="20" w:before="20" w:line="264" w:lineRule="auto"/>
            </w:pPr>
            <w:r>
              <w:rPr>
                <w:rFonts w:ascii="Arial" w:hAnsi="Arial"/>
                <w:sz w:val="17"/>
              </w:rPr>
              <w:t>Live provider availability.</w:t>
            </w:r>
          </w:p>
        </w:tc>
      </w:tr>
      <w:tr>
        <w:trPr>
          <w:cantSplit/>
        </w:trPr>
        <w:tc>
          <w:tcPr>
            <w:tcW w:type="dxa" w:w="907"/>
            <w:shd w:val="clear" w:color="auto" w:fill="F4F2FA"/>
          </w:tcPr>
          <w:p>
            <w:pPr>
              <w:spacing w:after="20" w:before="20" w:line="264" w:lineRule="auto"/>
            </w:pPr>
            <w:r>
              <w:rPr>
                <w:rFonts w:ascii="Arial" w:hAnsi="Arial"/>
                <w:sz w:val="17"/>
              </w:rPr>
              <w:t>PATCH</w:t>
            </w:r>
          </w:p>
        </w:tc>
        <w:tc>
          <w:tcPr>
            <w:tcW w:type="dxa" w:w="3175"/>
            <w:shd w:val="clear" w:color="auto" w:fill="F4F2FA"/>
          </w:tcPr>
          <w:p>
            <w:pPr>
              <w:spacing w:after="20" w:before="20" w:line="264" w:lineRule="auto"/>
            </w:pPr>
            <w:r>
              <w:rPr>
                <w:rFonts w:ascii="Consolas" w:hAnsi="Consolas"/>
                <w:color w:val="381A89"/>
                <w:sz w:val="15"/>
              </w:rPr>
              <w:t>/providers/{kind}/{key}</w:t>
            </w:r>
          </w:p>
        </w:tc>
        <w:tc>
          <w:tcPr>
            <w:tcW w:type="dxa" w:w="1928"/>
            <w:shd w:val="clear" w:color="auto" w:fill="F4F2FA"/>
          </w:tcPr>
          <w:p>
            <w:pPr>
              <w:spacing w:after="20" w:before="20" w:line="264" w:lineRule="auto"/>
            </w:pPr>
            <w:r>
              <w:rPr>
                <w:rFonts w:ascii="Consolas" w:hAnsi="Consolas"/>
                <w:color w:val="381A89"/>
                <w:sz w:val="15"/>
              </w:rPr>
              <w:t>provider:write</w:t>
            </w:r>
          </w:p>
        </w:tc>
        <w:tc>
          <w:tcPr>
            <w:tcW w:type="dxa" w:w="2948"/>
            <w:shd w:val="clear" w:color="auto" w:fill="F4F2FA"/>
          </w:tcPr>
          <w:p>
            <w:pPr>
              <w:spacing w:after="20" w:before="20" w:line="264" w:lineRule="auto"/>
            </w:pPr>
            <w:r>
              <w:rPr>
                <w:rFonts w:ascii="Arial" w:hAnsi="Arial"/>
                <w:sz w:val="17"/>
              </w:rPr>
              <w:t>Activate or configure a provider.</w:t>
            </w:r>
          </w:p>
        </w:tc>
      </w:tr>
      <w:tr>
        <w:trPr>
          <w:cantSplit/>
        </w:trPr>
        <w:tc>
          <w:tcPr>
            <w:tcW w:type="dxa" w:w="907"/>
          </w:tcPr>
          <w:p>
            <w:pPr>
              <w:spacing w:after="20" w:before="20" w:line="264" w:lineRule="auto"/>
            </w:pPr>
            <w:r>
              <w:rPr>
                <w:rFonts w:ascii="Arial" w:hAnsi="Arial"/>
                <w:sz w:val="17"/>
              </w:rPr>
              <w:t>GET</w:t>
            </w:r>
          </w:p>
        </w:tc>
        <w:tc>
          <w:tcPr>
            <w:tcW w:type="dxa" w:w="3175"/>
          </w:tcPr>
          <w:p>
            <w:pPr>
              <w:spacing w:after="20" w:before="20" w:line="264" w:lineRule="auto"/>
            </w:pPr>
            <w:r>
              <w:rPr>
                <w:rFonts w:ascii="Consolas" w:hAnsi="Consolas"/>
                <w:color w:val="381A89"/>
                <w:sz w:val="15"/>
              </w:rPr>
              <w:t>/settings</w:t>
            </w:r>
          </w:p>
        </w:tc>
        <w:tc>
          <w:tcPr>
            <w:tcW w:type="dxa" w:w="1928"/>
          </w:tcPr>
          <w:p>
            <w:pPr>
              <w:spacing w:after="20" w:before="20" w:line="264" w:lineRule="auto"/>
            </w:pPr>
            <w:r>
              <w:rPr>
                <w:rFonts w:ascii="Consolas" w:hAnsi="Consolas"/>
                <w:color w:val="381A89"/>
                <w:sz w:val="15"/>
              </w:rPr>
              <w:t>settings:read</w:t>
            </w:r>
          </w:p>
        </w:tc>
        <w:tc>
          <w:tcPr>
            <w:tcW w:type="dxa" w:w="2948"/>
          </w:tcPr>
          <w:p>
            <w:pPr>
              <w:spacing w:after="20" w:before="20" w:line="264" w:lineRule="auto"/>
            </w:pPr>
            <w:r>
              <w:rPr>
                <w:rFonts w:ascii="Arial" w:hAnsi="Arial"/>
                <w:sz w:val="17"/>
              </w:rPr>
              <w:t>System settings.</w:t>
            </w:r>
          </w:p>
        </w:tc>
      </w:tr>
      <w:tr>
        <w:trPr>
          <w:cantSplit/>
        </w:trPr>
        <w:tc>
          <w:tcPr>
            <w:tcW w:type="dxa" w:w="907"/>
            <w:shd w:val="clear" w:color="auto" w:fill="F4F2FA"/>
          </w:tcPr>
          <w:p>
            <w:pPr>
              <w:spacing w:after="20" w:before="20" w:line="264" w:lineRule="auto"/>
            </w:pPr>
            <w:r>
              <w:rPr>
                <w:rFonts w:ascii="Arial" w:hAnsi="Arial"/>
                <w:sz w:val="17"/>
              </w:rPr>
              <w:t>PUT</w:t>
            </w:r>
          </w:p>
        </w:tc>
        <w:tc>
          <w:tcPr>
            <w:tcW w:type="dxa" w:w="3175"/>
            <w:shd w:val="clear" w:color="auto" w:fill="F4F2FA"/>
          </w:tcPr>
          <w:p>
            <w:pPr>
              <w:spacing w:after="20" w:before="20" w:line="264" w:lineRule="auto"/>
            </w:pPr>
            <w:r>
              <w:rPr>
                <w:rFonts w:ascii="Consolas" w:hAnsi="Consolas"/>
                <w:color w:val="381A89"/>
                <w:sz w:val="15"/>
              </w:rPr>
              <w:t>/settings/{key}</w:t>
            </w:r>
          </w:p>
        </w:tc>
        <w:tc>
          <w:tcPr>
            <w:tcW w:type="dxa" w:w="1928"/>
            <w:shd w:val="clear" w:color="auto" w:fill="F4F2FA"/>
          </w:tcPr>
          <w:p>
            <w:pPr>
              <w:spacing w:after="20" w:before="20" w:line="264" w:lineRule="auto"/>
            </w:pPr>
            <w:r>
              <w:rPr>
                <w:rFonts w:ascii="Consolas" w:hAnsi="Consolas"/>
                <w:color w:val="381A89"/>
                <w:sz w:val="15"/>
              </w:rPr>
              <w:t>settings:write</w:t>
            </w:r>
          </w:p>
        </w:tc>
        <w:tc>
          <w:tcPr>
            <w:tcW w:type="dxa" w:w="2948"/>
            <w:shd w:val="clear" w:color="auto" w:fill="F4F2FA"/>
          </w:tcPr>
          <w:p>
            <w:pPr>
              <w:spacing w:after="20" w:before="20" w:line="264" w:lineRule="auto"/>
            </w:pPr>
            <w:r>
              <w:rPr>
                <w:rFonts w:ascii="Arial" w:hAnsi="Arial"/>
                <w:sz w:val="17"/>
              </w:rPr>
              <w:t>Update a setting; risk thresholds are validated.</w:t>
            </w:r>
          </w:p>
        </w:tc>
      </w:tr>
    </w:tbl>
    <w:p>
      <w:pPr>
        <w:spacing w:after="40"/>
      </w:pPr>
    </w:p>
    <w:p>
      <w:r>
        <w:br w:type="page"/>
      </w:r>
    </w:p>
    <w:p>
      <w:pPr>
        <w:pStyle w:val="Heading1"/>
      </w:pPr>
      <w:r>
        <w:t>Appendix D  Test Inventory</w:t>
      </w:r>
    </w:p>
    <w:p>
      <w:pPr>
        <w:spacing w:after="160"/>
        <w:jc w:val="both"/>
      </w:pPr>
      <w:r>
        <w:t>155 test functions across 10 files, expanding with parametrisation to 174 executed tests, all passing in 157.78 s. The suite runs against a real PostgreSQL database and real storage; only external providers are substituted.</w:t>
      </w:r>
    </w:p>
    <w:p>
      <w:pPr>
        <w:keepNext/>
        <w:spacing w:after="60" w:before="120"/>
      </w:pPr>
      <w:r>
        <w:rPr>
          <w:rFonts w:ascii="Arial" w:hAnsi="Arial"/>
          <w:b/>
          <w:color w:val="381A89"/>
          <w:sz w:val="18"/>
        </w:rPr>
        <w:t xml:space="preserve">Table 36. </w:t>
      </w:r>
      <w:r>
        <w:rPr>
          <w:rFonts w:ascii="Arial" w:hAnsi="Arial"/>
          <w:color w:val="55516B"/>
          <w:sz w:val="18"/>
        </w:rPr>
        <w:t>Notable assertions per test file, emphasising the negative and wording assertions.</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2268"/>
            <w:shd w:val="clear" w:color="auto" w:fill="2E1C6B"/>
          </w:tcPr>
          <w:p>
            <w:pPr>
              <w:spacing w:after="20" w:before="20" w:line="252" w:lineRule="auto"/>
            </w:pPr>
            <w:r>
              <w:rPr>
                <w:rFonts w:ascii="Arial" w:hAnsi="Arial"/>
                <w:b/>
                <w:color w:val="FFFFFF"/>
                <w:sz w:val="16"/>
              </w:rPr>
              <w:t>File</w:t>
            </w:r>
          </w:p>
        </w:tc>
        <w:tc>
          <w:tcPr>
            <w:tcW w:type="dxa" w:w="6690"/>
            <w:shd w:val="clear" w:color="auto" w:fill="2E1C6B"/>
          </w:tcPr>
          <w:p>
            <w:pPr>
              <w:spacing w:after="20" w:before="20" w:line="252" w:lineRule="auto"/>
            </w:pPr>
            <w:r>
              <w:rPr>
                <w:rFonts w:ascii="Arial" w:hAnsi="Arial"/>
                <w:b/>
                <w:color w:val="FFFFFF"/>
                <w:sz w:val="16"/>
              </w:rPr>
              <w:t>Representative assertions</w:t>
            </w:r>
          </w:p>
        </w:tc>
      </w:tr>
      <w:tr>
        <w:trPr>
          <w:cantSplit/>
        </w:trPr>
        <w:tc>
          <w:tcPr>
            <w:tcW w:type="dxa" w:w="2268"/>
          </w:tcPr>
          <w:p>
            <w:pPr>
              <w:spacing w:after="20" w:before="20" w:line="264" w:lineRule="auto"/>
            </w:pPr>
            <w:r>
              <w:rPr>
                <w:rFonts w:ascii="Consolas" w:hAnsi="Consolas"/>
                <w:color w:val="381A89"/>
                <w:sz w:val="15"/>
              </w:rPr>
              <w:t>test_auth_rbac.py</w:t>
            </w:r>
          </w:p>
        </w:tc>
        <w:tc>
          <w:tcPr>
            <w:tcW w:type="dxa" w:w="6690"/>
          </w:tcPr>
          <w:p>
            <w:pPr>
              <w:spacing w:after="20" w:before="20" w:line="264" w:lineRule="auto"/>
            </w:pPr>
            <w:r>
              <w:rPr>
                <w:rFonts w:ascii="Arial" w:hAnsi="Arial"/>
                <w:sz w:val="17"/>
              </w:rPr>
              <w:t>Sign-in issues typed tokens; failure wording is identical for an unknown account and a wrong password; an access token cannot be replayed as a refresh token; refresh rotates both tokens; the permission matrix matches per role; each role is denied the endpoints it must not reach.</w:t>
            </w:r>
          </w:p>
        </w:tc>
      </w:tr>
      <w:tr>
        <w:trPr>
          <w:cantSplit/>
        </w:trPr>
        <w:tc>
          <w:tcPr>
            <w:tcW w:type="dxa" w:w="2268"/>
            <w:shd w:val="clear" w:color="auto" w:fill="F4F2FA"/>
          </w:tcPr>
          <w:p>
            <w:pPr>
              <w:spacing w:after="20" w:before="20" w:line="264" w:lineRule="auto"/>
            </w:pPr>
            <w:r>
              <w:rPr>
                <w:rFonts w:ascii="Consolas" w:hAnsi="Consolas"/>
                <w:color w:val="381A89"/>
                <w:sz w:val="15"/>
              </w:rPr>
              <w:t>test_upload_security.py</w:t>
            </w:r>
          </w:p>
        </w:tc>
        <w:tc>
          <w:tcPr>
            <w:tcW w:type="dxa" w:w="6690"/>
            <w:shd w:val="clear" w:color="auto" w:fill="F4F2FA"/>
          </w:tcPr>
          <w:p>
            <w:pPr>
              <w:spacing w:after="20" w:before="20" w:line="264" w:lineRule="auto"/>
            </w:pPr>
            <w:r>
              <w:rPr>
                <w:rFonts w:ascii="Arial" w:hAnsi="Arial"/>
                <w:sz w:val="17"/>
              </w:rPr>
              <w:t xml:space="preserve">A PE executable is rejected; an extension-spoofed file is caught by content sniffing; corrupt, empty and oversized uploads are rejected; a declared-MIME mismatch warns without rejecting; </w:t>
            </w:r>
            <w:r>
              <w:rPr>
                <w:rFonts w:ascii="Arial" w:hAnsi="Arial"/>
                <w:b/>
                <w:sz w:val="17"/>
              </w:rPr>
              <w:t>EICAR is quarantined with the file preserved</w:t>
            </w:r>
            <w:r>
              <w:rPr>
                <w:rFonts w:ascii="Arial" w:hAnsi="Arial"/>
                <w:sz w:val="17"/>
              </w:rPr>
              <w:t>; the stored SHA-256 equals the uploaded bytes; a duplicate is reported and both copies kept; a reviewer cannot upload.</w:t>
            </w:r>
          </w:p>
        </w:tc>
      </w:tr>
      <w:tr>
        <w:trPr>
          <w:cantSplit/>
        </w:trPr>
        <w:tc>
          <w:tcPr>
            <w:tcW w:type="dxa" w:w="2268"/>
          </w:tcPr>
          <w:p>
            <w:pPr>
              <w:spacing w:after="20" w:before="20" w:line="264" w:lineRule="auto"/>
            </w:pPr>
            <w:r>
              <w:rPr>
                <w:rFonts w:ascii="Consolas" w:hAnsi="Consolas"/>
                <w:color w:val="381A89"/>
                <w:sz w:val="15"/>
              </w:rPr>
              <w:t>test_extraction.py</w:t>
            </w:r>
          </w:p>
        </w:tc>
        <w:tc>
          <w:tcPr>
            <w:tcW w:type="dxa" w:w="6690"/>
          </w:tcPr>
          <w:p>
            <w:pPr>
              <w:spacing w:after="20" w:before="20" w:line="264" w:lineRule="auto"/>
            </w:pPr>
            <w:r>
              <w:rPr>
                <w:rFonts w:ascii="Arial" w:hAnsi="Arial"/>
                <w:sz w:val="17"/>
              </w:rPr>
              <w:t xml:space="preserve">Money, date, identifier and name normalisation; </w:t>
            </w:r>
            <w:r>
              <w:rPr>
                <w:rFonts w:ascii="Consolas" w:hAnsi="Consolas"/>
                <w:color w:val="381A89"/>
                <w:sz w:val="15"/>
              </w:rPr>
              <w:t>is_same_person</w:t>
            </w:r>
            <w:r>
              <w:rPr>
                <w:rFonts w:ascii="Arial" w:hAnsi="Arial"/>
                <w:sz w:val="17"/>
              </w:rPr>
              <w:t xml:space="preserve"> distinguishes a dependant from the policyholder; the text layer is preferred for digital PDFs; the classifier identifies an invoice and declines on noise; fields carry boxes and confidences; requiredness is per-type; </w:t>
            </w:r>
            <w:r>
              <w:rPr>
                <w:rFonts w:ascii="Arial" w:hAnsi="Arial"/>
                <w:b/>
                <w:sz w:val="17"/>
              </w:rPr>
              <w:t>a heading is not read as a label</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test_rules_engine.py</w:t>
            </w:r>
          </w:p>
        </w:tc>
        <w:tc>
          <w:tcPr>
            <w:tcW w:type="dxa" w:w="6690"/>
            <w:shd w:val="clear" w:color="auto" w:fill="F4F2FA"/>
          </w:tcPr>
          <w:p>
            <w:pPr>
              <w:spacing w:after="20" w:before="20" w:line="264" w:lineRule="auto"/>
            </w:pPr>
            <w:r>
              <w:rPr>
                <w:rFonts w:ascii="Arial" w:hAnsi="Arial"/>
                <w:sz w:val="17"/>
              </w:rPr>
              <w:t xml:space="preserve">Each rule fires on its own violation and passes on a clean document; a rule returns not-applicable rather than passing when inputs are absent; a disabled rule does not run; severity and weight overrides take effect; document-type scoping holds; the catalogue is complete; </w:t>
            </w:r>
            <w:r>
              <w:rPr>
                <w:rFonts w:ascii="Arial" w:hAnsi="Arial"/>
                <w:b/>
                <w:sz w:val="17"/>
              </w:rPr>
              <w:t>a deliberately broken rule is isolated</w:t>
            </w:r>
            <w:r>
              <w:rPr>
                <w:rFonts w:ascii="Arial" w:hAnsi="Arial"/>
                <w:sz w:val="17"/>
              </w:rPr>
              <w:t xml:space="preserve"> without failing the stage.</w:t>
            </w:r>
          </w:p>
        </w:tc>
      </w:tr>
      <w:tr>
        <w:trPr>
          <w:cantSplit/>
        </w:trPr>
        <w:tc>
          <w:tcPr>
            <w:tcW w:type="dxa" w:w="2268"/>
          </w:tcPr>
          <w:p>
            <w:pPr>
              <w:spacing w:after="20" w:before="20" w:line="264" w:lineRule="auto"/>
            </w:pPr>
            <w:r>
              <w:rPr>
                <w:rFonts w:ascii="Consolas" w:hAnsi="Consolas"/>
                <w:color w:val="381A89"/>
                <w:sz w:val="15"/>
              </w:rPr>
              <w:t>test_crossdoc_verification.py</w:t>
            </w:r>
          </w:p>
        </w:tc>
        <w:tc>
          <w:tcPr>
            <w:tcW w:type="dxa" w:w="6690"/>
          </w:tcPr>
          <w:p>
            <w:pPr>
              <w:spacing w:after="20" w:before="20" w:line="264" w:lineRule="auto"/>
            </w:pPr>
            <w:r>
              <w:rPr>
                <w:rFonts w:ascii="Arial" w:hAnsi="Arial"/>
                <w:sz w:val="17"/>
              </w:rPr>
              <w:t xml:space="preserve">Invoice and claim form totals mismatch; </w:t>
            </w:r>
            <w:r>
              <w:rPr>
                <w:rFonts w:ascii="Arial" w:hAnsi="Arial"/>
                <w:b/>
                <w:sz w:val="17"/>
              </w:rPr>
              <w:t>unrelated invoices are not compared on total</w:t>
            </w:r>
            <w:r>
              <w:rPr>
                <w:rFonts w:ascii="Arial" w:hAnsi="Arial"/>
                <w:sz w:val="17"/>
              </w:rPr>
              <w:t xml:space="preserve">; </w:t>
            </w:r>
            <w:r>
              <w:rPr>
                <w:rFonts w:ascii="Arial" w:hAnsi="Arial"/>
                <w:b/>
                <w:sz w:val="17"/>
              </w:rPr>
              <w:t>a dependant's date of birth is not compared with the policyholder's</w:t>
            </w:r>
            <w:r>
              <w:rPr>
                <w:rFonts w:ascii="Arial" w:hAnsi="Arial"/>
                <w:sz w:val="17"/>
              </w:rPr>
              <w:t>; identical values yield no findings; a single document yields nothing; all six demo providers are labelled demo and carry the disclaimer even on a match; a lapsed policy outside cover grades as mismatch; an unknown policy grades as not found; a peripheral failure grades as partial; the unconfigured production provider raises.</w:t>
            </w:r>
          </w:p>
        </w:tc>
      </w:tr>
      <w:tr>
        <w:trPr>
          <w:cantSplit/>
        </w:trPr>
        <w:tc>
          <w:tcPr>
            <w:tcW w:type="dxa" w:w="2268"/>
            <w:shd w:val="clear" w:color="auto" w:fill="F4F2FA"/>
          </w:tcPr>
          <w:p>
            <w:pPr>
              <w:spacing w:after="20" w:before="20" w:line="264" w:lineRule="auto"/>
            </w:pPr>
            <w:r>
              <w:rPr>
                <w:rFonts w:ascii="Consolas" w:hAnsi="Consolas"/>
                <w:color w:val="381A89"/>
                <w:sz w:val="15"/>
              </w:rPr>
              <w:t>test_risk_and_aigc.py</w:t>
            </w:r>
          </w:p>
        </w:tc>
        <w:tc>
          <w:tcPr>
            <w:tcW w:type="dxa" w:w="6690"/>
            <w:shd w:val="clear" w:color="auto" w:fill="F4F2FA"/>
          </w:tcPr>
          <w:p>
            <w:pPr>
              <w:spacing w:after="20" w:before="20" w:line="264" w:lineRule="auto"/>
            </w:pPr>
            <w:r>
              <w:rPr>
                <w:rFonts w:ascii="Arial" w:hAnsi="Arial"/>
                <w:sz w:val="17"/>
              </w:rPr>
              <w:t xml:space="preserve">No signals yields Low Concern; the score is monotonic in severity and count; a category saturates towards its ceiling; dismissed signals are excluded and reported; confirmed signals are promoted; mitigation is suppressed when a severe finding exists; configured thresholds are honoured; </w:t>
            </w:r>
            <w:r>
              <w:rPr>
                <w:rFonts w:ascii="Arial" w:hAnsi="Arial"/>
                <w:b/>
                <w:sz w:val="17"/>
              </w:rPr>
              <w:t>the explanation never asserts a probability of fraud</w:t>
            </w:r>
            <w:r>
              <w:rPr>
                <w:rFonts w:ascii="Arial" w:hAnsi="Arial"/>
                <w:sz w:val="17"/>
              </w:rPr>
              <w:t xml:space="preserve">; </w:t>
            </w:r>
            <w:r>
              <w:rPr>
                <w:rFonts w:ascii="Arial" w:hAnsi="Arial"/>
                <w:b/>
                <w:sz w:val="17"/>
              </w:rPr>
              <w:t>synthetic-media output is always a band</w:t>
            </w:r>
            <w:r>
              <w:rPr>
                <w:rFonts w:ascii="Arial" w:hAnsi="Arial"/>
                <w:sz w:val="17"/>
              </w:rPr>
              <w:t>; the heuristic is deterministic; a clean render yields no significant indicators.</w:t>
            </w:r>
          </w:p>
        </w:tc>
      </w:tr>
      <w:tr>
        <w:trPr>
          <w:cantSplit/>
        </w:trPr>
        <w:tc>
          <w:tcPr>
            <w:tcW w:type="dxa" w:w="2268"/>
          </w:tcPr>
          <w:p>
            <w:pPr>
              <w:spacing w:after="20" w:before="20" w:line="264" w:lineRule="auto"/>
            </w:pPr>
            <w:r>
              <w:rPr>
                <w:rFonts w:ascii="Consolas" w:hAnsi="Consolas"/>
                <w:color w:val="381A89"/>
                <w:sz w:val="15"/>
              </w:rPr>
              <w:t>test_pipeline_e2e.py</w:t>
            </w:r>
          </w:p>
        </w:tc>
        <w:tc>
          <w:tcPr>
            <w:tcW w:type="dxa" w:w="6690"/>
          </w:tcPr>
          <w:p>
            <w:pPr>
              <w:spacing w:after="20" w:before="20" w:line="264" w:lineRule="auto"/>
            </w:pPr>
            <w:r>
              <w:rPr>
                <w:rFonts w:ascii="Arial" w:hAnsi="Arial"/>
                <w:sz w:val="17"/>
              </w:rPr>
              <w:t xml:space="preserve">A clean invoice completes every stage; a tampered invoice produces the expected evidence; findings satisfy the full evidence contract; </w:t>
            </w:r>
            <w:r>
              <w:rPr>
                <w:rFonts w:ascii="Arial" w:hAnsi="Arial"/>
                <w:b/>
                <w:sz w:val="17"/>
              </w:rPr>
              <w:t>a recognition failure degrades only its stage and preserves the document</w:t>
            </w:r>
            <w:r>
              <w:rPr>
                <w:rFonts w:ascii="Arial" w:hAnsi="Arial"/>
                <w:sz w:val="17"/>
              </w:rPr>
              <w:t xml:space="preserve">; a synthetic-media failure is isolated; </w:t>
            </w:r>
            <w:r>
              <w:rPr>
                <w:rFonts w:ascii="Arial" w:hAnsi="Arial"/>
                <w:b/>
                <w:sz w:val="17"/>
              </w:rPr>
              <w:t>re-analysis preserves human review decisions</w:t>
            </w:r>
            <w:r>
              <w:rPr>
                <w:rFonts w:ascii="Arial" w:hAnsi="Arial"/>
                <w:sz w:val="17"/>
              </w:rPr>
              <w:t>; renders and forensic layers are stored; a vector PDF skips the inapplicable pixel metrics; the run records versions and the provider snapshot.</w:t>
            </w:r>
          </w:p>
        </w:tc>
      </w:tr>
      <w:tr>
        <w:trPr>
          <w:cantSplit/>
        </w:trPr>
        <w:tc>
          <w:tcPr>
            <w:tcW w:type="dxa" w:w="2268"/>
            <w:shd w:val="clear" w:color="auto" w:fill="F4F2FA"/>
          </w:tcPr>
          <w:p>
            <w:pPr>
              <w:spacing w:after="20" w:before="20" w:line="264" w:lineRule="auto"/>
            </w:pPr>
            <w:r>
              <w:rPr>
                <w:rFonts w:ascii="Consolas" w:hAnsi="Consolas"/>
                <w:color w:val="381A89"/>
                <w:sz w:val="15"/>
              </w:rPr>
              <w:t>test_api_workflow.py</w:t>
            </w:r>
          </w:p>
        </w:tc>
        <w:tc>
          <w:tcPr>
            <w:tcW w:type="dxa" w:w="6690"/>
            <w:shd w:val="clear" w:color="auto" w:fill="F4F2FA"/>
          </w:tcPr>
          <w:p>
            <w:pPr>
              <w:spacing w:after="20" w:before="20" w:line="264" w:lineRule="auto"/>
            </w:pPr>
            <w:r>
              <w:rPr>
                <w:rFonts w:ascii="Arial" w:hAnsi="Arial"/>
                <w:sz w:val="17"/>
              </w:rPr>
              <w:t xml:space="preserve">Upload wording; list filtering; every evidence panel present in the payload; findings filterable with provenance labels; signed links honoured and </w:t>
            </w:r>
            <w:r>
              <w:rPr>
                <w:rFonts w:ascii="Arial" w:hAnsi="Arial"/>
                <w:b/>
                <w:sz w:val="17"/>
              </w:rPr>
              <w:t>a tampered signature rejected</w:t>
            </w:r>
            <w:r>
              <w:rPr>
                <w:rFonts w:ascii="Arial" w:hAnsi="Arial"/>
                <w:sz w:val="17"/>
              </w:rPr>
              <w:t xml:space="preserve">; a missing render layer reports what is available; </w:t>
            </w:r>
            <w:r>
              <w:rPr>
                <w:rFonts w:ascii="Arial" w:hAnsi="Arial"/>
                <w:b/>
                <w:sz w:val="17"/>
              </w:rPr>
              <w:t>a reason is required to confirm</w:t>
            </w:r>
            <w:r>
              <w:rPr>
                <w:rFonts w:ascii="Arial" w:hAnsi="Arial"/>
                <w:sz w:val="17"/>
              </w:rPr>
              <w:t xml:space="preserve">; confirm then reassess changes the score; a reviewer cannot escalate but an investigator can; </w:t>
            </w:r>
            <w:r>
              <w:rPr>
                <w:rFonts w:ascii="Arial" w:hAnsi="Arial"/>
                <w:b/>
                <w:sz w:val="17"/>
              </w:rPr>
              <w:t>approval is blocked while high findings are unreviewed</w:t>
            </w:r>
            <w:r>
              <w:rPr>
                <w:rFonts w:ascii="Arial" w:hAnsi="Arial"/>
                <w:sz w:val="17"/>
              </w:rPr>
              <w:t>; verification on demand; notes; report generated and downloadable; the audit trail records the workflow and verifies.</w:t>
            </w:r>
          </w:p>
        </w:tc>
      </w:tr>
      <w:tr>
        <w:trPr>
          <w:cantSplit/>
        </w:trPr>
        <w:tc>
          <w:tcPr>
            <w:tcW w:type="dxa" w:w="2268"/>
          </w:tcPr>
          <w:p>
            <w:pPr>
              <w:spacing w:after="20" w:before="20" w:line="264" w:lineRule="auto"/>
            </w:pPr>
            <w:r>
              <w:rPr>
                <w:rFonts w:ascii="Consolas" w:hAnsi="Consolas"/>
                <w:color w:val="381A89"/>
                <w:sz w:val="15"/>
              </w:rPr>
              <w:t>test_audit_and_admin.py</w:t>
            </w:r>
          </w:p>
        </w:tc>
        <w:tc>
          <w:tcPr>
            <w:tcW w:type="dxa" w:w="6690"/>
          </w:tcPr>
          <w:p>
            <w:pPr>
              <w:spacing w:after="20" w:before="20" w:line="264" w:lineRule="auto"/>
            </w:pPr>
            <w:r>
              <w:rPr>
                <w:rFonts w:ascii="Arial" w:hAnsi="Arial"/>
                <w:sz w:val="17"/>
              </w:rPr>
              <w:t xml:space="preserve">Entries chain to their predecessor; </w:t>
            </w:r>
            <w:r>
              <w:rPr>
                <w:rFonts w:ascii="Arial" w:hAnsi="Arial"/>
                <w:b/>
                <w:sz w:val="17"/>
              </w:rPr>
              <w:t>rewriting history breaks the chain and the divergence is named</w:t>
            </w:r>
            <w:r>
              <w:rPr>
                <w:rFonts w:ascii="Arial" w:hAnsi="Arial"/>
                <w:sz w:val="17"/>
              </w:rPr>
              <w:t xml:space="preserve">; sensitive values are redacted before storage; the log formatter redacts personal data; rules are retunable with an audit entry; </w:t>
            </w:r>
            <w:r>
              <w:rPr>
                <w:rFonts w:ascii="Arial" w:hAnsi="Arial"/>
                <w:b/>
                <w:sz w:val="17"/>
              </w:rPr>
              <w:t>providers never expose credential values</w:t>
            </w:r>
            <w:r>
              <w:rPr>
                <w:rFonts w:ascii="Arial" w:hAnsi="Arial"/>
                <w:sz w:val="17"/>
              </w:rPr>
              <w:t>; activating a provider deactivates its peers; risk thresholds are validated; user creation and role change are audited.</w:t>
            </w:r>
          </w:p>
        </w:tc>
      </w:tr>
      <w:tr>
        <w:trPr>
          <w:cantSplit/>
        </w:trPr>
        <w:tc>
          <w:tcPr>
            <w:tcW w:type="dxa" w:w="2268"/>
            <w:shd w:val="clear" w:color="auto" w:fill="F4F2FA"/>
          </w:tcPr>
          <w:p>
            <w:pPr>
              <w:spacing w:after="20" w:before="20" w:line="264" w:lineRule="auto"/>
            </w:pPr>
            <w:r>
              <w:rPr>
                <w:rFonts w:ascii="Consolas" w:hAnsi="Consolas"/>
                <w:color w:val="381A89"/>
                <w:sz w:val="15"/>
              </w:rPr>
              <w:t>test_storage_and_errors.py</w:t>
            </w:r>
          </w:p>
        </w:tc>
        <w:tc>
          <w:tcPr>
            <w:tcW w:type="dxa" w:w="6690"/>
            <w:shd w:val="clear" w:color="auto" w:fill="F4F2FA"/>
          </w:tcPr>
          <w:p>
            <w:pPr>
              <w:spacing w:after="20" w:before="20" w:line="264" w:lineRule="auto"/>
            </w:pPr>
            <w:r>
              <w:rPr>
                <w:rFonts w:ascii="Arial" w:hAnsi="Arial"/>
                <w:sz w:val="17"/>
              </w:rPr>
              <w:t xml:space="preserve">Traversal keys are rejected; originals and artifacts are isolated; </w:t>
            </w:r>
            <w:r>
              <w:rPr>
                <w:rFonts w:ascii="Arial" w:hAnsi="Arial"/>
                <w:b/>
                <w:sz w:val="17"/>
              </w:rPr>
              <w:t>originals are written read-only</w:t>
            </w:r>
            <w:r>
              <w:rPr>
                <w:rFonts w:ascii="Arial" w:hAnsi="Arial"/>
                <w:sz w:val="17"/>
              </w:rPr>
              <w:t xml:space="preserve">; artifacts purge without touching originals; a signed resource round-trips and is bound to resource, purpose and user, and expires; token types are enforced; error payloads carry a code and retryability; </w:t>
            </w:r>
            <w:r>
              <w:rPr>
                <w:rFonts w:ascii="Consolas" w:hAnsi="Consolas"/>
                <w:color w:val="381A89"/>
                <w:sz w:val="15"/>
              </w:rPr>
              <w:t>ProviderUnavailable</w:t>
            </w:r>
            <w:r>
              <w:rPr>
                <w:rFonts w:ascii="Arial" w:hAnsi="Arial"/>
                <w:sz w:val="17"/>
              </w:rPr>
              <w:t xml:space="preserve"> names the provider; security headers are present; </w:t>
            </w:r>
            <w:r>
              <w:rPr>
                <w:rFonts w:ascii="Arial" w:hAnsi="Arial"/>
                <w:b/>
                <w:sz w:val="17"/>
              </w:rPr>
              <w:t>document bytes are never cacheable</w:t>
            </w:r>
            <w:r>
              <w:rPr>
                <w:rFonts w:ascii="Arial" w:hAnsi="Arial"/>
                <w:sz w:val="17"/>
              </w:rPr>
              <w:t>.</w:t>
            </w:r>
          </w:p>
        </w:tc>
      </w:tr>
    </w:tbl>
    <w:p>
      <w:pPr>
        <w:spacing w:after="40"/>
      </w:pPr>
    </w:p>
    <w:p>
      <w:r>
        <w:br w:type="page"/>
      </w:r>
    </w:p>
    <w:p>
      <w:pPr>
        <w:pStyle w:val="Heading1"/>
      </w:pPr>
      <w:r>
        <w:t>Appendix E  Data Dictionary</w:t>
      </w:r>
    </w:p>
    <w:p>
      <w:pPr>
        <w:spacing w:after="160"/>
        <w:jc w:val="both"/>
      </w:pPr>
      <w:r>
        <w:t xml:space="preserve">25 tables, created by a single Alembic revision generated from the models. Conventions: UUID string primary keys, </w:t>
      </w:r>
      <w:r>
        <w:rPr>
          <w:rFonts w:ascii="Consolas" w:hAnsi="Consolas"/>
          <w:color w:val="381A89"/>
          <w:sz w:val="20"/>
        </w:rPr>
        <w:t>created_at</w:t>
      </w:r>
      <w:r>
        <w:t xml:space="preserve"> and </w:t>
      </w:r>
      <w:r>
        <w:rPr>
          <w:rFonts w:ascii="Consolas" w:hAnsi="Consolas"/>
          <w:color w:val="381A89"/>
          <w:sz w:val="20"/>
        </w:rPr>
        <w:t>updated_at</w:t>
      </w:r>
      <w:r>
        <w:t xml:space="preserve"> on every table, </w:t>
      </w:r>
      <w:r>
        <w:rPr>
          <w:rFonts w:ascii="Consolas" w:hAnsi="Consolas"/>
          <w:color w:val="381A89"/>
          <w:sz w:val="20"/>
        </w:rPr>
        <w:t>deleted_at</w:t>
      </w:r>
      <w:r>
        <w:t xml:space="preserve"> where soft deletion applies, and JSONB for structured evidence so that a new detector's evidence shape does not require a migration.</w:t>
      </w:r>
    </w:p>
    <w:p>
      <w:pPr>
        <w:keepNext/>
        <w:spacing w:after="60" w:before="120"/>
      </w:pPr>
      <w:r>
        <w:rPr>
          <w:rFonts w:ascii="Arial" w:hAnsi="Arial"/>
          <w:b/>
          <w:color w:val="381A89"/>
          <w:sz w:val="18"/>
        </w:rPr>
        <w:t xml:space="preserve">Table 37. </w:t>
      </w:r>
      <w:r>
        <w:rPr>
          <w:rFonts w:ascii="Arial" w:hAnsi="Arial"/>
          <w:color w:val="55516B"/>
          <w:sz w:val="18"/>
        </w:rPr>
        <w:t>Table reference. Key columns only; every table also carries its identifier and timestamps.</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2268"/>
            <w:shd w:val="clear" w:color="auto" w:fill="2E1C6B"/>
          </w:tcPr>
          <w:p>
            <w:pPr>
              <w:spacing w:after="20" w:before="20" w:line="252" w:lineRule="auto"/>
            </w:pPr>
            <w:r>
              <w:rPr>
                <w:rFonts w:ascii="Arial" w:hAnsi="Arial"/>
                <w:b/>
                <w:color w:val="FFFFFF"/>
                <w:sz w:val="16"/>
              </w:rPr>
              <w:t>Table</w:t>
            </w:r>
          </w:p>
        </w:tc>
        <w:tc>
          <w:tcPr>
            <w:tcW w:type="dxa" w:w="6690"/>
            <w:shd w:val="clear" w:color="auto" w:fill="2E1C6B"/>
          </w:tcPr>
          <w:p>
            <w:pPr>
              <w:spacing w:after="20" w:before="20" w:line="252" w:lineRule="auto"/>
            </w:pPr>
            <w:r>
              <w:rPr>
                <w:rFonts w:ascii="Arial" w:hAnsi="Arial"/>
                <w:b/>
                <w:color w:val="FFFFFF"/>
                <w:sz w:val="16"/>
              </w:rPr>
              <w:t>Purpose and key columns</w:t>
            </w:r>
          </w:p>
        </w:tc>
      </w:tr>
      <w:tr>
        <w:trPr>
          <w:cantSplit/>
        </w:trPr>
        <w:tc>
          <w:tcPr>
            <w:tcW w:type="dxa" w:w="2268"/>
          </w:tcPr>
          <w:p>
            <w:pPr>
              <w:spacing w:after="20" w:before="20" w:line="264" w:lineRule="auto"/>
            </w:pPr>
            <w:r>
              <w:rPr>
                <w:rFonts w:ascii="Consolas" w:hAnsi="Consolas"/>
                <w:color w:val="381A89"/>
                <w:sz w:val="15"/>
              </w:rPr>
              <w:t>roles</w:t>
            </w:r>
          </w:p>
        </w:tc>
        <w:tc>
          <w:tcPr>
            <w:tcW w:type="dxa" w:w="6690"/>
          </w:tcPr>
          <w:p>
            <w:pPr>
              <w:spacing w:after="20" w:before="20" w:line="264" w:lineRule="auto"/>
            </w:pPr>
            <w:r>
              <w:rPr>
                <w:rFonts w:ascii="Arial" w:hAnsi="Arial"/>
                <w:sz w:val="17"/>
              </w:rPr>
              <w:t xml:space="preserve">Role catalogue. </w:t>
            </w:r>
            <w:r>
              <w:rPr>
                <w:rFonts w:ascii="Consolas" w:hAnsi="Consolas"/>
                <w:color w:val="381A89"/>
                <w:sz w:val="15"/>
              </w:rPr>
              <w:t>name</w:t>
            </w:r>
            <w:r>
              <w:rPr>
                <w:rFonts w:ascii="Arial" w:hAnsi="Arial"/>
                <w:sz w:val="17"/>
              </w:rPr>
              <w:t xml:space="preserve"> unique, </w:t>
            </w:r>
            <w:r>
              <w:rPr>
                <w:rFonts w:ascii="Consolas" w:hAnsi="Consolas"/>
                <w:color w:val="381A89"/>
                <w:sz w:val="15"/>
              </w:rPr>
              <w:t>label</w:t>
            </w:r>
            <w:r>
              <w:rPr>
                <w:rFonts w:ascii="Arial" w:hAnsi="Arial"/>
                <w:sz w:val="17"/>
              </w:rPr>
              <w:t xml:space="preserve">, </w:t>
            </w:r>
            <w:r>
              <w:rPr>
                <w:rFonts w:ascii="Consolas" w:hAnsi="Consolas"/>
                <w:color w:val="381A89"/>
                <w:sz w:val="15"/>
              </w:rPr>
              <w:t>permissions</w:t>
            </w:r>
            <w:r>
              <w:rPr>
                <w:rFonts w:ascii="Arial" w:hAnsi="Arial"/>
                <w:sz w:val="17"/>
              </w:rPr>
              <w:t xml:space="preserve"> (JSONB), </w:t>
            </w:r>
            <w:r>
              <w:rPr>
                <w:rFonts w:ascii="Consolas" w:hAnsi="Consolas"/>
                <w:color w:val="381A89"/>
                <w:sz w:val="15"/>
              </w:rPr>
              <w:t>is_system</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users</w:t>
            </w:r>
          </w:p>
        </w:tc>
        <w:tc>
          <w:tcPr>
            <w:tcW w:type="dxa" w:w="6690"/>
            <w:shd w:val="clear" w:color="auto" w:fill="F4F2FA"/>
          </w:tcPr>
          <w:p>
            <w:pPr>
              <w:spacing w:after="20" w:before="20" w:line="264" w:lineRule="auto"/>
            </w:pPr>
            <w:r>
              <w:rPr>
                <w:rFonts w:ascii="Consolas" w:hAnsi="Consolas"/>
                <w:color w:val="381A89"/>
                <w:sz w:val="15"/>
              </w:rPr>
              <w:t>email</w:t>
            </w:r>
            <w:r>
              <w:rPr>
                <w:rFonts w:ascii="Arial" w:hAnsi="Arial"/>
                <w:sz w:val="17"/>
              </w:rPr>
              <w:t xml:space="preserve"> unique, </w:t>
            </w:r>
            <w:r>
              <w:rPr>
                <w:rFonts w:ascii="Consolas" w:hAnsi="Consolas"/>
                <w:color w:val="381A89"/>
                <w:sz w:val="15"/>
              </w:rPr>
              <w:t>full_name</w:t>
            </w:r>
            <w:r>
              <w:rPr>
                <w:rFonts w:ascii="Arial" w:hAnsi="Arial"/>
                <w:sz w:val="17"/>
              </w:rPr>
              <w:t xml:space="preserve">, </w:t>
            </w:r>
            <w:r>
              <w:rPr>
                <w:rFonts w:ascii="Consolas" w:hAnsi="Consolas"/>
                <w:color w:val="381A89"/>
                <w:sz w:val="15"/>
              </w:rPr>
              <w:t>password_hash</w:t>
            </w:r>
            <w:r>
              <w:rPr>
                <w:rFonts w:ascii="Arial" w:hAnsi="Arial"/>
                <w:sz w:val="17"/>
              </w:rPr>
              <w:t xml:space="preserve">, </w:t>
            </w:r>
            <w:r>
              <w:rPr>
                <w:rFonts w:ascii="Consolas" w:hAnsi="Consolas"/>
                <w:color w:val="381A89"/>
                <w:sz w:val="15"/>
              </w:rPr>
              <w:t>role_name</w:t>
            </w:r>
            <w:r>
              <w:rPr>
                <w:rFonts w:ascii="Arial" w:hAnsi="Arial"/>
                <w:sz w:val="17"/>
              </w:rPr>
              <w:t xml:space="preserve">, </w:t>
            </w:r>
            <w:r>
              <w:rPr>
                <w:rFonts w:ascii="Consolas" w:hAnsi="Consolas"/>
                <w:color w:val="381A89"/>
                <w:sz w:val="15"/>
              </w:rPr>
              <w:t>job_title</w:t>
            </w:r>
            <w:r>
              <w:rPr>
                <w:rFonts w:ascii="Arial" w:hAnsi="Arial"/>
                <w:sz w:val="17"/>
              </w:rPr>
              <w:t xml:space="preserve">, </w:t>
            </w:r>
            <w:r>
              <w:rPr>
                <w:rFonts w:ascii="Consolas" w:hAnsi="Consolas"/>
                <w:color w:val="381A89"/>
                <w:sz w:val="15"/>
              </w:rPr>
              <w:t>team</w:t>
            </w:r>
            <w:r>
              <w:rPr>
                <w:rFonts w:ascii="Arial" w:hAnsi="Arial"/>
                <w:sz w:val="17"/>
              </w:rPr>
              <w:t xml:space="preserve">, </w:t>
            </w:r>
            <w:r>
              <w:rPr>
                <w:rFonts w:ascii="Consolas" w:hAnsi="Consolas"/>
                <w:color w:val="381A89"/>
                <w:sz w:val="15"/>
              </w:rPr>
              <w:t>is_active</w:t>
            </w:r>
            <w:r>
              <w:rPr>
                <w:rFonts w:ascii="Arial" w:hAnsi="Arial"/>
                <w:sz w:val="17"/>
              </w:rPr>
              <w:t xml:space="preserve">, </w:t>
            </w:r>
            <w:r>
              <w:rPr>
                <w:rFonts w:ascii="Consolas" w:hAnsi="Consolas"/>
                <w:color w:val="381A89"/>
                <w:sz w:val="15"/>
              </w:rPr>
              <w:t>must_change_password</w:t>
            </w:r>
            <w:r>
              <w:rPr>
                <w:rFonts w:ascii="Arial" w:hAnsi="Arial"/>
                <w:sz w:val="17"/>
              </w:rPr>
              <w:t xml:space="preserve">, </w:t>
            </w:r>
            <w:r>
              <w:rPr>
                <w:rFonts w:ascii="Consolas" w:hAnsi="Consolas"/>
                <w:color w:val="381A89"/>
                <w:sz w:val="15"/>
              </w:rPr>
              <w:t>failed_login_count</w:t>
            </w:r>
            <w:r>
              <w:rPr>
                <w:rFonts w:ascii="Arial" w:hAnsi="Arial"/>
                <w:sz w:val="17"/>
              </w:rPr>
              <w:t xml:space="preserve">, </w:t>
            </w:r>
            <w:r>
              <w:rPr>
                <w:rFonts w:ascii="Consolas" w:hAnsi="Consolas"/>
                <w:color w:val="381A89"/>
                <w:sz w:val="15"/>
              </w:rPr>
              <w:t>locked_until</w:t>
            </w:r>
            <w:r>
              <w:rPr>
                <w:rFonts w:ascii="Arial" w:hAnsi="Arial"/>
                <w:sz w:val="17"/>
              </w:rPr>
              <w:t xml:space="preserve">, </w:t>
            </w:r>
            <w:r>
              <w:rPr>
                <w:rFonts w:ascii="Consolas" w:hAnsi="Consolas"/>
                <w:color w:val="381A89"/>
                <w:sz w:val="15"/>
              </w:rPr>
              <w:t>last_login_at</w:t>
            </w:r>
            <w:r>
              <w:rPr>
                <w:rFonts w:ascii="Arial" w:hAnsi="Arial"/>
                <w:sz w:val="17"/>
              </w:rPr>
              <w:t>, soft delete.</w:t>
            </w:r>
          </w:p>
        </w:tc>
      </w:tr>
      <w:tr>
        <w:trPr>
          <w:cantSplit/>
        </w:trPr>
        <w:tc>
          <w:tcPr>
            <w:tcW w:type="dxa" w:w="2268"/>
          </w:tcPr>
          <w:p>
            <w:pPr>
              <w:spacing w:after="20" w:before="20" w:line="264" w:lineRule="auto"/>
            </w:pPr>
            <w:r>
              <w:rPr>
                <w:rFonts w:ascii="Consolas" w:hAnsi="Consolas"/>
                <w:color w:val="381A89"/>
                <w:sz w:val="15"/>
              </w:rPr>
              <w:t>claims</w:t>
            </w:r>
          </w:p>
        </w:tc>
        <w:tc>
          <w:tcPr>
            <w:tcW w:type="dxa" w:w="6690"/>
          </w:tcPr>
          <w:p>
            <w:pPr>
              <w:spacing w:after="20" w:before="20" w:line="264" w:lineRule="auto"/>
            </w:pPr>
            <w:r>
              <w:rPr>
                <w:rFonts w:ascii="Consolas" w:hAnsi="Consolas"/>
                <w:color w:val="381A89"/>
                <w:sz w:val="15"/>
              </w:rPr>
              <w:t>claim_number</w:t>
            </w:r>
            <w:r>
              <w:rPr>
                <w:rFonts w:ascii="Arial" w:hAnsi="Arial"/>
                <w:sz w:val="17"/>
              </w:rPr>
              <w:t xml:space="preserve"> unique, customer particulars, </w:t>
            </w:r>
            <w:r>
              <w:rPr>
                <w:rFonts w:ascii="Consolas" w:hAnsi="Consolas"/>
                <w:color w:val="381A89"/>
                <w:sz w:val="15"/>
              </w:rPr>
              <w:t>policy_number</w:t>
            </w:r>
            <w:r>
              <w:rPr>
                <w:rFonts w:ascii="Arial" w:hAnsi="Arial"/>
                <w:sz w:val="17"/>
              </w:rPr>
              <w:t xml:space="preserve">, </w:t>
            </w:r>
            <w:r>
              <w:rPr>
                <w:rFonts w:ascii="Consolas" w:hAnsi="Consolas"/>
                <w:color w:val="381A89"/>
                <w:sz w:val="15"/>
              </w:rPr>
              <w:t>claim_type</w:t>
            </w:r>
            <w:r>
              <w:rPr>
                <w:rFonts w:ascii="Arial" w:hAnsi="Arial"/>
                <w:sz w:val="17"/>
              </w:rPr>
              <w:t xml:space="preserve">, </w:t>
            </w:r>
            <w:r>
              <w:rPr>
                <w:rFonts w:ascii="Consolas" w:hAnsi="Consolas"/>
                <w:color w:val="381A89"/>
                <w:sz w:val="15"/>
              </w:rPr>
              <w:t>incident_date</w:t>
            </w:r>
            <w:r>
              <w:rPr>
                <w:rFonts w:ascii="Arial" w:hAnsi="Arial"/>
                <w:sz w:val="17"/>
              </w:rPr>
              <w:t xml:space="preserve">, </w:t>
            </w:r>
            <w:r>
              <w:rPr>
                <w:rFonts w:ascii="Consolas" w:hAnsi="Consolas"/>
                <w:color w:val="381A89"/>
                <w:sz w:val="15"/>
              </w:rPr>
              <w:t>claimed_amount</w:t>
            </w:r>
            <w:r>
              <w:rPr>
                <w:rFonts w:ascii="Arial" w:hAnsi="Arial"/>
                <w:sz w:val="17"/>
              </w:rPr>
              <w:t xml:space="preserve">, </w:t>
            </w:r>
            <w:r>
              <w:rPr>
                <w:rFonts w:ascii="Consolas" w:hAnsi="Consolas"/>
                <w:color w:val="381A89"/>
                <w:sz w:val="15"/>
              </w:rPr>
              <w:t>currency</w:t>
            </w:r>
            <w:r>
              <w:rPr>
                <w:rFonts w:ascii="Arial" w:hAnsi="Arial"/>
                <w:sz w:val="17"/>
              </w:rPr>
              <w:t xml:space="preserve">, </w:t>
            </w:r>
            <w:r>
              <w:rPr>
                <w:rFonts w:ascii="Consolas" w:hAnsi="Consolas"/>
                <w:color w:val="381A89"/>
                <w:sz w:val="15"/>
              </w:rPr>
              <w:t>status</w:t>
            </w:r>
            <w:r>
              <w:rPr>
                <w:rFonts w:ascii="Arial" w:hAnsi="Arial"/>
                <w:sz w:val="17"/>
              </w:rPr>
              <w:t xml:space="preserve">, </w:t>
            </w:r>
            <w:r>
              <w:rPr>
                <w:rFonts w:ascii="Consolas" w:hAnsi="Consolas"/>
                <w:color w:val="381A89"/>
                <w:sz w:val="15"/>
              </w:rPr>
              <w:t>risk_score</w:t>
            </w:r>
            <w:r>
              <w:rPr>
                <w:rFonts w:ascii="Arial" w:hAnsi="Arial"/>
                <w:sz w:val="17"/>
              </w:rPr>
              <w:t xml:space="preserve">, </w:t>
            </w:r>
            <w:r>
              <w:rPr>
                <w:rFonts w:ascii="Consolas" w:hAnsi="Consolas"/>
                <w:color w:val="381A89"/>
                <w:sz w:val="15"/>
              </w:rPr>
              <w:t>risk_band</w:t>
            </w:r>
            <w:r>
              <w:rPr>
                <w:rFonts w:ascii="Arial" w:hAnsi="Arial"/>
                <w:sz w:val="17"/>
              </w:rPr>
              <w:t xml:space="preserve">, </w:t>
            </w:r>
            <w:r>
              <w:rPr>
                <w:rFonts w:ascii="Consolas" w:hAnsi="Consolas"/>
                <w:color w:val="381A89"/>
                <w:sz w:val="15"/>
              </w:rPr>
              <w:t>decision</w:t>
            </w:r>
            <w:r>
              <w:rPr>
                <w:rFonts w:ascii="Arial" w:hAnsi="Arial"/>
                <w:sz w:val="17"/>
              </w:rPr>
              <w:t xml:space="preserve">, </w:t>
            </w:r>
            <w:r>
              <w:rPr>
                <w:rFonts w:ascii="Consolas" w:hAnsi="Consolas"/>
                <w:color w:val="381A89"/>
                <w:sz w:val="15"/>
              </w:rPr>
              <w:t>decision_reason</w:t>
            </w:r>
            <w:r>
              <w:rPr>
                <w:rFonts w:ascii="Arial" w:hAnsi="Arial"/>
                <w:sz w:val="17"/>
              </w:rPr>
              <w:t xml:space="preserve">, </w:t>
            </w:r>
            <w:r>
              <w:rPr>
                <w:rFonts w:ascii="Consolas" w:hAnsi="Consolas"/>
                <w:color w:val="381A89"/>
                <w:sz w:val="15"/>
              </w:rPr>
              <w:t>decided_at</w:t>
            </w:r>
            <w:r>
              <w:rPr>
                <w:rFonts w:ascii="Arial" w:hAnsi="Arial"/>
                <w:sz w:val="17"/>
              </w:rPr>
              <w:t xml:space="preserve">, </w:t>
            </w:r>
            <w:r>
              <w:rPr>
                <w:rFonts w:ascii="Consolas" w:hAnsi="Consolas"/>
                <w:color w:val="381A89"/>
                <w:sz w:val="15"/>
              </w:rPr>
              <w:t>decided_by_id</w:t>
            </w:r>
            <w:r>
              <w:rPr>
                <w:rFonts w:ascii="Arial" w:hAnsi="Arial"/>
                <w:sz w:val="17"/>
              </w:rPr>
              <w:t xml:space="preserve">, </w:t>
            </w:r>
            <w:r>
              <w:rPr>
                <w:rFonts w:ascii="Consolas" w:hAnsi="Consolas"/>
                <w:color w:val="381A89"/>
                <w:sz w:val="15"/>
              </w:rPr>
              <w:t>assigned_investigator_id</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documents</w:t>
            </w:r>
          </w:p>
        </w:tc>
        <w:tc>
          <w:tcPr>
            <w:tcW w:type="dxa" w:w="6690"/>
            <w:shd w:val="clear" w:color="auto" w:fill="F4F2FA"/>
          </w:tcPr>
          <w:p>
            <w:pPr>
              <w:spacing w:after="20" w:before="20" w:line="264" w:lineRule="auto"/>
            </w:pPr>
            <w:r>
              <w:rPr>
                <w:rFonts w:ascii="Consolas" w:hAnsi="Consolas"/>
                <w:color w:val="381A89"/>
                <w:sz w:val="15"/>
              </w:rPr>
              <w:t>document_ref</w:t>
            </w:r>
            <w:r>
              <w:rPr>
                <w:rFonts w:ascii="Arial" w:hAnsi="Arial"/>
                <w:sz w:val="17"/>
              </w:rPr>
              <w:t xml:space="preserve"> unique; immutable ingest facts </w:t>
            </w:r>
            <w:r>
              <w:rPr>
                <w:rFonts w:ascii="Consolas" w:hAnsi="Consolas"/>
                <w:color w:val="381A89"/>
                <w:sz w:val="15"/>
              </w:rPr>
              <w:t>original_filename</w:t>
            </w:r>
            <w:r>
              <w:rPr>
                <w:rFonts w:ascii="Arial" w:hAnsi="Arial"/>
                <w:sz w:val="17"/>
              </w:rPr>
              <w:t xml:space="preserve">, </w:t>
            </w:r>
            <w:r>
              <w:rPr>
                <w:rFonts w:ascii="Consolas" w:hAnsi="Consolas"/>
                <w:color w:val="381A89"/>
                <w:sz w:val="15"/>
              </w:rPr>
              <w:t>storage_key</w:t>
            </w:r>
            <w:r>
              <w:rPr>
                <w:rFonts w:ascii="Arial" w:hAnsi="Arial"/>
                <w:sz w:val="17"/>
              </w:rPr>
              <w:t xml:space="preserve">, </w:t>
            </w:r>
            <w:r>
              <w:rPr>
                <w:rFonts w:ascii="Consolas" w:hAnsi="Consolas"/>
                <w:color w:val="381A89"/>
                <w:sz w:val="15"/>
              </w:rPr>
              <w:t>artifact_prefix</w:t>
            </w:r>
            <w:r>
              <w:rPr>
                <w:rFonts w:ascii="Arial" w:hAnsi="Arial"/>
                <w:sz w:val="17"/>
              </w:rPr>
              <w:t xml:space="preserve">, </w:t>
            </w:r>
            <w:r>
              <w:rPr>
                <w:rFonts w:ascii="Consolas" w:hAnsi="Consolas"/>
                <w:color w:val="381A89"/>
                <w:sz w:val="15"/>
              </w:rPr>
              <w:t>mime_type</w:t>
            </w:r>
            <w:r>
              <w:rPr>
                <w:rFonts w:ascii="Arial" w:hAnsi="Arial"/>
                <w:sz w:val="17"/>
              </w:rPr>
              <w:t xml:space="preserve">, </w:t>
            </w:r>
            <w:r>
              <w:rPr>
                <w:rFonts w:ascii="Consolas" w:hAnsi="Consolas"/>
                <w:color w:val="381A89"/>
                <w:sz w:val="15"/>
              </w:rPr>
              <w:t>declared_mime_type</w:t>
            </w:r>
            <w:r>
              <w:rPr>
                <w:rFonts w:ascii="Arial" w:hAnsi="Arial"/>
                <w:sz w:val="17"/>
              </w:rPr>
              <w:t xml:space="preserve">, </w:t>
            </w:r>
            <w:r>
              <w:rPr>
                <w:rFonts w:ascii="Consolas" w:hAnsi="Consolas"/>
                <w:color w:val="381A89"/>
                <w:sz w:val="15"/>
              </w:rPr>
              <w:t>file_size</w:t>
            </w:r>
            <w:r>
              <w:rPr>
                <w:rFonts w:ascii="Arial" w:hAnsi="Arial"/>
                <w:sz w:val="17"/>
              </w:rPr>
              <w:t xml:space="preserve">, </w:t>
            </w:r>
            <w:r>
              <w:rPr>
                <w:rFonts w:ascii="Arial" w:hAnsi="Arial"/>
                <w:b/>
                <w:sz w:val="17"/>
              </w:rPr>
              <w:t>`sha256`</w:t>
            </w:r>
            <w:r>
              <w:rPr>
                <w:rFonts w:ascii="Arial" w:hAnsi="Arial"/>
                <w:sz w:val="17"/>
              </w:rPr>
              <w:t xml:space="preserve">, </w:t>
            </w:r>
            <w:r>
              <w:rPr>
                <w:rFonts w:ascii="Consolas" w:hAnsi="Consolas"/>
                <w:color w:val="381A89"/>
                <w:sz w:val="15"/>
              </w:rPr>
              <w:t>page_count</w:t>
            </w:r>
            <w:r>
              <w:rPr>
                <w:rFonts w:ascii="Arial" w:hAnsi="Arial"/>
                <w:sz w:val="17"/>
              </w:rPr>
              <w:t xml:space="preserve">, </w:t>
            </w:r>
            <w:r>
              <w:rPr>
                <w:rFonts w:ascii="Consolas" w:hAnsi="Consolas"/>
                <w:color w:val="381A89"/>
                <w:sz w:val="15"/>
              </w:rPr>
              <w:t>source</w:t>
            </w:r>
            <w:r>
              <w:rPr>
                <w:rFonts w:ascii="Arial" w:hAnsi="Arial"/>
                <w:sz w:val="17"/>
              </w:rPr>
              <w:t xml:space="preserve">; pipeline state </w:t>
            </w:r>
            <w:r>
              <w:rPr>
                <w:rFonts w:ascii="Consolas" w:hAnsi="Consolas"/>
                <w:color w:val="381A89"/>
                <w:sz w:val="15"/>
              </w:rPr>
              <w:t>processing_status</w:t>
            </w:r>
            <w:r>
              <w:rPr>
                <w:rFonts w:ascii="Arial" w:hAnsi="Arial"/>
                <w:sz w:val="17"/>
              </w:rPr>
              <w:t xml:space="preserve">, </w:t>
            </w:r>
            <w:r>
              <w:rPr>
                <w:rFonts w:ascii="Consolas" w:hAnsi="Consolas"/>
                <w:color w:val="381A89"/>
                <w:sz w:val="15"/>
              </w:rPr>
              <w:t>malware_status</w:t>
            </w:r>
            <w:r>
              <w:rPr>
                <w:rFonts w:ascii="Arial" w:hAnsi="Arial"/>
                <w:sz w:val="17"/>
              </w:rPr>
              <w:t xml:space="preserve">, </w:t>
            </w:r>
            <w:r>
              <w:rPr>
                <w:rFonts w:ascii="Consolas" w:hAnsi="Consolas"/>
                <w:color w:val="381A89"/>
                <w:sz w:val="15"/>
              </w:rPr>
              <w:t>classification_type/confidence</w:t>
            </w:r>
            <w:r>
              <w:rPr>
                <w:rFonts w:ascii="Arial" w:hAnsi="Arial"/>
                <w:sz w:val="17"/>
              </w:rPr>
              <w:t xml:space="preserve">, </w:t>
            </w:r>
            <w:r>
              <w:rPr>
                <w:rFonts w:ascii="Consolas" w:hAnsi="Consolas"/>
                <w:color w:val="381A89"/>
                <w:sz w:val="15"/>
              </w:rPr>
              <w:t>risk_score</w:t>
            </w:r>
            <w:r>
              <w:rPr>
                <w:rFonts w:ascii="Arial" w:hAnsi="Arial"/>
                <w:sz w:val="17"/>
              </w:rPr>
              <w:t xml:space="preserve">, </w:t>
            </w:r>
            <w:r>
              <w:rPr>
                <w:rFonts w:ascii="Consolas" w:hAnsi="Consolas"/>
                <w:color w:val="381A89"/>
                <w:sz w:val="15"/>
              </w:rPr>
              <w:t>risk_band</w:t>
            </w:r>
            <w:r>
              <w:rPr>
                <w:rFonts w:ascii="Arial" w:hAnsi="Arial"/>
                <w:sz w:val="17"/>
              </w:rPr>
              <w:t xml:space="preserve">; human verdict </w:t>
            </w:r>
            <w:r>
              <w:rPr>
                <w:rFonts w:ascii="Consolas" w:hAnsi="Consolas"/>
                <w:color w:val="381A89"/>
                <w:sz w:val="15"/>
              </w:rPr>
              <w:t>verification_state</w:t>
            </w:r>
            <w:r>
              <w:rPr>
                <w:rFonts w:ascii="Arial" w:hAnsi="Arial"/>
                <w:sz w:val="17"/>
              </w:rPr>
              <w:t xml:space="preserve">, </w:t>
            </w:r>
            <w:r>
              <w:rPr>
                <w:rFonts w:ascii="Consolas" w:hAnsi="Consolas"/>
                <w:color w:val="381A89"/>
                <w:sz w:val="15"/>
              </w:rPr>
              <w:t>verified_by_id</w:t>
            </w:r>
            <w:r>
              <w:rPr>
                <w:rFonts w:ascii="Arial" w:hAnsi="Arial"/>
                <w:sz w:val="17"/>
              </w:rPr>
              <w:t xml:space="preserve">, </w:t>
            </w:r>
            <w:r>
              <w:rPr>
                <w:rFonts w:ascii="Consolas" w:hAnsi="Consolas"/>
                <w:color w:val="381A89"/>
                <w:sz w:val="15"/>
              </w:rPr>
              <w:t>verified_at</w:t>
            </w:r>
            <w:r>
              <w:rPr>
                <w:rFonts w:ascii="Arial" w:hAnsi="Arial"/>
                <w:sz w:val="17"/>
              </w:rPr>
              <w:t xml:space="preserve">; </w:t>
            </w:r>
            <w:r>
              <w:rPr>
                <w:rFonts w:ascii="Consolas" w:hAnsi="Consolas"/>
                <w:color w:val="381A89"/>
                <w:sz w:val="15"/>
              </w:rPr>
              <w:t>retention_expires_at</w:t>
            </w:r>
            <w:r>
              <w:rPr>
                <w:rFonts w:ascii="Arial" w:hAnsi="Arial"/>
                <w:sz w:val="17"/>
              </w:rPr>
              <w:t>; soft delete.</w:t>
            </w:r>
          </w:p>
        </w:tc>
      </w:tr>
      <w:tr>
        <w:trPr>
          <w:cantSplit/>
        </w:trPr>
        <w:tc>
          <w:tcPr>
            <w:tcW w:type="dxa" w:w="2268"/>
          </w:tcPr>
          <w:p>
            <w:pPr>
              <w:spacing w:after="20" w:before="20" w:line="264" w:lineRule="auto"/>
            </w:pPr>
            <w:r>
              <w:rPr>
                <w:rFonts w:ascii="Consolas" w:hAnsi="Consolas"/>
                <w:color w:val="381A89"/>
                <w:sz w:val="15"/>
              </w:rPr>
              <w:t>document_pages</w:t>
            </w:r>
          </w:p>
        </w:tc>
        <w:tc>
          <w:tcPr>
            <w:tcW w:type="dxa" w:w="6690"/>
          </w:tcPr>
          <w:p>
            <w:pPr>
              <w:spacing w:after="20" w:before="20" w:line="264" w:lineRule="auto"/>
            </w:pPr>
            <w:r>
              <w:rPr>
                <w:rFonts w:ascii="Arial" w:hAnsi="Arial"/>
                <w:sz w:val="17"/>
              </w:rPr>
              <w:t xml:space="preserve">Unique per document and page. </w:t>
            </w:r>
            <w:r>
              <w:rPr>
                <w:rFonts w:ascii="Consolas" w:hAnsi="Consolas"/>
                <w:color w:val="381A89"/>
                <w:sz w:val="15"/>
              </w:rPr>
              <w:t>width</w:t>
            </w:r>
            <w:r>
              <w:rPr>
                <w:rFonts w:ascii="Arial" w:hAnsi="Arial"/>
                <w:sz w:val="17"/>
              </w:rPr>
              <w:t xml:space="preserve">, </w:t>
            </w:r>
            <w:r>
              <w:rPr>
                <w:rFonts w:ascii="Consolas" w:hAnsi="Consolas"/>
                <w:color w:val="381A89"/>
                <w:sz w:val="15"/>
              </w:rPr>
              <w:t>height</w:t>
            </w:r>
            <w:r>
              <w:rPr>
                <w:rFonts w:ascii="Arial" w:hAnsi="Arial"/>
                <w:sz w:val="17"/>
              </w:rPr>
              <w:t xml:space="preserve">, </w:t>
            </w:r>
            <w:r>
              <w:rPr>
                <w:rFonts w:ascii="Consolas" w:hAnsi="Consolas"/>
                <w:color w:val="381A89"/>
                <w:sz w:val="15"/>
              </w:rPr>
              <w:t>render_key</w:t>
            </w:r>
            <w:r>
              <w:rPr>
                <w:rFonts w:ascii="Arial" w:hAnsi="Arial"/>
                <w:sz w:val="17"/>
              </w:rPr>
              <w:t xml:space="preserve">, </w:t>
            </w:r>
            <w:r>
              <w:rPr>
                <w:rFonts w:ascii="Consolas" w:hAnsi="Consolas"/>
                <w:color w:val="381A89"/>
                <w:sz w:val="15"/>
              </w:rPr>
              <w:t>render_dpi</w:t>
            </w:r>
            <w:r>
              <w:rPr>
                <w:rFonts w:ascii="Arial" w:hAnsi="Arial"/>
                <w:sz w:val="17"/>
              </w:rPr>
              <w:t xml:space="preserve">, </w:t>
            </w:r>
            <w:r>
              <w:rPr>
                <w:rFonts w:ascii="Consolas" w:hAnsi="Consolas"/>
                <w:color w:val="381A89"/>
                <w:sz w:val="15"/>
              </w:rPr>
              <w:t>has_text_layer</w:t>
            </w:r>
            <w:r>
              <w:rPr>
                <w:rFonts w:ascii="Arial" w:hAnsi="Arial"/>
                <w:sz w:val="17"/>
              </w:rPr>
              <w:t xml:space="preserve">, </w:t>
            </w:r>
            <w:r>
              <w:rPr>
                <w:rFonts w:ascii="Consolas" w:hAnsi="Consolas"/>
                <w:color w:val="381A89"/>
                <w:sz w:val="15"/>
              </w:rPr>
              <w:t>text_char_count</w:t>
            </w:r>
            <w:r>
              <w:rPr>
                <w:rFonts w:ascii="Arial" w:hAnsi="Arial"/>
                <w:sz w:val="17"/>
              </w:rPr>
              <w:t xml:space="preserve">, </w:t>
            </w:r>
            <w:r>
              <w:rPr>
                <w:rFonts w:ascii="Consolas" w:hAnsi="Consolas"/>
                <w:color w:val="381A89"/>
                <w:sz w:val="15"/>
              </w:rPr>
              <w:t>artifacts</w:t>
            </w:r>
            <w:r>
              <w:rPr>
                <w:rFonts w:ascii="Arial" w:hAnsi="Arial"/>
                <w:sz w:val="17"/>
              </w:rPr>
              <w:t xml:space="preserve"> (thumbnail and forensic layer keys).</w:t>
            </w:r>
          </w:p>
        </w:tc>
      </w:tr>
      <w:tr>
        <w:trPr>
          <w:cantSplit/>
        </w:trPr>
        <w:tc>
          <w:tcPr>
            <w:tcW w:type="dxa" w:w="2268"/>
            <w:shd w:val="clear" w:color="auto" w:fill="F4F2FA"/>
          </w:tcPr>
          <w:p>
            <w:pPr>
              <w:spacing w:after="20" w:before="20" w:line="264" w:lineRule="auto"/>
            </w:pPr>
            <w:r>
              <w:rPr>
                <w:rFonts w:ascii="Consolas" w:hAnsi="Consolas"/>
                <w:color w:val="381A89"/>
                <w:sz w:val="15"/>
              </w:rPr>
              <w:t>document_metadata</w:t>
            </w:r>
          </w:p>
        </w:tc>
        <w:tc>
          <w:tcPr>
            <w:tcW w:type="dxa" w:w="6690"/>
            <w:shd w:val="clear" w:color="auto" w:fill="F4F2FA"/>
          </w:tcPr>
          <w:p>
            <w:pPr>
              <w:spacing w:after="20" w:before="20" w:line="264" w:lineRule="auto"/>
            </w:pPr>
            <w:r>
              <w:rPr>
                <w:rFonts w:ascii="Consolas" w:hAnsi="Consolas"/>
                <w:color w:val="381A89"/>
                <w:sz w:val="15"/>
              </w:rPr>
              <w:t>group_name</w:t>
            </w:r>
            <w:r>
              <w:rPr>
                <w:rFonts w:ascii="Arial" w:hAnsi="Arial"/>
                <w:sz w:val="17"/>
              </w:rPr>
              <w:t xml:space="preserve"> (pdf_info, xmp, exif, image_info, file, structure), </w:t>
            </w:r>
            <w:r>
              <w:rPr>
                <w:rFonts w:ascii="Consolas" w:hAnsi="Consolas"/>
                <w:color w:val="381A89"/>
                <w:sz w:val="15"/>
              </w:rPr>
              <w:t>key</w:t>
            </w:r>
            <w:r>
              <w:rPr>
                <w:rFonts w:ascii="Arial" w:hAnsi="Arial"/>
                <w:sz w:val="17"/>
              </w:rPr>
              <w:t xml:space="preserve">, </w:t>
            </w:r>
            <w:r>
              <w:rPr>
                <w:rFonts w:ascii="Consolas" w:hAnsi="Consolas"/>
                <w:color w:val="381A89"/>
                <w:sz w:val="15"/>
              </w:rPr>
              <w:t>value</w:t>
            </w:r>
            <w:r>
              <w:rPr>
                <w:rFonts w:ascii="Arial" w:hAnsi="Arial"/>
                <w:sz w:val="17"/>
              </w:rPr>
              <w:t xml:space="preserve">, </w:t>
            </w:r>
            <w:r>
              <w:rPr>
                <w:rFonts w:ascii="Consolas" w:hAnsi="Consolas"/>
                <w:color w:val="381A89"/>
                <w:sz w:val="15"/>
              </w:rPr>
              <w:t>is_anomalous</w:t>
            </w:r>
            <w:r>
              <w:rPr>
                <w:rFonts w:ascii="Arial" w:hAnsi="Arial"/>
                <w:sz w:val="17"/>
              </w:rPr>
              <w:t xml:space="preserve">, </w:t>
            </w:r>
            <w:r>
              <w:rPr>
                <w:rFonts w:ascii="Consolas" w:hAnsi="Consolas"/>
                <w:color w:val="381A89"/>
                <w:sz w:val="15"/>
              </w:rPr>
              <w:t>note</w:t>
            </w:r>
            <w:r>
              <w:rPr>
                <w:rFonts w:ascii="Arial" w:hAnsi="Arial"/>
                <w:sz w:val="17"/>
              </w:rPr>
              <w:t xml:space="preserve">, </w:t>
            </w:r>
            <w:r>
              <w:rPr>
                <w:rFonts w:ascii="Consolas" w:hAnsi="Consolas"/>
                <w:color w:val="381A89"/>
                <w:sz w:val="15"/>
              </w:rPr>
              <w:t>raw</w:t>
            </w:r>
            <w:r>
              <w:rPr>
                <w:rFonts w:ascii="Arial" w:hAnsi="Arial"/>
                <w:sz w:val="17"/>
              </w:rPr>
              <w:t>.</w:t>
            </w:r>
          </w:p>
        </w:tc>
      </w:tr>
      <w:tr>
        <w:trPr>
          <w:cantSplit/>
        </w:trPr>
        <w:tc>
          <w:tcPr>
            <w:tcW w:type="dxa" w:w="2268"/>
          </w:tcPr>
          <w:p>
            <w:pPr>
              <w:spacing w:after="20" w:before="20" w:line="264" w:lineRule="auto"/>
            </w:pPr>
            <w:r>
              <w:rPr>
                <w:rFonts w:ascii="Consolas" w:hAnsi="Consolas"/>
                <w:color w:val="381A89"/>
                <w:sz w:val="15"/>
              </w:rPr>
              <w:t>ocr_results</w:t>
            </w:r>
          </w:p>
        </w:tc>
        <w:tc>
          <w:tcPr>
            <w:tcW w:type="dxa" w:w="6690"/>
          </w:tcPr>
          <w:p>
            <w:pPr>
              <w:spacing w:after="20" w:before="20" w:line="264" w:lineRule="auto"/>
            </w:pPr>
            <w:r>
              <w:rPr>
                <w:rFonts w:ascii="Arial" w:hAnsi="Arial"/>
                <w:sz w:val="17"/>
              </w:rPr>
              <w:t xml:space="preserve">Unique per document and page. </w:t>
            </w:r>
            <w:r>
              <w:rPr>
                <w:rFonts w:ascii="Consolas" w:hAnsi="Consolas"/>
                <w:color w:val="381A89"/>
                <w:sz w:val="15"/>
              </w:rPr>
              <w:t>provider</w:t>
            </w:r>
            <w:r>
              <w:rPr>
                <w:rFonts w:ascii="Arial" w:hAnsi="Arial"/>
                <w:sz w:val="17"/>
              </w:rPr>
              <w:t xml:space="preserve">, </w:t>
            </w:r>
            <w:r>
              <w:rPr>
                <w:rFonts w:ascii="Consolas" w:hAnsi="Consolas"/>
                <w:color w:val="381A89"/>
                <w:sz w:val="15"/>
              </w:rPr>
              <w:t>provider_version</w:t>
            </w:r>
            <w:r>
              <w:rPr>
                <w:rFonts w:ascii="Arial" w:hAnsi="Arial"/>
                <w:sz w:val="17"/>
              </w:rPr>
              <w:t xml:space="preserve">, </w:t>
            </w:r>
            <w:r>
              <w:rPr>
                <w:rFonts w:ascii="Consolas" w:hAnsi="Consolas"/>
                <w:color w:val="381A89"/>
                <w:sz w:val="15"/>
              </w:rPr>
              <w:t>status</w:t>
            </w:r>
            <w:r>
              <w:rPr>
                <w:rFonts w:ascii="Arial" w:hAnsi="Arial"/>
                <w:sz w:val="17"/>
              </w:rPr>
              <w:t xml:space="preserve">, </w:t>
            </w:r>
            <w:r>
              <w:rPr>
                <w:rFonts w:ascii="Consolas" w:hAnsi="Consolas"/>
                <w:color w:val="381A89"/>
                <w:sz w:val="15"/>
              </w:rPr>
              <w:t>raw_text</w:t>
            </w:r>
            <w:r>
              <w:rPr>
                <w:rFonts w:ascii="Arial" w:hAnsi="Arial"/>
                <w:sz w:val="17"/>
              </w:rPr>
              <w:t xml:space="preserve">, </w:t>
            </w:r>
            <w:r>
              <w:rPr>
                <w:rFonts w:ascii="Consolas" w:hAnsi="Consolas"/>
                <w:color w:val="381A89"/>
                <w:sz w:val="15"/>
              </w:rPr>
              <w:t>mean_confidence</w:t>
            </w:r>
            <w:r>
              <w:rPr>
                <w:rFonts w:ascii="Arial" w:hAnsi="Arial"/>
                <w:sz w:val="17"/>
              </w:rPr>
              <w:t xml:space="preserve">, </w:t>
            </w:r>
            <w:r>
              <w:rPr>
                <w:rFonts w:ascii="Consolas" w:hAnsi="Consolas"/>
                <w:color w:val="381A89"/>
                <w:sz w:val="15"/>
              </w:rPr>
              <w:t>word_count</w:t>
            </w:r>
            <w:r>
              <w:rPr>
                <w:rFonts w:ascii="Arial" w:hAnsi="Arial"/>
                <w:sz w:val="17"/>
              </w:rPr>
              <w:t xml:space="preserve">, </w:t>
            </w:r>
            <w:r>
              <w:rPr>
                <w:rFonts w:ascii="Consolas" w:hAnsi="Consolas"/>
                <w:color w:val="381A89"/>
                <w:sz w:val="15"/>
              </w:rPr>
              <w:t>words</w:t>
            </w:r>
            <w:r>
              <w:rPr>
                <w:rFonts w:ascii="Arial" w:hAnsi="Arial"/>
                <w:sz w:val="17"/>
              </w:rPr>
              <w:t xml:space="preserve"> (with boxes), </w:t>
            </w:r>
            <w:r>
              <w:rPr>
                <w:rFonts w:ascii="Consolas" w:hAnsi="Consolas"/>
                <w:color w:val="381A89"/>
                <w:sz w:val="15"/>
              </w:rPr>
              <w:t>duration_ms</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extracted_fields</w:t>
            </w:r>
          </w:p>
        </w:tc>
        <w:tc>
          <w:tcPr>
            <w:tcW w:type="dxa" w:w="6690"/>
            <w:shd w:val="clear" w:color="auto" w:fill="F4F2FA"/>
          </w:tcPr>
          <w:p>
            <w:pPr>
              <w:spacing w:after="20" w:before="20" w:line="264" w:lineRule="auto"/>
            </w:pPr>
            <w:r>
              <w:rPr>
                <w:rFonts w:ascii="Consolas" w:hAnsi="Consolas"/>
                <w:color w:val="381A89"/>
                <w:sz w:val="15"/>
              </w:rPr>
              <w:t>field_key</w:t>
            </w:r>
            <w:r>
              <w:rPr>
                <w:rFonts w:ascii="Arial" w:hAnsi="Arial"/>
                <w:sz w:val="17"/>
              </w:rPr>
              <w:t xml:space="preserve">, </w:t>
            </w:r>
            <w:r>
              <w:rPr>
                <w:rFonts w:ascii="Consolas" w:hAnsi="Consolas"/>
                <w:color w:val="381A89"/>
                <w:sz w:val="15"/>
              </w:rPr>
              <w:t>field_label</w:t>
            </w:r>
            <w:r>
              <w:rPr>
                <w:rFonts w:ascii="Arial" w:hAnsi="Arial"/>
                <w:sz w:val="17"/>
              </w:rPr>
              <w:t xml:space="preserve">, </w:t>
            </w:r>
            <w:r>
              <w:rPr>
                <w:rFonts w:ascii="Consolas" w:hAnsi="Consolas"/>
                <w:color w:val="381A89"/>
                <w:sz w:val="15"/>
              </w:rPr>
              <w:t>value_raw</w:t>
            </w:r>
            <w:r>
              <w:rPr>
                <w:rFonts w:ascii="Arial" w:hAnsi="Arial"/>
                <w:sz w:val="17"/>
              </w:rPr>
              <w:t xml:space="preserve">, </w:t>
            </w:r>
            <w:r>
              <w:rPr>
                <w:rFonts w:ascii="Consolas" w:hAnsi="Consolas"/>
                <w:color w:val="381A89"/>
                <w:sz w:val="15"/>
              </w:rPr>
              <w:t>value_normalized</w:t>
            </w:r>
            <w:r>
              <w:rPr>
                <w:rFonts w:ascii="Arial" w:hAnsi="Arial"/>
                <w:sz w:val="17"/>
              </w:rPr>
              <w:t xml:space="preserve">, </w:t>
            </w:r>
            <w:r>
              <w:rPr>
                <w:rFonts w:ascii="Consolas" w:hAnsi="Consolas"/>
                <w:color w:val="381A89"/>
                <w:sz w:val="15"/>
              </w:rPr>
              <w:t>value_type</w:t>
            </w:r>
            <w:r>
              <w:rPr>
                <w:rFonts w:ascii="Arial" w:hAnsi="Arial"/>
                <w:sz w:val="17"/>
              </w:rPr>
              <w:t xml:space="preserve">, </w:t>
            </w:r>
            <w:r>
              <w:rPr>
                <w:rFonts w:ascii="Consolas" w:hAnsi="Consolas"/>
                <w:color w:val="381A89"/>
                <w:sz w:val="15"/>
              </w:rPr>
              <w:t>confidence</w:t>
            </w:r>
            <w:r>
              <w:rPr>
                <w:rFonts w:ascii="Arial" w:hAnsi="Arial"/>
                <w:sz w:val="17"/>
              </w:rPr>
              <w:t xml:space="preserve">, </w:t>
            </w:r>
            <w:r>
              <w:rPr>
                <w:rFonts w:ascii="Consolas" w:hAnsi="Consolas"/>
                <w:color w:val="381A89"/>
                <w:sz w:val="15"/>
              </w:rPr>
              <w:t>page</w:t>
            </w:r>
            <w:r>
              <w:rPr>
                <w:rFonts w:ascii="Arial" w:hAnsi="Arial"/>
                <w:sz w:val="17"/>
              </w:rPr>
              <w:t xml:space="preserve">, </w:t>
            </w:r>
            <w:r>
              <w:rPr>
                <w:rFonts w:ascii="Arial" w:hAnsi="Arial"/>
                <w:b/>
                <w:sz w:val="17"/>
              </w:rPr>
              <w:t>`bbox`</w:t>
            </w:r>
            <w:r>
              <w:rPr>
                <w:rFonts w:ascii="Arial" w:hAnsi="Arial"/>
                <w:sz w:val="17"/>
              </w:rPr>
              <w:t xml:space="preserve">, </w:t>
            </w:r>
            <w:r>
              <w:rPr>
                <w:rFonts w:ascii="Consolas" w:hAnsi="Consolas"/>
                <w:color w:val="381A89"/>
                <w:sz w:val="15"/>
              </w:rPr>
              <w:t>source</w:t>
            </w:r>
            <w:r>
              <w:rPr>
                <w:rFonts w:ascii="Arial" w:hAnsi="Arial"/>
                <w:sz w:val="17"/>
              </w:rPr>
              <w:t xml:space="preserve">, </w:t>
            </w:r>
            <w:r>
              <w:rPr>
                <w:rFonts w:ascii="Consolas" w:hAnsi="Consolas"/>
                <w:color w:val="381A89"/>
                <w:sz w:val="15"/>
              </w:rPr>
              <w:t>is_required</w:t>
            </w:r>
            <w:r>
              <w:rPr>
                <w:rFonts w:ascii="Arial" w:hAnsi="Arial"/>
                <w:sz w:val="17"/>
              </w:rPr>
              <w:t xml:space="preserve">, </w:t>
            </w:r>
            <w:r>
              <w:rPr>
                <w:rFonts w:ascii="Consolas" w:hAnsi="Consolas"/>
                <w:color w:val="381A89"/>
                <w:sz w:val="15"/>
              </w:rPr>
              <w:t>group_name</w:t>
            </w:r>
            <w:r>
              <w:rPr>
                <w:rFonts w:ascii="Arial" w:hAnsi="Arial"/>
                <w:sz w:val="17"/>
              </w:rPr>
              <w:t xml:space="preserve">, </w:t>
            </w:r>
            <w:r>
              <w:rPr>
                <w:rFonts w:ascii="Consolas" w:hAnsi="Consolas"/>
                <w:color w:val="381A89"/>
                <w:sz w:val="15"/>
              </w:rPr>
              <w:t>line_index</w:t>
            </w:r>
            <w:r>
              <w:rPr>
                <w:rFonts w:ascii="Arial" w:hAnsi="Arial"/>
                <w:sz w:val="17"/>
              </w:rPr>
              <w:t>.</w:t>
            </w:r>
          </w:p>
        </w:tc>
      </w:tr>
      <w:tr>
        <w:trPr>
          <w:cantSplit/>
        </w:trPr>
        <w:tc>
          <w:tcPr>
            <w:tcW w:type="dxa" w:w="2268"/>
          </w:tcPr>
          <w:p>
            <w:pPr>
              <w:spacing w:after="20" w:before="20" w:line="264" w:lineRule="auto"/>
            </w:pPr>
            <w:r>
              <w:rPr>
                <w:rFonts w:ascii="Consolas" w:hAnsi="Consolas"/>
                <w:color w:val="381A89"/>
                <w:sz w:val="15"/>
              </w:rPr>
              <w:t>analysis_runs</w:t>
            </w:r>
          </w:p>
        </w:tc>
        <w:tc>
          <w:tcPr>
            <w:tcW w:type="dxa" w:w="6690"/>
          </w:tcPr>
          <w:p>
            <w:pPr>
              <w:spacing w:after="20" w:before="20" w:line="264" w:lineRule="auto"/>
            </w:pPr>
            <w:r>
              <w:rPr>
                <w:rFonts w:ascii="Consolas" w:hAnsi="Consolas"/>
                <w:color w:val="381A89"/>
                <w:sz w:val="15"/>
              </w:rPr>
              <w:t>status</w:t>
            </w:r>
            <w:r>
              <w:rPr>
                <w:rFonts w:ascii="Arial" w:hAnsi="Arial"/>
                <w:sz w:val="17"/>
              </w:rPr>
              <w:t xml:space="preserve">, </w:t>
            </w:r>
            <w:r>
              <w:rPr>
                <w:rFonts w:ascii="Consolas" w:hAnsi="Consolas"/>
                <w:color w:val="381A89"/>
                <w:sz w:val="15"/>
              </w:rPr>
              <w:t>queue_job_id</w:t>
            </w:r>
            <w:r>
              <w:rPr>
                <w:rFonts w:ascii="Arial" w:hAnsi="Arial"/>
                <w:sz w:val="17"/>
              </w:rPr>
              <w:t xml:space="preserve">, </w:t>
            </w:r>
            <w:r>
              <w:rPr>
                <w:rFonts w:ascii="Consolas" w:hAnsi="Consolas"/>
                <w:color w:val="381A89"/>
                <w:sz w:val="15"/>
              </w:rPr>
              <w:t>queue_mode</w:t>
            </w:r>
            <w:r>
              <w:rPr>
                <w:rFonts w:ascii="Arial" w:hAnsi="Arial"/>
                <w:sz w:val="17"/>
              </w:rPr>
              <w:t xml:space="preserve">, </w:t>
            </w:r>
            <w:r>
              <w:rPr>
                <w:rFonts w:ascii="Consolas" w:hAnsi="Consolas"/>
                <w:color w:val="381A89"/>
                <w:sz w:val="15"/>
              </w:rPr>
              <w:t>pipeline_version</w:t>
            </w:r>
            <w:r>
              <w:rPr>
                <w:rFonts w:ascii="Arial" w:hAnsi="Arial"/>
                <w:sz w:val="17"/>
              </w:rPr>
              <w:t xml:space="preserve">, </w:t>
            </w:r>
            <w:r>
              <w:rPr>
                <w:rFonts w:ascii="Consolas" w:hAnsi="Consolas"/>
                <w:color w:val="381A89"/>
                <w:sz w:val="15"/>
              </w:rPr>
              <w:t>rules_version</w:t>
            </w:r>
            <w:r>
              <w:rPr>
                <w:rFonts w:ascii="Arial" w:hAnsi="Arial"/>
                <w:sz w:val="17"/>
              </w:rPr>
              <w:t xml:space="preserve">, </w:t>
            </w:r>
            <w:r>
              <w:rPr>
                <w:rFonts w:ascii="Arial" w:hAnsi="Arial"/>
                <w:b/>
                <w:sz w:val="17"/>
              </w:rPr>
              <w:t>`stages`</w:t>
            </w:r>
            <w:r>
              <w:rPr>
                <w:rFonts w:ascii="Arial" w:hAnsi="Arial"/>
                <w:sz w:val="17"/>
              </w:rPr>
              <w:t xml:space="preserve"> (the 14-stage timeline), </w:t>
            </w:r>
            <w:r>
              <w:rPr>
                <w:rFonts w:ascii="Consolas" w:hAnsi="Consolas"/>
                <w:color w:val="381A89"/>
                <w:sz w:val="15"/>
              </w:rPr>
              <w:t>provider_snapshot</w:t>
            </w:r>
            <w:r>
              <w:rPr>
                <w:rFonts w:ascii="Arial" w:hAnsi="Arial"/>
                <w:sz w:val="17"/>
              </w:rPr>
              <w:t xml:space="preserve">, timings, </w:t>
            </w:r>
            <w:r>
              <w:rPr>
                <w:rFonts w:ascii="Consolas" w:hAnsi="Consolas"/>
                <w:color w:val="381A89"/>
                <w:sz w:val="15"/>
              </w:rPr>
              <w:t>findings_count</w:t>
            </w:r>
            <w:r>
              <w:rPr>
                <w:rFonts w:ascii="Arial" w:hAnsi="Arial"/>
                <w:sz w:val="17"/>
              </w:rPr>
              <w:t xml:space="preserve">, </w:t>
            </w:r>
            <w:r>
              <w:rPr>
                <w:rFonts w:ascii="Consolas" w:hAnsi="Consolas"/>
                <w:color w:val="381A89"/>
                <w:sz w:val="15"/>
              </w:rPr>
              <w:t>reprocess_of_id</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risk_assessments</w:t>
            </w:r>
          </w:p>
        </w:tc>
        <w:tc>
          <w:tcPr>
            <w:tcW w:type="dxa" w:w="6690"/>
            <w:shd w:val="clear" w:color="auto" w:fill="F4F2FA"/>
          </w:tcPr>
          <w:p>
            <w:pPr>
              <w:spacing w:after="20" w:before="20" w:line="264" w:lineRule="auto"/>
            </w:pPr>
            <w:r>
              <w:rPr>
                <w:rFonts w:ascii="Consolas" w:hAnsi="Consolas"/>
                <w:color w:val="381A89"/>
                <w:sz w:val="15"/>
              </w:rPr>
              <w:t>score</w:t>
            </w:r>
            <w:r>
              <w:rPr>
                <w:rFonts w:ascii="Arial" w:hAnsi="Arial"/>
                <w:sz w:val="17"/>
              </w:rPr>
              <w:t xml:space="preserve">, </w:t>
            </w:r>
            <w:r>
              <w:rPr>
                <w:rFonts w:ascii="Consolas" w:hAnsi="Consolas"/>
                <w:color w:val="381A89"/>
                <w:sz w:val="15"/>
              </w:rPr>
              <w:t>band</w:t>
            </w:r>
            <w:r>
              <w:rPr>
                <w:rFonts w:ascii="Arial" w:hAnsi="Arial"/>
                <w:sz w:val="17"/>
              </w:rPr>
              <w:t xml:space="preserve">, </w:t>
            </w:r>
            <w:r>
              <w:rPr>
                <w:rFonts w:ascii="Consolas" w:hAnsi="Consolas"/>
                <w:color w:val="381A89"/>
                <w:sz w:val="15"/>
              </w:rPr>
              <w:t>weights_version</w:t>
            </w:r>
            <w:r>
              <w:rPr>
                <w:rFonts w:ascii="Arial" w:hAnsi="Arial"/>
                <w:sz w:val="17"/>
              </w:rPr>
              <w:t xml:space="preserve">, </w:t>
            </w:r>
            <w:r>
              <w:rPr>
                <w:rFonts w:ascii="Consolas" w:hAnsi="Consolas"/>
                <w:color w:val="381A89"/>
                <w:sz w:val="15"/>
              </w:rPr>
              <w:t>signals</w:t>
            </w:r>
            <w:r>
              <w:rPr>
                <w:rFonts w:ascii="Arial" w:hAnsi="Arial"/>
                <w:sz w:val="17"/>
              </w:rPr>
              <w:t xml:space="preserve">, </w:t>
            </w:r>
            <w:r>
              <w:rPr>
                <w:rFonts w:ascii="Consolas" w:hAnsi="Consolas"/>
                <w:color w:val="381A89"/>
                <w:sz w:val="15"/>
              </w:rPr>
              <w:t>category_scores</w:t>
            </w:r>
            <w:r>
              <w:rPr>
                <w:rFonts w:ascii="Arial" w:hAnsi="Arial"/>
                <w:sz w:val="17"/>
              </w:rPr>
              <w:t xml:space="preserve">, </w:t>
            </w:r>
            <w:r>
              <w:rPr>
                <w:rFonts w:ascii="Consolas" w:hAnsi="Consolas"/>
                <w:color w:val="381A89"/>
                <w:sz w:val="15"/>
              </w:rPr>
              <w:t>top_reasons</w:t>
            </w:r>
            <w:r>
              <w:rPr>
                <w:rFonts w:ascii="Arial" w:hAnsi="Arial"/>
                <w:sz w:val="17"/>
              </w:rPr>
              <w:t xml:space="preserve">, </w:t>
            </w:r>
            <w:r>
              <w:rPr>
                <w:rFonts w:ascii="Consolas" w:hAnsi="Consolas"/>
                <w:color w:val="381A89"/>
                <w:sz w:val="15"/>
              </w:rPr>
              <w:t>explanation</w:t>
            </w:r>
            <w:r>
              <w:rPr>
                <w:rFonts w:ascii="Arial" w:hAnsi="Arial"/>
                <w:sz w:val="17"/>
              </w:rPr>
              <w:t xml:space="preserve">, </w:t>
            </w:r>
            <w:r>
              <w:rPr>
                <w:rFonts w:ascii="Consolas" w:hAnsi="Consolas"/>
                <w:color w:val="381A89"/>
                <w:sz w:val="15"/>
              </w:rPr>
              <w:t>interpretation_note</w:t>
            </w:r>
            <w:r>
              <w:rPr>
                <w:rFonts w:ascii="Arial" w:hAnsi="Arial"/>
                <w:sz w:val="17"/>
              </w:rPr>
              <w:t xml:space="preserve">, </w:t>
            </w:r>
            <w:r>
              <w:rPr>
                <w:rFonts w:ascii="Consolas" w:hAnsi="Consolas"/>
                <w:color w:val="381A89"/>
                <w:sz w:val="15"/>
              </w:rPr>
              <w:t>coverage</w:t>
            </w:r>
            <w:r>
              <w:rPr>
                <w:rFonts w:ascii="Arial" w:hAnsi="Arial"/>
                <w:sz w:val="17"/>
              </w:rPr>
              <w:t xml:space="preserve">, </w:t>
            </w:r>
            <w:r>
              <w:rPr>
                <w:rFonts w:ascii="Consolas" w:hAnsi="Consolas"/>
                <w:color w:val="381A89"/>
                <w:sz w:val="15"/>
              </w:rPr>
              <w:t>is_superseded</w:t>
            </w:r>
            <w:r>
              <w:rPr>
                <w:rFonts w:ascii="Arial" w:hAnsi="Arial"/>
                <w:sz w:val="17"/>
              </w:rPr>
              <w:t xml:space="preserve"> — prior assessments are flagged, never deleted.</w:t>
            </w:r>
          </w:p>
        </w:tc>
      </w:tr>
      <w:tr>
        <w:trPr>
          <w:cantSplit/>
        </w:trPr>
        <w:tc>
          <w:tcPr>
            <w:tcW w:type="dxa" w:w="2268"/>
          </w:tcPr>
          <w:p>
            <w:pPr>
              <w:spacing w:after="20" w:before="20" w:line="264" w:lineRule="auto"/>
            </w:pPr>
            <w:r>
              <w:rPr>
                <w:rFonts w:ascii="Consolas" w:hAnsi="Consolas"/>
                <w:color w:val="381A89"/>
                <w:sz w:val="15"/>
              </w:rPr>
              <w:t>forensic_findings</w:t>
            </w:r>
          </w:p>
        </w:tc>
        <w:tc>
          <w:tcPr>
            <w:tcW w:type="dxa" w:w="6690"/>
          </w:tcPr>
          <w:p>
            <w:pPr>
              <w:spacing w:after="20" w:before="20" w:line="264" w:lineRule="auto"/>
            </w:pPr>
            <w:r>
              <w:rPr>
                <w:rFonts w:ascii="Arial" w:hAnsi="Arial"/>
                <w:sz w:val="17"/>
              </w:rPr>
              <w:t xml:space="preserve">Shared finding contract plus </w:t>
            </w:r>
            <w:r>
              <w:rPr>
                <w:rFonts w:ascii="Consolas" w:hAnsi="Consolas"/>
                <w:color w:val="381A89"/>
                <w:sz w:val="15"/>
              </w:rPr>
              <w:t>signal_group</w:t>
            </w:r>
            <w:r>
              <w:rPr>
                <w:rFonts w:ascii="Arial" w:hAnsi="Arial"/>
                <w:sz w:val="17"/>
              </w:rPr>
              <w:t>; holds the metadata, forensics and security categories.</w:t>
            </w:r>
          </w:p>
        </w:tc>
      </w:tr>
      <w:tr>
        <w:trPr>
          <w:cantSplit/>
        </w:trPr>
        <w:tc>
          <w:tcPr>
            <w:tcW w:type="dxa" w:w="2268"/>
            <w:shd w:val="clear" w:color="auto" w:fill="F4F2FA"/>
          </w:tcPr>
          <w:p>
            <w:pPr>
              <w:spacing w:after="20" w:before="20" w:line="264" w:lineRule="auto"/>
            </w:pPr>
            <w:r>
              <w:rPr>
                <w:rFonts w:ascii="Consolas" w:hAnsi="Consolas"/>
                <w:color w:val="381A89"/>
                <w:sz w:val="15"/>
              </w:rPr>
              <w:t>aigc_findings</w:t>
            </w:r>
          </w:p>
        </w:tc>
        <w:tc>
          <w:tcPr>
            <w:tcW w:type="dxa" w:w="6690"/>
            <w:shd w:val="clear" w:color="auto" w:fill="F4F2FA"/>
          </w:tcPr>
          <w:p>
            <w:pPr>
              <w:spacing w:after="20" w:before="20" w:line="264" w:lineRule="auto"/>
            </w:pPr>
            <w:r>
              <w:rPr>
                <w:rFonts w:ascii="Arial" w:hAnsi="Arial"/>
                <w:sz w:val="17"/>
              </w:rPr>
              <w:t xml:space="preserve">Shared contract plus </w:t>
            </w:r>
            <w:r>
              <w:rPr>
                <w:rFonts w:ascii="Consolas" w:hAnsi="Consolas"/>
                <w:color w:val="381A89"/>
                <w:sz w:val="15"/>
              </w:rPr>
              <w:t>provider_key</w:t>
            </w:r>
            <w:r>
              <w:rPr>
                <w:rFonts w:ascii="Arial" w:hAnsi="Arial"/>
                <w:sz w:val="17"/>
              </w:rPr>
              <w:t xml:space="preserve">, </w:t>
            </w:r>
            <w:r>
              <w:rPr>
                <w:rFonts w:ascii="Consolas" w:hAnsi="Consolas"/>
                <w:color w:val="381A89"/>
                <w:sz w:val="15"/>
              </w:rPr>
              <w:t>provider_label</w:t>
            </w:r>
            <w:r>
              <w:rPr>
                <w:rFonts w:ascii="Arial" w:hAnsi="Arial"/>
                <w:sz w:val="17"/>
              </w:rPr>
              <w:t xml:space="preserve">, </w:t>
            </w:r>
            <w:r>
              <w:rPr>
                <w:rFonts w:ascii="Arial" w:hAnsi="Arial"/>
                <w:b/>
                <w:sz w:val="17"/>
              </w:rPr>
              <w:t>`is_demo_provider`</w:t>
            </w:r>
            <w:r>
              <w:rPr>
                <w:rFonts w:ascii="Arial" w:hAnsi="Arial"/>
                <w:sz w:val="17"/>
              </w:rPr>
              <w:t xml:space="preserve">, </w:t>
            </w:r>
            <w:r>
              <w:rPr>
                <w:rFonts w:ascii="Consolas" w:hAnsi="Consolas"/>
                <w:color w:val="381A89"/>
                <w:sz w:val="15"/>
              </w:rPr>
              <w:t>indicator_scores</w:t>
            </w:r>
            <w:r>
              <w:rPr>
                <w:rFonts w:ascii="Arial" w:hAnsi="Arial"/>
                <w:sz w:val="17"/>
              </w:rPr>
              <w:t xml:space="preserve">, </w:t>
            </w:r>
            <w:r>
              <w:rPr>
                <w:rFonts w:ascii="Consolas" w:hAnsi="Consolas"/>
                <w:color w:val="381A89"/>
                <w:sz w:val="15"/>
              </w:rPr>
              <w:t>likelihood_band</w:t>
            </w:r>
            <w:r>
              <w:rPr>
                <w:rFonts w:ascii="Arial" w:hAnsi="Arial"/>
                <w:sz w:val="17"/>
              </w:rPr>
              <w:t>.</w:t>
            </w:r>
          </w:p>
        </w:tc>
      </w:tr>
      <w:tr>
        <w:trPr>
          <w:cantSplit/>
        </w:trPr>
        <w:tc>
          <w:tcPr>
            <w:tcW w:type="dxa" w:w="2268"/>
          </w:tcPr>
          <w:p>
            <w:pPr>
              <w:spacing w:after="20" w:before="20" w:line="264" w:lineRule="auto"/>
            </w:pPr>
            <w:r>
              <w:rPr>
                <w:rFonts w:ascii="Consolas" w:hAnsi="Consolas"/>
                <w:color w:val="381A89"/>
                <w:sz w:val="15"/>
              </w:rPr>
              <w:t>tampering_findings</w:t>
            </w:r>
          </w:p>
        </w:tc>
        <w:tc>
          <w:tcPr>
            <w:tcW w:type="dxa" w:w="6690"/>
          </w:tcPr>
          <w:p>
            <w:pPr>
              <w:spacing w:after="20" w:before="20" w:line="264" w:lineRule="auto"/>
            </w:pPr>
            <w:r>
              <w:rPr>
                <w:rFonts w:ascii="Arial" w:hAnsi="Arial"/>
                <w:sz w:val="17"/>
              </w:rPr>
              <w:t xml:space="preserve">Shared contract plus </w:t>
            </w:r>
            <w:r>
              <w:rPr>
                <w:rFonts w:ascii="Consolas" w:hAnsi="Consolas"/>
                <w:color w:val="381A89"/>
                <w:sz w:val="15"/>
              </w:rPr>
              <w:t>tamper_type</w:t>
            </w:r>
            <w:r>
              <w:rPr>
                <w:rFonts w:ascii="Arial" w:hAnsi="Arial"/>
                <w:sz w:val="17"/>
              </w:rPr>
              <w:t xml:space="preserve">, </w:t>
            </w:r>
            <w:r>
              <w:rPr>
                <w:rFonts w:ascii="Consolas" w:hAnsi="Consolas"/>
                <w:color w:val="381A89"/>
                <w:sz w:val="15"/>
              </w:rPr>
              <w:t>affected_field</w:t>
            </w:r>
            <w:r>
              <w:rPr>
                <w:rFonts w:ascii="Arial" w:hAnsi="Arial"/>
                <w:sz w:val="17"/>
              </w:rPr>
              <w:t xml:space="preserve">, </w:t>
            </w:r>
            <w:r>
              <w:rPr>
                <w:rFonts w:ascii="Consolas" w:hAnsi="Consolas"/>
                <w:color w:val="381A89"/>
                <w:sz w:val="15"/>
              </w:rPr>
              <w:t>affected_value</w:t>
            </w:r>
            <w:r>
              <w:rPr>
                <w:rFonts w:ascii="Arial" w:hAnsi="Arial"/>
                <w:sz w:val="17"/>
              </w:rPr>
              <w:t xml:space="preserve">, </w:t>
            </w:r>
            <w:r>
              <w:rPr>
                <w:rFonts w:ascii="Consolas" w:hAnsi="Consolas"/>
                <w:color w:val="381A89"/>
                <w:sz w:val="15"/>
              </w:rPr>
              <w:t>overlay_key</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consistency_findings</w:t>
            </w:r>
          </w:p>
        </w:tc>
        <w:tc>
          <w:tcPr>
            <w:tcW w:type="dxa" w:w="6690"/>
            <w:shd w:val="clear" w:color="auto" w:fill="F4F2FA"/>
          </w:tcPr>
          <w:p>
            <w:pPr>
              <w:spacing w:after="20" w:before="20" w:line="264" w:lineRule="auto"/>
            </w:pPr>
            <w:r>
              <w:rPr>
                <w:rFonts w:ascii="Arial" w:hAnsi="Arial"/>
                <w:sz w:val="17"/>
              </w:rPr>
              <w:t xml:space="preserve">Shared contract plus </w:t>
            </w:r>
            <w:r>
              <w:rPr>
                <w:rFonts w:ascii="Consolas" w:hAnsi="Consolas"/>
                <w:color w:val="381A89"/>
                <w:sz w:val="15"/>
              </w:rPr>
              <w:t>rule_code</w:t>
            </w:r>
            <w:r>
              <w:rPr>
                <w:rFonts w:ascii="Arial" w:hAnsi="Arial"/>
                <w:sz w:val="17"/>
              </w:rPr>
              <w:t xml:space="preserve">, </w:t>
            </w:r>
            <w:r>
              <w:rPr>
                <w:rFonts w:ascii="Consolas" w:hAnsi="Consolas"/>
                <w:color w:val="381A89"/>
                <w:sz w:val="15"/>
              </w:rPr>
              <w:t>fields_involved</w:t>
            </w:r>
            <w:r>
              <w:rPr>
                <w:rFonts w:ascii="Arial" w:hAnsi="Arial"/>
                <w:sz w:val="17"/>
              </w:rPr>
              <w:t xml:space="preserve">, </w:t>
            </w:r>
            <w:r>
              <w:rPr>
                <w:rFonts w:ascii="Consolas" w:hAnsi="Consolas"/>
                <w:color w:val="381A89"/>
                <w:sz w:val="15"/>
              </w:rPr>
              <w:t>expected</w:t>
            </w:r>
            <w:r>
              <w:rPr>
                <w:rFonts w:ascii="Arial" w:hAnsi="Arial"/>
                <w:sz w:val="17"/>
              </w:rPr>
              <w:t xml:space="preserve">, </w:t>
            </w:r>
            <w:r>
              <w:rPr>
                <w:rFonts w:ascii="Consolas" w:hAnsi="Consolas"/>
                <w:color w:val="381A89"/>
                <w:sz w:val="15"/>
              </w:rPr>
              <w:t>actual</w:t>
            </w:r>
            <w:r>
              <w:rPr>
                <w:rFonts w:ascii="Arial" w:hAnsi="Arial"/>
                <w:sz w:val="17"/>
              </w:rPr>
              <w:t>.</w:t>
            </w:r>
          </w:p>
        </w:tc>
      </w:tr>
      <w:tr>
        <w:trPr>
          <w:cantSplit/>
        </w:trPr>
        <w:tc>
          <w:tcPr>
            <w:tcW w:type="dxa" w:w="2268"/>
          </w:tcPr>
          <w:p>
            <w:pPr>
              <w:spacing w:after="20" w:before="20" w:line="264" w:lineRule="auto"/>
            </w:pPr>
            <w:r>
              <w:rPr>
                <w:rFonts w:ascii="Consolas" w:hAnsi="Consolas"/>
                <w:color w:val="381A89"/>
                <w:sz w:val="15"/>
              </w:rPr>
              <w:t>cross_document_findings</w:t>
            </w:r>
          </w:p>
        </w:tc>
        <w:tc>
          <w:tcPr>
            <w:tcW w:type="dxa" w:w="6690"/>
          </w:tcPr>
          <w:p>
            <w:pPr>
              <w:spacing w:after="20" w:before="20" w:line="264" w:lineRule="auto"/>
            </w:pPr>
            <w:r>
              <w:rPr>
                <w:rFonts w:ascii="Arial" w:hAnsi="Arial"/>
                <w:sz w:val="17"/>
              </w:rPr>
              <w:t xml:space="preserve">Shared contract plus mandatory </w:t>
            </w:r>
            <w:r>
              <w:rPr>
                <w:rFonts w:ascii="Consolas" w:hAnsi="Consolas"/>
                <w:color w:val="381A89"/>
                <w:sz w:val="15"/>
              </w:rPr>
              <w:t>claim_id</w:t>
            </w:r>
            <w:r>
              <w:rPr>
                <w:rFonts w:ascii="Arial" w:hAnsi="Arial"/>
                <w:sz w:val="17"/>
              </w:rPr>
              <w:t xml:space="preserve">, </w:t>
            </w:r>
            <w:r>
              <w:rPr>
                <w:rFonts w:ascii="Consolas" w:hAnsi="Consolas"/>
                <w:color w:val="381A89"/>
                <w:sz w:val="15"/>
              </w:rPr>
              <w:t>counterpart_document_id</w:t>
            </w:r>
            <w:r>
              <w:rPr>
                <w:rFonts w:ascii="Arial" w:hAnsi="Arial"/>
                <w:sz w:val="17"/>
              </w:rPr>
              <w:t xml:space="preserve">, </w:t>
            </w:r>
            <w:r>
              <w:rPr>
                <w:rFonts w:ascii="Consolas" w:hAnsi="Consolas"/>
                <w:color w:val="381A89"/>
                <w:sz w:val="15"/>
              </w:rPr>
              <w:t>field_key</w:t>
            </w:r>
            <w:r>
              <w:rPr>
                <w:rFonts w:ascii="Arial" w:hAnsi="Arial"/>
                <w:sz w:val="17"/>
              </w:rPr>
              <w:t xml:space="preserve">, </w:t>
            </w:r>
            <w:r>
              <w:rPr>
                <w:rFonts w:ascii="Consolas" w:hAnsi="Consolas"/>
                <w:color w:val="381A89"/>
                <w:sz w:val="15"/>
              </w:rPr>
              <w:t>value_a</w:t>
            </w:r>
            <w:r>
              <w:rPr>
                <w:rFonts w:ascii="Arial" w:hAnsi="Arial"/>
                <w:sz w:val="17"/>
              </w:rPr>
              <w:t xml:space="preserve">, </w:t>
            </w:r>
            <w:r>
              <w:rPr>
                <w:rFonts w:ascii="Consolas" w:hAnsi="Consolas"/>
                <w:color w:val="381A89"/>
                <w:sz w:val="15"/>
              </w:rPr>
              <w:t>value_b</w:t>
            </w:r>
            <w:r>
              <w:rPr>
                <w:rFonts w:ascii="Arial" w:hAnsi="Arial"/>
                <w:sz w:val="17"/>
              </w:rPr>
              <w:t xml:space="preserve">, </w:t>
            </w:r>
            <w:r>
              <w:rPr>
                <w:rFonts w:ascii="Consolas" w:hAnsi="Consolas"/>
                <w:color w:val="381A89"/>
                <w:sz w:val="15"/>
              </w:rPr>
              <w:t>similarity</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verification_requests</w:t>
            </w:r>
          </w:p>
        </w:tc>
        <w:tc>
          <w:tcPr>
            <w:tcW w:type="dxa" w:w="6690"/>
            <w:shd w:val="clear" w:color="auto" w:fill="F4F2FA"/>
          </w:tcPr>
          <w:p>
            <w:pPr>
              <w:spacing w:after="20" w:before="20" w:line="264" w:lineRule="auto"/>
            </w:pPr>
            <w:r>
              <w:rPr>
                <w:rFonts w:ascii="Consolas" w:hAnsi="Consolas"/>
                <w:color w:val="381A89"/>
                <w:sz w:val="15"/>
              </w:rPr>
              <w:t>provider_key</w:t>
            </w:r>
            <w:r>
              <w:rPr>
                <w:rFonts w:ascii="Arial" w:hAnsi="Arial"/>
                <w:sz w:val="17"/>
              </w:rPr>
              <w:t xml:space="preserve">, </w:t>
            </w:r>
            <w:r>
              <w:rPr>
                <w:rFonts w:ascii="Consolas" w:hAnsi="Consolas"/>
                <w:color w:val="381A89"/>
                <w:sz w:val="15"/>
              </w:rPr>
              <w:t>provider_label</w:t>
            </w:r>
            <w:r>
              <w:rPr>
                <w:rFonts w:ascii="Arial" w:hAnsi="Arial"/>
                <w:sz w:val="17"/>
              </w:rPr>
              <w:t xml:space="preserve">, </w:t>
            </w:r>
            <w:r>
              <w:rPr>
                <w:rFonts w:ascii="Arial" w:hAnsi="Arial"/>
                <w:b/>
                <w:sz w:val="17"/>
              </w:rPr>
              <w:t>`provider_mode`</w:t>
            </w:r>
            <w:r>
              <w:rPr>
                <w:rFonts w:ascii="Arial" w:hAnsi="Arial"/>
                <w:sz w:val="17"/>
              </w:rPr>
              <w:t xml:space="preserve">, </w:t>
            </w:r>
            <w:r>
              <w:rPr>
                <w:rFonts w:ascii="Consolas" w:hAnsi="Consolas"/>
                <w:color w:val="381A89"/>
                <w:sz w:val="15"/>
              </w:rPr>
              <w:t>request_type</w:t>
            </w:r>
            <w:r>
              <w:rPr>
                <w:rFonts w:ascii="Arial" w:hAnsi="Arial"/>
                <w:sz w:val="17"/>
              </w:rPr>
              <w:t xml:space="preserve">, </w:t>
            </w:r>
            <w:r>
              <w:rPr>
                <w:rFonts w:ascii="Consolas" w:hAnsi="Consolas"/>
                <w:color w:val="381A89"/>
                <w:sz w:val="15"/>
              </w:rPr>
              <w:t>request_payload</w:t>
            </w:r>
            <w:r>
              <w:rPr>
                <w:rFonts w:ascii="Arial" w:hAnsi="Arial"/>
                <w:sz w:val="17"/>
              </w:rPr>
              <w:t xml:space="preserve">, </w:t>
            </w:r>
            <w:r>
              <w:rPr>
                <w:rFonts w:ascii="Consolas" w:hAnsi="Consolas"/>
                <w:color w:val="381A89"/>
                <w:sz w:val="15"/>
              </w:rPr>
              <w:t>status</w:t>
            </w:r>
            <w:r>
              <w:rPr>
                <w:rFonts w:ascii="Arial" w:hAnsi="Arial"/>
                <w:sz w:val="17"/>
              </w:rPr>
              <w:t xml:space="preserve">, </w:t>
            </w:r>
            <w:r>
              <w:rPr>
                <w:rFonts w:ascii="Consolas" w:hAnsi="Consolas"/>
                <w:color w:val="381A89"/>
                <w:sz w:val="15"/>
              </w:rPr>
              <w:t>trigger</w:t>
            </w:r>
            <w:r>
              <w:rPr>
                <w:rFonts w:ascii="Arial" w:hAnsi="Arial"/>
                <w:sz w:val="17"/>
              </w:rPr>
              <w:t>.</w:t>
            </w:r>
          </w:p>
        </w:tc>
      </w:tr>
      <w:tr>
        <w:trPr>
          <w:cantSplit/>
        </w:trPr>
        <w:tc>
          <w:tcPr>
            <w:tcW w:type="dxa" w:w="2268"/>
          </w:tcPr>
          <w:p>
            <w:pPr>
              <w:spacing w:after="20" w:before="20" w:line="264" w:lineRule="auto"/>
            </w:pPr>
            <w:r>
              <w:rPr>
                <w:rFonts w:ascii="Consolas" w:hAnsi="Consolas"/>
                <w:color w:val="381A89"/>
                <w:sz w:val="15"/>
              </w:rPr>
              <w:t>verification_results</w:t>
            </w:r>
          </w:p>
        </w:tc>
        <w:tc>
          <w:tcPr>
            <w:tcW w:type="dxa" w:w="6690"/>
          </w:tcPr>
          <w:p>
            <w:pPr>
              <w:spacing w:after="20" w:before="20" w:line="264" w:lineRule="auto"/>
            </w:pPr>
            <w:r>
              <w:rPr>
                <w:rFonts w:ascii="Consolas" w:hAnsi="Consolas"/>
                <w:color w:val="381A89"/>
                <w:sz w:val="15"/>
              </w:rPr>
              <w:t>outcome</w:t>
            </w:r>
            <w:r>
              <w:rPr>
                <w:rFonts w:ascii="Arial" w:hAnsi="Arial"/>
                <w:sz w:val="17"/>
              </w:rPr>
              <w:t xml:space="preserve">, </w:t>
            </w:r>
            <w:r>
              <w:rPr>
                <w:rFonts w:ascii="Consolas" w:hAnsi="Consolas"/>
                <w:color w:val="381A89"/>
                <w:sz w:val="15"/>
              </w:rPr>
              <w:t>summary</w:t>
            </w:r>
            <w:r>
              <w:rPr>
                <w:rFonts w:ascii="Arial" w:hAnsi="Arial"/>
                <w:sz w:val="17"/>
              </w:rPr>
              <w:t xml:space="preserve">, </w:t>
            </w:r>
            <w:r>
              <w:rPr>
                <w:rFonts w:ascii="Consolas" w:hAnsi="Consolas"/>
                <w:color w:val="381A89"/>
                <w:sz w:val="15"/>
              </w:rPr>
              <w:t>checks</w:t>
            </w:r>
            <w:r>
              <w:rPr>
                <w:rFonts w:ascii="Arial" w:hAnsi="Arial"/>
                <w:sz w:val="17"/>
              </w:rPr>
              <w:t xml:space="preserve">, </w:t>
            </w:r>
            <w:r>
              <w:rPr>
                <w:rFonts w:ascii="Consolas" w:hAnsi="Consolas"/>
                <w:color w:val="381A89"/>
                <w:sz w:val="15"/>
              </w:rPr>
              <w:t>raw_response</w:t>
            </w:r>
            <w:r>
              <w:rPr>
                <w:rFonts w:ascii="Arial" w:hAnsi="Arial"/>
                <w:sz w:val="17"/>
              </w:rPr>
              <w:t xml:space="preserve">, </w:t>
            </w:r>
            <w:r>
              <w:rPr>
                <w:rFonts w:ascii="Consolas" w:hAnsi="Consolas"/>
                <w:color w:val="381A89"/>
                <w:sz w:val="15"/>
              </w:rPr>
              <w:t>latency_ms</w:t>
            </w:r>
            <w:r>
              <w:rPr>
                <w:rFonts w:ascii="Arial" w:hAnsi="Arial"/>
                <w:sz w:val="17"/>
              </w:rPr>
              <w:t xml:space="preserve">, </w:t>
            </w:r>
            <w:r>
              <w:rPr>
                <w:rFonts w:ascii="Consolas" w:hAnsi="Consolas"/>
                <w:color w:val="381A89"/>
                <w:sz w:val="15"/>
              </w:rPr>
              <w:t>reference_id</w:t>
            </w:r>
            <w:r>
              <w:rPr>
                <w:rFonts w:ascii="Arial" w:hAnsi="Arial"/>
                <w:sz w:val="17"/>
              </w:rPr>
              <w:t xml:space="preserve">, </w:t>
            </w:r>
            <w:r>
              <w:rPr>
                <w:rFonts w:ascii="Arial" w:hAnsi="Arial"/>
                <w:b/>
                <w:sz w:val="17"/>
              </w:rPr>
              <w:t>`is_demo_data`</w:t>
            </w:r>
            <w:r>
              <w:rPr>
                <w:rFonts w:ascii="Arial" w:hAnsi="Arial"/>
                <w:sz w:val="17"/>
              </w:rPr>
              <w:t xml:space="preserve">, </w:t>
            </w:r>
            <w:r>
              <w:rPr>
                <w:rFonts w:ascii="Arial" w:hAnsi="Arial"/>
                <w:b/>
                <w:sz w:val="17"/>
              </w:rPr>
              <w:t>`data_source_disclaimer`</w:t>
            </w:r>
            <w:r>
              <w:rPr>
                <w:rFonts w:ascii="Arial" w:hAnsi="Arial"/>
                <w:sz w:val="17"/>
              </w:rPr>
              <w:t xml:space="preserve">, </w:t>
            </w:r>
            <w:r>
              <w:rPr>
                <w:rFonts w:ascii="Consolas" w:hAnsi="Consolas"/>
                <w:color w:val="381A89"/>
                <w:sz w:val="15"/>
              </w:rPr>
              <w:t>error</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investigations</w:t>
            </w:r>
          </w:p>
        </w:tc>
        <w:tc>
          <w:tcPr>
            <w:tcW w:type="dxa" w:w="6690"/>
            <w:shd w:val="clear" w:color="auto" w:fill="F4F2FA"/>
          </w:tcPr>
          <w:p>
            <w:pPr>
              <w:spacing w:after="20" w:before="20" w:line="264" w:lineRule="auto"/>
            </w:pPr>
            <w:r>
              <w:rPr>
                <w:rFonts w:ascii="Consolas" w:hAnsi="Consolas"/>
                <w:color w:val="381A89"/>
                <w:sz w:val="15"/>
              </w:rPr>
              <w:t>case_number</w:t>
            </w:r>
            <w:r>
              <w:rPr>
                <w:rFonts w:ascii="Arial" w:hAnsi="Arial"/>
                <w:sz w:val="17"/>
              </w:rPr>
              <w:t xml:space="preserve"> unique, </w:t>
            </w:r>
            <w:r>
              <w:rPr>
                <w:rFonts w:ascii="Consolas" w:hAnsi="Consolas"/>
                <w:color w:val="381A89"/>
                <w:sz w:val="15"/>
              </w:rPr>
              <w:t>status</w:t>
            </w:r>
            <w:r>
              <w:rPr>
                <w:rFonts w:ascii="Arial" w:hAnsi="Arial"/>
                <w:sz w:val="17"/>
              </w:rPr>
              <w:t xml:space="preserve">, </w:t>
            </w:r>
            <w:r>
              <w:rPr>
                <w:rFonts w:ascii="Consolas" w:hAnsi="Consolas"/>
                <w:color w:val="381A89"/>
                <w:sz w:val="15"/>
              </w:rPr>
              <w:t>priority</w:t>
            </w:r>
            <w:r>
              <w:rPr>
                <w:rFonts w:ascii="Arial" w:hAnsi="Arial"/>
                <w:sz w:val="17"/>
              </w:rPr>
              <w:t xml:space="preserve">, </w:t>
            </w:r>
            <w:r>
              <w:rPr>
                <w:rFonts w:ascii="Consolas" w:hAnsi="Consolas"/>
                <w:color w:val="381A89"/>
                <w:sz w:val="15"/>
              </w:rPr>
              <w:t>assigned_to_id</w:t>
            </w:r>
            <w:r>
              <w:rPr>
                <w:rFonts w:ascii="Arial" w:hAnsi="Arial"/>
                <w:sz w:val="17"/>
              </w:rPr>
              <w:t xml:space="preserve">, </w:t>
            </w:r>
            <w:r>
              <w:rPr>
                <w:rFonts w:ascii="Consolas" w:hAnsi="Consolas"/>
                <w:color w:val="381A89"/>
                <w:sz w:val="15"/>
              </w:rPr>
              <w:t>opened_by_id</w:t>
            </w:r>
            <w:r>
              <w:rPr>
                <w:rFonts w:ascii="Arial" w:hAnsi="Arial"/>
                <w:sz w:val="17"/>
              </w:rPr>
              <w:t xml:space="preserve">, </w:t>
            </w:r>
            <w:r>
              <w:rPr>
                <w:rFonts w:ascii="Consolas" w:hAnsi="Consolas"/>
                <w:color w:val="381A89"/>
                <w:sz w:val="15"/>
              </w:rPr>
              <w:t>opened_at</w:t>
            </w:r>
            <w:r>
              <w:rPr>
                <w:rFonts w:ascii="Arial" w:hAnsi="Arial"/>
                <w:sz w:val="17"/>
              </w:rPr>
              <w:t xml:space="preserve">, </w:t>
            </w:r>
            <w:r>
              <w:rPr>
                <w:rFonts w:ascii="Consolas" w:hAnsi="Consolas"/>
                <w:color w:val="381A89"/>
                <w:sz w:val="15"/>
              </w:rPr>
              <w:t>closed_at</w:t>
            </w:r>
            <w:r>
              <w:rPr>
                <w:rFonts w:ascii="Arial" w:hAnsi="Arial"/>
                <w:sz w:val="17"/>
              </w:rPr>
              <w:t xml:space="preserve">, </w:t>
            </w:r>
            <w:r>
              <w:rPr>
                <w:rFonts w:ascii="Consolas" w:hAnsi="Consolas"/>
                <w:color w:val="381A89"/>
                <w:sz w:val="15"/>
              </w:rPr>
              <w:t>resolution</w:t>
            </w:r>
            <w:r>
              <w:rPr>
                <w:rFonts w:ascii="Arial" w:hAnsi="Arial"/>
                <w:sz w:val="17"/>
              </w:rPr>
              <w:t xml:space="preserve">, </w:t>
            </w:r>
            <w:r>
              <w:rPr>
                <w:rFonts w:ascii="Consolas" w:hAnsi="Consolas"/>
                <w:color w:val="381A89"/>
                <w:sz w:val="15"/>
              </w:rPr>
              <w:t>risk_score_at_open</w:t>
            </w:r>
            <w:r>
              <w:rPr>
                <w:rFonts w:ascii="Arial" w:hAnsi="Arial"/>
                <w:sz w:val="17"/>
              </w:rPr>
              <w:t xml:space="preserve">, </w:t>
            </w:r>
            <w:r>
              <w:rPr>
                <w:rFonts w:ascii="Consolas" w:hAnsi="Consolas"/>
                <w:color w:val="381A89"/>
                <w:sz w:val="15"/>
              </w:rPr>
              <w:t>context</w:t>
            </w:r>
            <w:r>
              <w:rPr>
                <w:rFonts w:ascii="Arial" w:hAnsi="Arial"/>
                <w:sz w:val="17"/>
              </w:rPr>
              <w:t>.</w:t>
            </w:r>
          </w:p>
        </w:tc>
      </w:tr>
      <w:tr>
        <w:trPr>
          <w:cantSplit/>
        </w:trPr>
        <w:tc>
          <w:tcPr>
            <w:tcW w:type="dxa" w:w="2268"/>
          </w:tcPr>
          <w:p>
            <w:pPr>
              <w:spacing w:after="20" w:before="20" w:line="264" w:lineRule="auto"/>
            </w:pPr>
            <w:r>
              <w:rPr>
                <w:rFonts w:ascii="Consolas" w:hAnsi="Consolas"/>
                <w:color w:val="381A89"/>
                <w:sz w:val="15"/>
              </w:rPr>
              <w:t>investigation_notes</w:t>
            </w:r>
          </w:p>
        </w:tc>
        <w:tc>
          <w:tcPr>
            <w:tcW w:type="dxa" w:w="6690"/>
          </w:tcPr>
          <w:p>
            <w:pPr>
              <w:spacing w:after="20" w:before="20" w:line="264" w:lineRule="auto"/>
            </w:pPr>
            <w:r>
              <w:rPr>
                <w:rFonts w:ascii="Consolas" w:hAnsi="Consolas"/>
                <w:color w:val="381A89"/>
                <w:sz w:val="15"/>
              </w:rPr>
              <w:t>author_id</w:t>
            </w:r>
            <w:r>
              <w:rPr>
                <w:rFonts w:ascii="Arial" w:hAnsi="Arial"/>
                <w:sz w:val="17"/>
              </w:rPr>
              <w:t xml:space="preserve">, </w:t>
            </w:r>
            <w:r>
              <w:rPr>
                <w:rFonts w:ascii="Consolas" w:hAnsi="Consolas"/>
                <w:color w:val="381A89"/>
                <w:sz w:val="15"/>
              </w:rPr>
              <w:t>body</w:t>
            </w:r>
            <w:r>
              <w:rPr>
                <w:rFonts w:ascii="Arial" w:hAnsi="Arial"/>
                <w:sz w:val="17"/>
              </w:rPr>
              <w:t xml:space="preserve">, </w:t>
            </w:r>
            <w:r>
              <w:rPr>
                <w:rFonts w:ascii="Consolas" w:hAnsi="Consolas"/>
                <w:color w:val="381A89"/>
                <w:sz w:val="15"/>
              </w:rPr>
              <w:t>note_type</w:t>
            </w:r>
            <w:r>
              <w:rPr>
                <w:rFonts w:ascii="Arial" w:hAnsi="Arial"/>
                <w:sz w:val="17"/>
              </w:rPr>
              <w:t xml:space="preserve">, </w:t>
            </w:r>
            <w:r>
              <w:rPr>
                <w:rFonts w:ascii="Consolas" w:hAnsi="Consolas"/>
                <w:color w:val="381A89"/>
                <w:sz w:val="15"/>
              </w:rPr>
              <w:t>is_internal</w:t>
            </w:r>
            <w:r>
              <w:rPr>
                <w:rFonts w:ascii="Arial" w:hAnsi="Arial"/>
                <w:sz w:val="17"/>
              </w:rPr>
              <w:t xml:space="preserve">, </w:t>
            </w:r>
            <w:r>
              <w:rPr>
                <w:rFonts w:ascii="Consolas" w:hAnsi="Consolas"/>
                <w:color w:val="381A89"/>
                <w:sz w:val="15"/>
              </w:rPr>
              <w:t>attachments</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review_actions</w:t>
            </w:r>
          </w:p>
        </w:tc>
        <w:tc>
          <w:tcPr>
            <w:tcW w:type="dxa" w:w="6690"/>
            <w:shd w:val="clear" w:color="auto" w:fill="F4F2FA"/>
          </w:tcPr>
          <w:p>
            <w:pPr>
              <w:spacing w:after="20" w:before="20" w:line="264" w:lineRule="auto"/>
            </w:pPr>
            <w:r>
              <w:rPr>
                <w:rFonts w:ascii="Arial" w:hAnsi="Arial"/>
                <w:sz w:val="17"/>
              </w:rPr>
              <w:t xml:space="preserve">Append-only human decisions: </w:t>
            </w:r>
            <w:r>
              <w:rPr>
                <w:rFonts w:ascii="Consolas" w:hAnsi="Consolas"/>
                <w:color w:val="381A89"/>
                <w:sz w:val="15"/>
              </w:rPr>
              <w:t>finding_kind</w:t>
            </w:r>
            <w:r>
              <w:rPr>
                <w:rFonts w:ascii="Arial" w:hAnsi="Arial"/>
                <w:sz w:val="17"/>
              </w:rPr>
              <w:t xml:space="preserve">, </w:t>
            </w:r>
            <w:r>
              <w:rPr>
                <w:rFonts w:ascii="Consolas" w:hAnsi="Consolas"/>
                <w:color w:val="381A89"/>
                <w:sz w:val="15"/>
              </w:rPr>
              <w:t>finding_id</w:t>
            </w:r>
            <w:r>
              <w:rPr>
                <w:rFonts w:ascii="Arial" w:hAnsi="Arial"/>
                <w:sz w:val="17"/>
              </w:rPr>
              <w:t xml:space="preserve">, </w:t>
            </w:r>
            <w:r>
              <w:rPr>
                <w:rFonts w:ascii="Consolas" w:hAnsi="Consolas"/>
                <w:color w:val="381A89"/>
                <w:sz w:val="15"/>
              </w:rPr>
              <w:t>action</w:t>
            </w:r>
            <w:r>
              <w:rPr>
                <w:rFonts w:ascii="Arial" w:hAnsi="Arial"/>
                <w:sz w:val="17"/>
              </w:rPr>
              <w:t xml:space="preserve">, </w:t>
            </w:r>
            <w:r>
              <w:rPr>
                <w:rFonts w:ascii="Arial" w:hAnsi="Arial"/>
                <w:b/>
                <w:sz w:val="17"/>
              </w:rPr>
              <w:t>`reason`</w:t>
            </w:r>
            <w:r>
              <w:rPr>
                <w:rFonts w:ascii="Arial" w:hAnsi="Arial"/>
                <w:sz w:val="17"/>
              </w:rPr>
              <w:t xml:space="preserve">, </w:t>
            </w:r>
            <w:r>
              <w:rPr>
                <w:rFonts w:ascii="Consolas" w:hAnsi="Consolas"/>
                <w:color w:val="381A89"/>
                <w:sz w:val="15"/>
              </w:rPr>
              <w:t>actor_id</w:t>
            </w:r>
            <w:r>
              <w:rPr>
                <w:rFonts w:ascii="Arial" w:hAnsi="Arial"/>
                <w:sz w:val="17"/>
              </w:rPr>
              <w:t xml:space="preserve">, </w:t>
            </w:r>
            <w:r>
              <w:rPr>
                <w:rFonts w:ascii="Consolas" w:hAnsi="Consolas"/>
                <w:color w:val="381A89"/>
                <w:sz w:val="15"/>
              </w:rPr>
              <w:t>actor_role</w:t>
            </w:r>
            <w:r>
              <w:rPr>
                <w:rFonts w:ascii="Arial" w:hAnsi="Arial"/>
                <w:sz w:val="17"/>
              </w:rPr>
              <w:t xml:space="preserve">, </w:t>
            </w:r>
            <w:r>
              <w:rPr>
                <w:rFonts w:ascii="Consolas" w:hAnsi="Consolas"/>
                <w:color w:val="381A89"/>
                <w:sz w:val="15"/>
              </w:rPr>
              <w:t>previous_status</w:t>
            </w:r>
            <w:r>
              <w:rPr>
                <w:rFonts w:ascii="Arial" w:hAnsi="Arial"/>
                <w:sz w:val="17"/>
              </w:rPr>
              <w:t xml:space="preserve">, </w:t>
            </w:r>
            <w:r>
              <w:rPr>
                <w:rFonts w:ascii="Consolas" w:hAnsi="Consolas"/>
                <w:color w:val="381A89"/>
                <w:sz w:val="15"/>
              </w:rPr>
              <w:t>new_status</w:t>
            </w:r>
            <w:r>
              <w:rPr>
                <w:rFonts w:ascii="Arial" w:hAnsi="Arial"/>
                <w:sz w:val="17"/>
              </w:rPr>
              <w:t>.</w:t>
            </w:r>
          </w:p>
        </w:tc>
      </w:tr>
      <w:tr>
        <w:trPr>
          <w:cantSplit/>
        </w:trPr>
        <w:tc>
          <w:tcPr>
            <w:tcW w:type="dxa" w:w="2268"/>
          </w:tcPr>
          <w:p>
            <w:pPr>
              <w:spacing w:after="20" w:before="20" w:line="264" w:lineRule="auto"/>
            </w:pPr>
            <w:r>
              <w:rPr>
                <w:rFonts w:ascii="Consolas" w:hAnsi="Consolas"/>
                <w:color w:val="381A89"/>
                <w:sz w:val="15"/>
              </w:rPr>
              <w:t>reports</w:t>
            </w:r>
          </w:p>
        </w:tc>
        <w:tc>
          <w:tcPr>
            <w:tcW w:type="dxa" w:w="6690"/>
          </w:tcPr>
          <w:p>
            <w:pPr>
              <w:spacing w:after="20" w:before="20" w:line="264" w:lineRule="auto"/>
            </w:pPr>
            <w:r>
              <w:rPr>
                <w:rFonts w:ascii="Consolas" w:hAnsi="Consolas"/>
                <w:color w:val="381A89"/>
                <w:sz w:val="15"/>
              </w:rPr>
              <w:t>report_ref</w:t>
            </w:r>
            <w:r>
              <w:rPr>
                <w:rFonts w:ascii="Arial" w:hAnsi="Arial"/>
                <w:sz w:val="17"/>
              </w:rPr>
              <w:t xml:space="preserve"> unique, </w:t>
            </w:r>
            <w:r>
              <w:rPr>
                <w:rFonts w:ascii="Consolas" w:hAnsi="Consolas"/>
                <w:color w:val="381A89"/>
                <w:sz w:val="15"/>
              </w:rPr>
              <w:t>report_type</w:t>
            </w:r>
            <w:r>
              <w:rPr>
                <w:rFonts w:ascii="Arial" w:hAnsi="Arial"/>
                <w:sz w:val="17"/>
              </w:rPr>
              <w:t xml:space="preserve">, </w:t>
            </w:r>
            <w:r>
              <w:rPr>
                <w:rFonts w:ascii="Consolas" w:hAnsi="Consolas"/>
                <w:color w:val="381A89"/>
                <w:sz w:val="15"/>
              </w:rPr>
              <w:t>format</w:t>
            </w:r>
            <w:r>
              <w:rPr>
                <w:rFonts w:ascii="Arial" w:hAnsi="Arial"/>
                <w:sz w:val="17"/>
              </w:rPr>
              <w:t xml:space="preserve">, </w:t>
            </w:r>
            <w:r>
              <w:rPr>
                <w:rFonts w:ascii="Consolas" w:hAnsi="Consolas"/>
                <w:color w:val="381A89"/>
                <w:sz w:val="15"/>
              </w:rPr>
              <w:t>storage_key</w:t>
            </w:r>
            <w:r>
              <w:rPr>
                <w:rFonts w:ascii="Arial" w:hAnsi="Arial"/>
                <w:sz w:val="17"/>
              </w:rPr>
              <w:t xml:space="preserve">, </w:t>
            </w:r>
            <w:r>
              <w:rPr>
                <w:rFonts w:ascii="Consolas" w:hAnsi="Consolas"/>
                <w:color w:val="381A89"/>
                <w:sz w:val="15"/>
              </w:rPr>
              <w:t>file_size</w:t>
            </w:r>
            <w:r>
              <w:rPr>
                <w:rFonts w:ascii="Arial" w:hAnsi="Arial"/>
                <w:sz w:val="17"/>
              </w:rPr>
              <w:t xml:space="preserve">, </w:t>
            </w:r>
            <w:r>
              <w:rPr>
                <w:rFonts w:ascii="Arial" w:hAnsi="Arial"/>
                <w:b/>
                <w:sz w:val="17"/>
              </w:rPr>
              <w:t>`sha256`</w:t>
            </w:r>
            <w:r>
              <w:rPr>
                <w:rFonts w:ascii="Arial" w:hAnsi="Arial"/>
                <w:sz w:val="17"/>
              </w:rPr>
              <w:t xml:space="preserve">, </w:t>
            </w:r>
            <w:r>
              <w:rPr>
                <w:rFonts w:ascii="Arial" w:hAnsi="Arial"/>
                <w:b/>
                <w:sz w:val="17"/>
              </w:rPr>
              <w:t>`document_sha256`</w:t>
            </w:r>
            <w:r>
              <w:rPr>
                <w:rFonts w:ascii="Arial" w:hAnsi="Arial"/>
                <w:sz w:val="17"/>
              </w:rPr>
              <w:t xml:space="preserve">, </w:t>
            </w:r>
            <w:r>
              <w:rPr>
                <w:rFonts w:ascii="Consolas" w:hAnsi="Consolas"/>
                <w:color w:val="381A89"/>
                <w:sz w:val="15"/>
              </w:rPr>
              <w:t>pipeline_version</w:t>
            </w:r>
            <w:r>
              <w:rPr>
                <w:rFonts w:ascii="Arial" w:hAnsi="Arial"/>
                <w:sz w:val="17"/>
              </w:rPr>
              <w:t xml:space="preserve">, </w:t>
            </w:r>
            <w:r>
              <w:rPr>
                <w:rFonts w:ascii="Consolas" w:hAnsi="Consolas"/>
                <w:color w:val="381A89"/>
                <w:sz w:val="15"/>
              </w:rPr>
              <w:t>rules_version</w:t>
            </w:r>
            <w:r>
              <w:rPr>
                <w:rFonts w:ascii="Arial" w:hAnsi="Arial"/>
                <w:sz w:val="17"/>
              </w:rPr>
              <w:t xml:space="preserve">, </w:t>
            </w:r>
            <w:r>
              <w:rPr>
                <w:rFonts w:ascii="Consolas" w:hAnsi="Consolas"/>
                <w:color w:val="381A89"/>
                <w:sz w:val="15"/>
              </w:rPr>
              <w:t>snapshot</w:t>
            </w:r>
            <w:r>
              <w:rPr>
                <w:rFonts w:ascii="Arial" w:hAnsi="Arial"/>
                <w:sz w:val="17"/>
              </w:rPr>
              <w:t>.</w:t>
            </w:r>
          </w:p>
        </w:tc>
      </w:tr>
      <w:tr>
        <w:trPr>
          <w:cantSplit/>
        </w:trPr>
        <w:tc>
          <w:tcPr>
            <w:tcW w:type="dxa" w:w="2268"/>
            <w:shd w:val="clear" w:color="auto" w:fill="F4F2FA"/>
          </w:tcPr>
          <w:p>
            <w:pPr>
              <w:spacing w:after="20" w:before="20" w:line="264" w:lineRule="auto"/>
            </w:pPr>
            <w:r>
              <w:rPr>
                <w:rFonts w:ascii="Consolas" w:hAnsi="Consolas"/>
                <w:color w:val="381A89"/>
                <w:sz w:val="15"/>
              </w:rPr>
              <w:t>audit_logs</w:t>
            </w:r>
          </w:p>
        </w:tc>
        <w:tc>
          <w:tcPr>
            <w:tcW w:type="dxa" w:w="6690"/>
            <w:shd w:val="clear" w:color="auto" w:fill="F4F2FA"/>
          </w:tcPr>
          <w:p>
            <w:pPr>
              <w:spacing w:after="20" w:before="20" w:line="264" w:lineRule="auto"/>
            </w:pPr>
            <w:r>
              <w:rPr>
                <w:rFonts w:ascii="Arial" w:hAnsi="Arial"/>
                <w:b/>
                <w:sz w:val="17"/>
              </w:rPr>
              <w:t>`seq`</w:t>
            </w:r>
            <w:r>
              <w:rPr>
                <w:rFonts w:ascii="Arial" w:hAnsi="Arial"/>
                <w:sz w:val="17"/>
              </w:rPr>
              <w:t xml:space="preserve"> (gap-free database identity), </w:t>
            </w:r>
            <w:r>
              <w:rPr>
                <w:rFonts w:ascii="Consolas" w:hAnsi="Consolas"/>
                <w:color w:val="381A89"/>
                <w:sz w:val="15"/>
              </w:rPr>
              <w:t>actor_id/email/role</w:t>
            </w:r>
            <w:r>
              <w:rPr>
                <w:rFonts w:ascii="Arial" w:hAnsi="Arial"/>
                <w:sz w:val="17"/>
              </w:rPr>
              <w:t xml:space="preserve">, </w:t>
            </w:r>
            <w:r>
              <w:rPr>
                <w:rFonts w:ascii="Consolas" w:hAnsi="Consolas"/>
                <w:color w:val="381A89"/>
                <w:sz w:val="15"/>
              </w:rPr>
              <w:t>action</w:t>
            </w:r>
            <w:r>
              <w:rPr>
                <w:rFonts w:ascii="Arial" w:hAnsi="Arial"/>
                <w:sz w:val="17"/>
              </w:rPr>
              <w:t xml:space="preserve">, </w:t>
            </w:r>
            <w:r>
              <w:rPr>
                <w:rFonts w:ascii="Consolas" w:hAnsi="Consolas"/>
                <w:color w:val="381A89"/>
                <w:sz w:val="15"/>
              </w:rPr>
              <w:t>resource_type</w:t>
            </w:r>
            <w:r>
              <w:rPr>
                <w:rFonts w:ascii="Arial" w:hAnsi="Arial"/>
                <w:sz w:val="17"/>
              </w:rPr>
              <w:t xml:space="preserve">, </w:t>
            </w:r>
            <w:r>
              <w:rPr>
                <w:rFonts w:ascii="Consolas" w:hAnsi="Consolas"/>
                <w:color w:val="381A89"/>
                <w:sz w:val="15"/>
              </w:rPr>
              <w:t>resource_id</w:t>
            </w:r>
            <w:r>
              <w:rPr>
                <w:rFonts w:ascii="Arial" w:hAnsi="Arial"/>
                <w:sz w:val="17"/>
              </w:rPr>
              <w:t xml:space="preserve">, </w:t>
            </w:r>
            <w:r>
              <w:rPr>
                <w:rFonts w:ascii="Consolas" w:hAnsi="Consolas"/>
                <w:color w:val="381A89"/>
                <w:sz w:val="15"/>
              </w:rPr>
              <w:t>summary</w:t>
            </w:r>
            <w:r>
              <w:rPr>
                <w:rFonts w:ascii="Arial" w:hAnsi="Arial"/>
                <w:sz w:val="17"/>
              </w:rPr>
              <w:t xml:space="preserve">, </w:t>
            </w:r>
            <w:r>
              <w:rPr>
                <w:rFonts w:ascii="Consolas" w:hAnsi="Consolas"/>
                <w:color w:val="381A89"/>
                <w:sz w:val="15"/>
              </w:rPr>
              <w:t>ip_address</w:t>
            </w:r>
            <w:r>
              <w:rPr>
                <w:rFonts w:ascii="Arial" w:hAnsi="Arial"/>
                <w:sz w:val="17"/>
              </w:rPr>
              <w:t xml:space="preserve">, </w:t>
            </w:r>
            <w:r>
              <w:rPr>
                <w:rFonts w:ascii="Consolas" w:hAnsi="Consolas"/>
                <w:color w:val="381A89"/>
                <w:sz w:val="15"/>
              </w:rPr>
              <w:t>user_agent</w:t>
            </w:r>
            <w:r>
              <w:rPr>
                <w:rFonts w:ascii="Arial" w:hAnsi="Arial"/>
                <w:sz w:val="17"/>
              </w:rPr>
              <w:t xml:space="preserve">, </w:t>
            </w:r>
            <w:r>
              <w:rPr>
                <w:rFonts w:ascii="Consolas" w:hAnsi="Consolas"/>
                <w:color w:val="381A89"/>
                <w:sz w:val="15"/>
              </w:rPr>
              <w:t>request_id</w:t>
            </w:r>
            <w:r>
              <w:rPr>
                <w:rFonts w:ascii="Arial" w:hAnsi="Arial"/>
                <w:sz w:val="17"/>
              </w:rPr>
              <w:t xml:space="preserve">, </w:t>
            </w:r>
            <w:r>
              <w:rPr>
                <w:rFonts w:ascii="Consolas" w:hAnsi="Consolas"/>
                <w:color w:val="381A89"/>
                <w:sz w:val="15"/>
              </w:rPr>
              <w:t>before_state</w:t>
            </w:r>
            <w:r>
              <w:rPr>
                <w:rFonts w:ascii="Arial" w:hAnsi="Arial"/>
                <w:sz w:val="17"/>
              </w:rPr>
              <w:t xml:space="preserve">, </w:t>
            </w:r>
            <w:r>
              <w:rPr>
                <w:rFonts w:ascii="Consolas" w:hAnsi="Consolas"/>
                <w:color w:val="381A89"/>
                <w:sz w:val="15"/>
              </w:rPr>
              <w:t>after_state</w:t>
            </w:r>
            <w:r>
              <w:rPr>
                <w:rFonts w:ascii="Arial" w:hAnsi="Arial"/>
                <w:sz w:val="17"/>
              </w:rPr>
              <w:t xml:space="preserve">, </w:t>
            </w:r>
            <w:r>
              <w:rPr>
                <w:rFonts w:ascii="Arial" w:hAnsi="Arial"/>
                <w:b/>
                <w:sz w:val="17"/>
              </w:rPr>
              <w:t>`prev_hash`</w:t>
            </w:r>
            <w:r>
              <w:rPr>
                <w:rFonts w:ascii="Arial" w:hAnsi="Arial"/>
                <w:sz w:val="17"/>
              </w:rPr>
              <w:t xml:space="preserve">, </w:t>
            </w:r>
            <w:r>
              <w:rPr>
                <w:rFonts w:ascii="Arial" w:hAnsi="Arial"/>
                <w:b/>
                <w:sz w:val="17"/>
              </w:rPr>
              <w:t>`entry_hash`</w:t>
            </w:r>
            <w:r>
              <w:rPr>
                <w:rFonts w:ascii="Arial" w:hAnsi="Arial"/>
                <w:sz w:val="17"/>
              </w:rPr>
              <w:t>.</w:t>
            </w:r>
          </w:p>
        </w:tc>
      </w:tr>
      <w:tr>
        <w:trPr>
          <w:cantSplit/>
        </w:trPr>
        <w:tc>
          <w:tcPr>
            <w:tcW w:type="dxa" w:w="2268"/>
          </w:tcPr>
          <w:p>
            <w:pPr>
              <w:spacing w:after="20" w:before="20" w:line="264" w:lineRule="auto"/>
            </w:pPr>
            <w:r>
              <w:rPr>
                <w:rFonts w:ascii="Consolas" w:hAnsi="Consolas"/>
                <w:color w:val="381A89"/>
                <w:sz w:val="15"/>
              </w:rPr>
              <w:t>detection_rules</w:t>
            </w:r>
          </w:p>
        </w:tc>
        <w:tc>
          <w:tcPr>
            <w:tcW w:type="dxa" w:w="6690"/>
          </w:tcPr>
          <w:p>
            <w:pPr>
              <w:spacing w:after="20" w:before="20" w:line="264" w:lineRule="auto"/>
            </w:pPr>
            <w:r>
              <w:rPr>
                <w:rFonts w:ascii="Consolas" w:hAnsi="Consolas"/>
                <w:color w:val="381A89"/>
                <w:sz w:val="15"/>
              </w:rPr>
              <w:t>code</w:t>
            </w:r>
            <w:r>
              <w:rPr>
                <w:rFonts w:ascii="Arial" w:hAnsi="Arial"/>
                <w:sz w:val="17"/>
              </w:rPr>
              <w:t xml:space="preserve"> unique, </w:t>
            </w:r>
            <w:r>
              <w:rPr>
                <w:rFonts w:ascii="Consolas" w:hAnsi="Consolas"/>
                <w:color w:val="381A89"/>
                <w:sz w:val="15"/>
              </w:rPr>
              <w:t>category</w:t>
            </w:r>
            <w:r>
              <w:rPr>
                <w:rFonts w:ascii="Arial" w:hAnsi="Arial"/>
                <w:sz w:val="17"/>
              </w:rPr>
              <w:t xml:space="preserve">, </w:t>
            </w:r>
            <w:r>
              <w:rPr>
                <w:rFonts w:ascii="Consolas" w:hAnsi="Consolas"/>
                <w:color w:val="381A89"/>
                <w:sz w:val="15"/>
              </w:rPr>
              <w:t>default_severity</w:t>
            </w:r>
            <w:r>
              <w:rPr>
                <w:rFonts w:ascii="Arial" w:hAnsi="Arial"/>
                <w:sz w:val="17"/>
              </w:rPr>
              <w:t xml:space="preserve">, </w:t>
            </w:r>
            <w:r>
              <w:rPr>
                <w:rFonts w:ascii="Arial" w:hAnsi="Arial"/>
                <w:b/>
                <w:sz w:val="17"/>
              </w:rPr>
              <w:t>`weight`</w:t>
            </w:r>
            <w:r>
              <w:rPr>
                <w:rFonts w:ascii="Arial" w:hAnsi="Arial"/>
                <w:sz w:val="17"/>
              </w:rPr>
              <w:t xml:space="preserve">, </w:t>
            </w:r>
            <w:r>
              <w:rPr>
                <w:rFonts w:ascii="Consolas" w:hAnsi="Consolas"/>
                <w:color w:val="381A89"/>
                <w:sz w:val="15"/>
              </w:rPr>
              <w:t>enabled</w:t>
            </w:r>
            <w:r>
              <w:rPr>
                <w:rFonts w:ascii="Arial" w:hAnsi="Arial"/>
                <w:sz w:val="17"/>
              </w:rPr>
              <w:t xml:space="preserve">, </w:t>
            </w:r>
            <w:r>
              <w:rPr>
                <w:rFonts w:ascii="Consolas" w:hAnsi="Consolas"/>
                <w:color w:val="381A89"/>
                <w:sz w:val="15"/>
              </w:rPr>
              <w:t>applies_to</w:t>
            </w:r>
            <w:r>
              <w:rPr>
                <w:rFonts w:ascii="Arial" w:hAnsi="Arial"/>
                <w:sz w:val="17"/>
              </w:rPr>
              <w:t xml:space="preserve">, </w:t>
            </w:r>
            <w:r>
              <w:rPr>
                <w:rFonts w:ascii="Consolas" w:hAnsi="Consolas"/>
                <w:color w:val="381A89"/>
                <w:sz w:val="15"/>
              </w:rPr>
              <w:t>params</w:t>
            </w:r>
            <w:r>
              <w:rPr>
                <w:rFonts w:ascii="Arial" w:hAnsi="Arial"/>
                <w:sz w:val="17"/>
              </w:rPr>
              <w:t xml:space="preserve">, </w:t>
            </w:r>
            <w:r>
              <w:rPr>
                <w:rFonts w:ascii="Consolas" w:hAnsi="Consolas"/>
                <w:color w:val="381A89"/>
                <w:sz w:val="15"/>
              </w:rPr>
              <w:t>version</w:t>
            </w:r>
            <w:r>
              <w:rPr>
                <w:rFonts w:ascii="Arial" w:hAnsi="Arial"/>
                <w:sz w:val="17"/>
              </w:rPr>
              <w:t xml:space="preserve">, </w:t>
            </w:r>
            <w:r>
              <w:rPr>
                <w:rFonts w:ascii="Consolas" w:hAnsi="Consolas"/>
                <w:color w:val="381A89"/>
                <w:sz w:val="15"/>
              </w:rPr>
              <w:t>is_system</w:t>
            </w:r>
            <w:r>
              <w:rPr>
                <w:rFonts w:ascii="Arial" w:hAnsi="Arial"/>
                <w:sz w:val="17"/>
              </w:rPr>
              <w:t xml:space="preserve">, </w:t>
            </w:r>
            <w:r>
              <w:rPr>
                <w:rFonts w:ascii="Consolas" w:hAnsi="Consolas"/>
                <w:color w:val="381A89"/>
                <w:sz w:val="15"/>
              </w:rPr>
              <w:t>updated_by_id</w:t>
            </w:r>
            <w:r>
              <w:rPr>
                <w:rFonts w:ascii="Arial" w:hAnsi="Arial"/>
                <w:sz w:val="17"/>
              </w:rPr>
              <w:t xml:space="preserve"> — read at run time by the consistency and risk engines.</w:t>
            </w:r>
          </w:p>
        </w:tc>
      </w:tr>
      <w:tr>
        <w:trPr>
          <w:cantSplit/>
        </w:trPr>
        <w:tc>
          <w:tcPr>
            <w:tcW w:type="dxa" w:w="2268"/>
            <w:shd w:val="clear" w:color="auto" w:fill="F4F2FA"/>
          </w:tcPr>
          <w:p>
            <w:pPr>
              <w:spacing w:after="20" w:before="20" w:line="264" w:lineRule="auto"/>
            </w:pPr>
            <w:r>
              <w:rPr>
                <w:rFonts w:ascii="Consolas" w:hAnsi="Consolas"/>
                <w:color w:val="381A89"/>
                <w:sz w:val="15"/>
              </w:rPr>
              <w:t>provider_configs</w:t>
            </w:r>
          </w:p>
        </w:tc>
        <w:tc>
          <w:tcPr>
            <w:tcW w:type="dxa" w:w="6690"/>
            <w:shd w:val="clear" w:color="auto" w:fill="F4F2FA"/>
          </w:tcPr>
          <w:p>
            <w:pPr>
              <w:spacing w:after="20" w:before="20" w:line="264" w:lineRule="auto"/>
            </w:pPr>
            <w:r>
              <w:rPr>
                <w:rFonts w:ascii="Arial" w:hAnsi="Arial"/>
                <w:sz w:val="17"/>
              </w:rPr>
              <w:t xml:space="preserve">Unique per kind and key. </w:t>
            </w:r>
            <w:r>
              <w:rPr>
                <w:rFonts w:ascii="Consolas" w:hAnsi="Consolas"/>
                <w:color w:val="381A89"/>
                <w:sz w:val="15"/>
              </w:rPr>
              <w:t>is_active</w:t>
            </w:r>
            <w:r>
              <w:rPr>
                <w:rFonts w:ascii="Arial" w:hAnsi="Arial"/>
                <w:sz w:val="17"/>
              </w:rPr>
              <w:t xml:space="preserve">, </w:t>
            </w:r>
            <w:r>
              <w:rPr>
                <w:rFonts w:ascii="Arial" w:hAnsi="Arial"/>
                <w:b/>
                <w:sz w:val="17"/>
              </w:rPr>
              <w:t>`is_demo`</w:t>
            </w:r>
            <w:r>
              <w:rPr>
                <w:rFonts w:ascii="Arial" w:hAnsi="Arial"/>
                <w:sz w:val="17"/>
              </w:rPr>
              <w:t xml:space="preserve">, </w:t>
            </w:r>
            <w:r>
              <w:rPr>
                <w:rFonts w:ascii="Arial" w:hAnsi="Arial"/>
                <w:b/>
                <w:sz w:val="17"/>
              </w:rPr>
              <w:t>`credential_env_keys`</w:t>
            </w:r>
            <w:r>
              <w:rPr>
                <w:rFonts w:ascii="Arial" w:hAnsi="Arial"/>
                <w:sz w:val="17"/>
              </w:rPr>
              <w:t xml:space="preserve"> (variable </w:t>
            </w:r>
            <w:r>
              <w:rPr>
                <w:rFonts w:ascii="Arial" w:hAnsi="Arial"/>
                <w:i/>
                <w:sz w:val="17"/>
              </w:rPr>
              <w:t>names</w:t>
            </w:r>
            <w:r>
              <w:rPr>
                <w:rFonts w:ascii="Arial" w:hAnsi="Arial"/>
                <w:sz w:val="17"/>
              </w:rPr>
              <w:t xml:space="preserve"> only — never secrets), </w:t>
            </w:r>
            <w:r>
              <w:rPr>
                <w:rFonts w:ascii="Consolas" w:hAnsi="Consolas"/>
                <w:color w:val="381A89"/>
                <w:sz w:val="15"/>
              </w:rPr>
              <w:t>settings_json</w:t>
            </w:r>
            <w:r>
              <w:rPr>
                <w:rFonts w:ascii="Arial" w:hAnsi="Arial"/>
                <w:sz w:val="17"/>
              </w:rPr>
              <w:t xml:space="preserve">, </w:t>
            </w:r>
            <w:r>
              <w:rPr>
                <w:rFonts w:ascii="Consolas" w:hAnsi="Consolas"/>
                <w:color w:val="381A89"/>
                <w:sz w:val="15"/>
              </w:rPr>
              <w:t>model_name</w:t>
            </w:r>
            <w:r>
              <w:rPr>
                <w:rFonts w:ascii="Arial" w:hAnsi="Arial"/>
                <w:sz w:val="17"/>
              </w:rPr>
              <w:t xml:space="preserve">, </w:t>
            </w:r>
            <w:r>
              <w:rPr>
                <w:rFonts w:ascii="Consolas" w:hAnsi="Consolas"/>
                <w:color w:val="381A89"/>
                <w:sz w:val="15"/>
              </w:rPr>
              <w:t>model_version</w:t>
            </w:r>
            <w:r>
              <w:rPr>
                <w:rFonts w:ascii="Arial" w:hAnsi="Arial"/>
                <w:sz w:val="17"/>
              </w:rPr>
              <w:t xml:space="preserve">, </w:t>
            </w:r>
            <w:r>
              <w:rPr>
                <w:rFonts w:ascii="Consolas" w:hAnsi="Consolas"/>
                <w:color w:val="381A89"/>
                <w:sz w:val="15"/>
              </w:rPr>
              <w:t>health_status</w:t>
            </w:r>
            <w:r>
              <w:rPr>
                <w:rFonts w:ascii="Arial" w:hAnsi="Arial"/>
                <w:sz w:val="17"/>
              </w:rPr>
              <w:t>.</w:t>
            </w:r>
          </w:p>
        </w:tc>
      </w:tr>
      <w:tr>
        <w:trPr>
          <w:cantSplit/>
        </w:trPr>
        <w:tc>
          <w:tcPr>
            <w:tcW w:type="dxa" w:w="2268"/>
          </w:tcPr>
          <w:p>
            <w:pPr>
              <w:spacing w:after="20" w:before="20" w:line="264" w:lineRule="auto"/>
            </w:pPr>
            <w:r>
              <w:rPr>
                <w:rFonts w:ascii="Consolas" w:hAnsi="Consolas"/>
                <w:color w:val="381A89"/>
                <w:sz w:val="15"/>
              </w:rPr>
              <w:t>system_settings</w:t>
            </w:r>
          </w:p>
        </w:tc>
        <w:tc>
          <w:tcPr>
            <w:tcW w:type="dxa" w:w="6690"/>
          </w:tcPr>
          <w:p>
            <w:pPr>
              <w:spacing w:after="20" w:before="20" w:line="264" w:lineRule="auto"/>
            </w:pPr>
            <w:r>
              <w:rPr>
                <w:rFonts w:ascii="Consolas" w:hAnsi="Consolas"/>
                <w:color w:val="381A89"/>
                <w:sz w:val="15"/>
              </w:rPr>
              <w:t>key</w:t>
            </w:r>
            <w:r>
              <w:rPr>
                <w:rFonts w:ascii="Arial" w:hAnsi="Arial"/>
                <w:sz w:val="17"/>
              </w:rPr>
              <w:t xml:space="preserve"> unique, </w:t>
            </w:r>
            <w:r>
              <w:rPr>
                <w:rFonts w:ascii="Consolas" w:hAnsi="Consolas"/>
                <w:color w:val="381A89"/>
                <w:sz w:val="15"/>
              </w:rPr>
              <w:t>label</w:t>
            </w:r>
            <w:r>
              <w:rPr>
                <w:rFonts w:ascii="Arial" w:hAnsi="Arial"/>
                <w:sz w:val="17"/>
              </w:rPr>
              <w:t xml:space="preserve">, </w:t>
            </w:r>
            <w:r>
              <w:rPr>
                <w:rFonts w:ascii="Consolas" w:hAnsi="Consolas"/>
                <w:color w:val="381A89"/>
                <w:sz w:val="15"/>
              </w:rPr>
              <w:t>value</w:t>
            </w:r>
            <w:r>
              <w:rPr>
                <w:rFonts w:ascii="Arial" w:hAnsi="Arial"/>
                <w:sz w:val="17"/>
              </w:rPr>
              <w:t xml:space="preserve"> (JSONB), </w:t>
            </w:r>
            <w:r>
              <w:rPr>
                <w:rFonts w:ascii="Consolas" w:hAnsi="Consolas"/>
                <w:color w:val="381A89"/>
                <w:sz w:val="15"/>
              </w:rPr>
              <w:t>description</w:t>
            </w:r>
            <w:r>
              <w:rPr>
                <w:rFonts w:ascii="Arial" w:hAnsi="Arial"/>
                <w:sz w:val="17"/>
              </w:rPr>
              <w:t xml:space="preserve">. Seeded keys: </w:t>
            </w:r>
            <w:r>
              <w:rPr>
                <w:rFonts w:ascii="Consolas" w:hAnsi="Consolas"/>
                <w:color w:val="381A89"/>
                <w:sz w:val="15"/>
              </w:rPr>
              <w:t>risk_thresholds</w:t>
            </w:r>
            <w:r>
              <w:rPr>
                <w:rFonts w:ascii="Arial" w:hAnsi="Arial"/>
                <w:sz w:val="17"/>
              </w:rPr>
              <w:t xml:space="preserve">, </w:t>
            </w:r>
            <w:r>
              <w:rPr>
                <w:rFonts w:ascii="Consolas" w:hAnsi="Consolas"/>
                <w:color w:val="381A89"/>
                <w:sz w:val="15"/>
              </w:rPr>
              <w:t>retention</w:t>
            </w:r>
            <w:r>
              <w:rPr>
                <w:rFonts w:ascii="Arial" w:hAnsi="Arial"/>
                <w:sz w:val="17"/>
              </w:rPr>
              <w:t xml:space="preserve">, </w:t>
            </w:r>
            <w:r>
              <w:rPr>
                <w:rFonts w:ascii="Consolas" w:hAnsi="Consolas"/>
                <w:color w:val="381A89"/>
                <w:sz w:val="15"/>
              </w:rPr>
              <w:t>review_policy</w:t>
            </w:r>
            <w:r>
              <w:rPr>
                <w:rFonts w:ascii="Arial" w:hAnsi="Arial"/>
                <w:sz w:val="17"/>
              </w:rPr>
              <w:t xml:space="preserve">, </w:t>
            </w:r>
            <w:r>
              <w:rPr>
                <w:rFonts w:ascii="Consolas" w:hAnsi="Consolas"/>
                <w:color w:val="381A89"/>
                <w:sz w:val="15"/>
              </w:rPr>
              <w:t>analysis_policy</w:t>
            </w:r>
            <w:r>
              <w:rPr>
                <w:rFonts w:ascii="Arial" w:hAnsi="Arial"/>
                <w:sz w:val="17"/>
              </w:rPr>
              <w:t xml:space="preserve">, </w:t>
            </w:r>
            <w:r>
              <w:rPr>
                <w:rFonts w:ascii="Consolas" w:hAnsi="Consolas"/>
                <w:color w:val="381A89"/>
                <w:sz w:val="15"/>
              </w:rPr>
              <w:t>privacy_policy</w:t>
            </w:r>
            <w:r>
              <w:rPr>
                <w:rFonts w:ascii="Arial" w:hAnsi="Arial"/>
                <w:sz w:val="17"/>
              </w:rPr>
              <w:t>.</w:t>
            </w:r>
          </w:p>
        </w:tc>
      </w:tr>
    </w:tbl>
    <w:p>
      <w:pPr>
        <w:spacing w:after="40"/>
      </w:pPr>
    </w:p>
    <w:p>
      <w:r>
        <w:br w:type="page"/>
      </w:r>
    </w:p>
    <w:p>
      <w:pPr>
        <w:pStyle w:val="Heading1"/>
      </w:pPr>
      <w:r>
        <w:t>Appendix F  Configuration Reference</w:t>
      </w:r>
    </w:p>
    <w:p>
      <w:pPr>
        <w:spacing w:after="160"/>
        <w:jc w:val="both"/>
      </w:pPr>
      <w:r>
        <w:t>All configuration is environment-driven and validated at start-up. The settings that change behaviour most are listed below with their shipped defaults; the active recognition, synthetic-media and verification providers can additionally be switched at run time from the console, in which case the database setting overrides the environment default.</w:t>
      </w:r>
    </w:p>
    <w:p>
      <w:pPr>
        <w:keepNext/>
        <w:spacing w:after="60" w:before="120"/>
      </w:pPr>
      <w:r>
        <w:rPr>
          <w:rFonts w:ascii="Arial" w:hAnsi="Arial"/>
          <w:b/>
          <w:color w:val="381A89"/>
          <w:sz w:val="18"/>
        </w:rPr>
        <w:t xml:space="preserve">Table 38. </w:t>
      </w:r>
      <w:r>
        <w:rPr>
          <w:rFonts w:ascii="Arial" w:hAnsi="Arial"/>
          <w:color w:val="55516B"/>
          <w:sz w:val="18"/>
        </w:rPr>
        <w:t>Principal configuration variables.</w:t>
      </w:r>
    </w:p>
    <w:tbl>
      <w:tblPr>
        <w:tblStyle w:val="TableGrid"/>
        <w:tblW w:type="auto" w:w="0"/>
        <w:jc w:val="center"/>
        <w:tblLayout w:type="fixed"/>
        <w:tblLook w:firstColumn="1" w:firstRow="1" w:lastColumn="0" w:lastRow="0" w:noHBand="0" w:noVBand="1" w:val="04A0"/>
      </w:tblPr>
      <w:tblGrid>
        <w:gridCol w:w="3062"/>
        <w:gridCol w:w="3062"/>
        <w:gridCol w:w="3062"/>
      </w:tblGrid>
      <w:tr>
        <w:trPr>
          <w:cantSplit/>
          <w:tblHeader w:val="true"/>
        </w:trPr>
        <w:tc>
          <w:tcPr>
            <w:tcW w:type="dxa" w:w="2835"/>
            <w:shd w:val="clear" w:color="auto" w:fill="2E1C6B"/>
          </w:tcPr>
          <w:p>
            <w:pPr>
              <w:spacing w:after="20" w:before="20" w:line="252" w:lineRule="auto"/>
            </w:pPr>
            <w:r>
              <w:rPr>
                <w:rFonts w:ascii="Arial" w:hAnsi="Arial"/>
                <w:b/>
                <w:color w:val="FFFFFF"/>
                <w:sz w:val="16"/>
              </w:rPr>
              <w:t>Variable</w:t>
            </w:r>
          </w:p>
        </w:tc>
        <w:tc>
          <w:tcPr>
            <w:tcW w:type="dxa" w:w="1814"/>
            <w:shd w:val="clear" w:color="auto" w:fill="2E1C6B"/>
          </w:tcPr>
          <w:p>
            <w:pPr>
              <w:spacing w:after="20" w:before="20" w:line="252" w:lineRule="auto"/>
            </w:pPr>
            <w:r>
              <w:rPr>
                <w:rFonts w:ascii="Arial" w:hAnsi="Arial"/>
                <w:b/>
                <w:color w:val="FFFFFF"/>
                <w:sz w:val="16"/>
              </w:rPr>
              <w:t>Default</w:t>
            </w:r>
          </w:p>
        </w:tc>
        <w:tc>
          <w:tcPr>
            <w:tcW w:type="dxa" w:w="4309"/>
            <w:shd w:val="clear" w:color="auto" w:fill="2E1C6B"/>
          </w:tcPr>
          <w:p>
            <w:pPr>
              <w:spacing w:after="20" w:before="20" w:line="252" w:lineRule="auto"/>
            </w:pPr>
            <w:r>
              <w:rPr>
                <w:rFonts w:ascii="Arial" w:hAnsi="Arial"/>
                <w:b/>
                <w:color w:val="FFFFFF"/>
                <w:sz w:val="16"/>
              </w:rPr>
              <w:t>Effect</w:t>
            </w:r>
          </w:p>
        </w:tc>
      </w:tr>
      <w:tr>
        <w:trPr>
          <w:cantSplit/>
        </w:trPr>
        <w:tc>
          <w:tcPr>
            <w:tcW w:type="dxa" w:w="2835"/>
          </w:tcPr>
          <w:p>
            <w:pPr>
              <w:spacing w:after="20" w:before="20" w:line="264" w:lineRule="auto"/>
            </w:pPr>
            <w:r>
              <w:rPr>
                <w:rFonts w:ascii="Consolas" w:hAnsi="Consolas"/>
                <w:color w:val="381A89"/>
                <w:sz w:val="16"/>
              </w:rPr>
              <w:t>APP_ENV</w:t>
            </w:r>
          </w:p>
        </w:tc>
        <w:tc>
          <w:tcPr>
            <w:tcW w:type="dxa" w:w="1814"/>
          </w:tcPr>
          <w:p>
            <w:pPr>
              <w:spacing w:after="20" w:before="20" w:line="264" w:lineRule="auto"/>
            </w:pPr>
            <w:r>
              <w:rPr>
                <w:rFonts w:ascii="Consolas" w:hAnsi="Consolas"/>
                <w:color w:val="381A89"/>
                <w:sz w:val="16"/>
              </w:rPr>
              <w:t>development</w:t>
            </w:r>
          </w:p>
        </w:tc>
        <w:tc>
          <w:tcPr>
            <w:tcW w:type="dxa" w:w="4309"/>
          </w:tcPr>
          <w:p>
            <w:pPr>
              <w:spacing w:after="20" w:before="20" w:line="264" w:lineRule="auto"/>
            </w:pPr>
            <w:r>
              <w:rPr>
                <w:rFonts w:ascii="Arial" w:hAnsi="Arial"/>
                <w:sz w:val="17"/>
              </w:rPr>
              <w:t>One of development, staging, production, test; production enables HSTS.</w:t>
            </w:r>
          </w:p>
        </w:tc>
      </w:tr>
      <w:tr>
        <w:trPr>
          <w:cantSplit/>
        </w:trPr>
        <w:tc>
          <w:tcPr>
            <w:tcW w:type="dxa" w:w="2835"/>
            <w:shd w:val="clear" w:color="auto" w:fill="F4F2FA"/>
          </w:tcPr>
          <w:p>
            <w:pPr>
              <w:spacing w:after="20" w:before="20" w:line="264" w:lineRule="auto"/>
            </w:pPr>
            <w:r>
              <w:rPr>
                <w:rFonts w:ascii="Consolas" w:hAnsi="Consolas"/>
                <w:color w:val="381A89"/>
                <w:sz w:val="16"/>
              </w:rPr>
              <w:t>DATABASE_URL</w:t>
            </w:r>
          </w:p>
        </w:tc>
        <w:tc>
          <w:tcPr>
            <w:tcW w:type="dxa" w:w="1814"/>
            <w:shd w:val="clear" w:color="auto" w:fill="F4F2FA"/>
          </w:tcPr>
          <w:p>
            <w:pPr>
              <w:spacing w:after="20" w:before="20" w:line="264" w:lineRule="auto"/>
            </w:pPr>
            <w:r>
              <w:rPr>
                <w:rFonts w:ascii="Arial" w:hAnsi="Arial"/>
                <w:sz w:val="17"/>
              </w:rPr>
              <w:t>local PostgreSQL</w:t>
            </w:r>
          </w:p>
        </w:tc>
        <w:tc>
          <w:tcPr>
            <w:tcW w:type="dxa" w:w="4309"/>
            <w:shd w:val="clear" w:color="auto" w:fill="F4F2FA"/>
          </w:tcPr>
          <w:p>
            <w:pPr>
              <w:spacing w:after="20" w:before="20" w:line="264" w:lineRule="auto"/>
            </w:pPr>
            <w:r>
              <w:rPr>
                <w:rFonts w:ascii="Arial" w:hAnsi="Arial"/>
                <w:sz w:val="17"/>
              </w:rPr>
              <w:t>Connection string; pool size and overflow are separately configurable.</w:t>
            </w:r>
          </w:p>
        </w:tc>
      </w:tr>
      <w:tr>
        <w:trPr>
          <w:cantSplit/>
        </w:trPr>
        <w:tc>
          <w:tcPr>
            <w:tcW w:type="dxa" w:w="2835"/>
          </w:tcPr>
          <w:p>
            <w:pPr>
              <w:spacing w:after="20" w:before="20" w:line="264" w:lineRule="auto"/>
            </w:pPr>
            <w:r>
              <w:rPr>
                <w:rFonts w:ascii="Consolas" w:hAnsi="Consolas"/>
                <w:color w:val="381A89"/>
                <w:sz w:val="16"/>
              </w:rPr>
              <w:t>JWT_SECRET</w:t>
            </w:r>
          </w:p>
        </w:tc>
        <w:tc>
          <w:tcPr>
            <w:tcW w:type="dxa" w:w="1814"/>
          </w:tcPr>
          <w:p>
            <w:pPr>
              <w:spacing w:after="20" w:before="20" w:line="264" w:lineRule="auto"/>
            </w:pPr>
            <w:r>
              <w:rPr>
                <w:rFonts w:ascii="Arial" w:hAnsi="Arial"/>
                <w:i/>
                <w:sz w:val="17"/>
              </w:rPr>
              <w:t>must be set</w:t>
            </w:r>
          </w:p>
        </w:tc>
        <w:tc>
          <w:tcPr>
            <w:tcW w:type="dxa" w:w="4309"/>
          </w:tcPr>
          <w:p>
            <w:pPr>
              <w:spacing w:after="20" w:before="20" w:line="264" w:lineRule="auto"/>
            </w:pPr>
            <w:r>
              <w:rPr>
                <w:rFonts w:ascii="Arial" w:hAnsi="Arial"/>
                <w:sz w:val="17"/>
              </w:rPr>
              <w:t>Signing key. The production compose file fails the deploy loudly if it is absent.</w:t>
            </w:r>
          </w:p>
        </w:tc>
      </w:tr>
      <w:tr>
        <w:trPr>
          <w:cantSplit/>
        </w:trPr>
        <w:tc>
          <w:tcPr>
            <w:tcW w:type="dxa" w:w="2835"/>
            <w:shd w:val="clear" w:color="auto" w:fill="F4F2FA"/>
          </w:tcPr>
          <w:p>
            <w:pPr>
              <w:spacing w:after="20" w:before="20" w:line="264" w:lineRule="auto"/>
            </w:pPr>
            <w:r>
              <w:rPr>
                <w:rFonts w:ascii="Consolas" w:hAnsi="Consolas"/>
                <w:color w:val="381A89"/>
                <w:sz w:val="16"/>
              </w:rPr>
              <w:t>ACCESS_TOKEN_TTL_MINUTES</w:t>
            </w:r>
          </w:p>
        </w:tc>
        <w:tc>
          <w:tcPr>
            <w:tcW w:type="dxa" w:w="1814"/>
            <w:shd w:val="clear" w:color="auto" w:fill="F4F2FA"/>
          </w:tcPr>
          <w:p>
            <w:pPr>
              <w:spacing w:after="20" w:before="20" w:line="264" w:lineRule="auto"/>
            </w:pPr>
            <w:r>
              <w:rPr>
                <w:rFonts w:ascii="Consolas" w:hAnsi="Consolas"/>
                <w:color w:val="381A89"/>
                <w:sz w:val="16"/>
              </w:rPr>
              <w:t>45</w:t>
            </w:r>
          </w:p>
        </w:tc>
        <w:tc>
          <w:tcPr>
            <w:tcW w:type="dxa" w:w="4309"/>
            <w:shd w:val="clear" w:color="auto" w:fill="F4F2FA"/>
          </w:tcPr>
          <w:p>
            <w:pPr>
              <w:spacing w:after="20" w:before="20" w:line="264" w:lineRule="auto"/>
            </w:pPr>
            <w:r>
              <w:rPr>
                <w:rFonts w:ascii="Arial" w:hAnsi="Arial"/>
                <w:sz w:val="17"/>
              </w:rPr>
              <w:t>Access-token lifetime; refresh is 7 days.</w:t>
            </w:r>
          </w:p>
        </w:tc>
      </w:tr>
      <w:tr>
        <w:trPr>
          <w:cantSplit/>
        </w:trPr>
        <w:tc>
          <w:tcPr>
            <w:tcW w:type="dxa" w:w="2835"/>
          </w:tcPr>
          <w:p>
            <w:pPr>
              <w:spacing w:after="20" w:before="20" w:line="264" w:lineRule="auto"/>
            </w:pPr>
            <w:r>
              <w:rPr>
                <w:rFonts w:ascii="Consolas" w:hAnsi="Consolas"/>
                <w:color w:val="381A89"/>
                <w:sz w:val="16"/>
              </w:rPr>
              <w:t>PASSWORD_HASH_SCHEME</w:t>
            </w:r>
          </w:p>
        </w:tc>
        <w:tc>
          <w:tcPr>
            <w:tcW w:type="dxa" w:w="1814"/>
          </w:tcPr>
          <w:p>
            <w:pPr>
              <w:spacing w:after="20" w:before="20" w:line="264" w:lineRule="auto"/>
            </w:pPr>
            <w:r>
              <w:rPr>
                <w:rFonts w:ascii="Consolas" w:hAnsi="Consolas"/>
                <w:color w:val="381A89"/>
                <w:sz w:val="16"/>
              </w:rPr>
              <w:t>argon2</w:t>
            </w:r>
          </w:p>
        </w:tc>
        <w:tc>
          <w:tcPr>
            <w:tcW w:type="dxa" w:w="4309"/>
          </w:tcPr>
          <w:p>
            <w:pPr>
              <w:spacing w:after="20" w:before="20" w:line="264" w:lineRule="auto"/>
            </w:pPr>
            <w:r>
              <w:rPr>
                <w:rFonts w:ascii="Arial" w:hAnsi="Arial"/>
                <w:sz w:val="17"/>
              </w:rPr>
              <w:t>Argon2id, with bcrypt accepted for legacy verification.</w:t>
            </w:r>
          </w:p>
        </w:tc>
      </w:tr>
      <w:tr>
        <w:trPr>
          <w:cantSplit/>
        </w:trPr>
        <w:tc>
          <w:tcPr>
            <w:tcW w:type="dxa" w:w="2835"/>
            <w:shd w:val="clear" w:color="auto" w:fill="F4F2FA"/>
          </w:tcPr>
          <w:p>
            <w:pPr>
              <w:spacing w:after="20" w:before="20" w:line="264" w:lineRule="auto"/>
            </w:pPr>
            <w:r>
              <w:rPr>
                <w:rFonts w:ascii="Consolas" w:hAnsi="Consolas"/>
                <w:color w:val="381A89"/>
                <w:sz w:val="16"/>
              </w:rPr>
              <w:t>SIGNED_URL_TTL_SECONDS</w:t>
            </w:r>
          </w:p>
        </w:tc>
        <w:tc>
          <w:tcPr>
            <w:tcW w:type="dxa" w:w="1814"/>
            <w:shd w:val="clear" w:color="auto" w:fill="F4F2FA"/>
          </w:tcPr>
          <w:p>
            <w:pPr>
              <w:spacing w:after="20" w:before="20" w:line="264" w:lineRule="auto"/>
            </w:pPr>
            <w:r>
              <w:rPr>
                <w:rFonts w:ascii="Consolas" w:hAnsi="Consolas"/>
                <w:color w:val="381A89"/>
                <w:sz w:val="16"/>
              </w:rPr>
              <w:t>300</w:t>
            </w:r>
          </w:p>
        </w:tc>
        <w:tc>
          <w:tcPr>
            <w:tcW w:type="dxa" w:w="4309"/>
            <w:shd w:val="clear" w:color="auto" w:fill="F4F2FA"/>
          </w:tcPr>
          <w:p>
            <w:pPr>
              <w:spacing w:after="20" w:before="20" w:line="264" w:lineRule="auto"/>
            </w:pPr>
            <w:r>
              <w:rPr>
                <w:rFonts w:ascii="Arial" w:hAnsi="Arial"/>
                <w:sz w:val="17"/>
              </w:rPr>
              <w:t>Lifetime of an HMAC-signed document link.</w:t>
            </w:r>
          </w:p>
        </w:tc>
      </w:tr>
      <w:tr>
        <w:trPr>
          <w:cantSplit/>
        </w:trPr>
        <w:tc>
          <w:tcPr>
            <w:tcW w:type="dxa" w:w="2835"/>
          </w:tcPr>
          <w:p>
            <w:pPr>
              <w:spacing w:after="20" w:before="20" w:line="264" w:lineRule="auto"/>
            </w:pPr>
            <w:r>
              <w:rPr>
                <w:rFonts w:ascii="Consolas" w:hAnsi="Consolas"/>
                <w:color w:val="381A89"/>
                <w:sz w:val="16"/>
              </w:rPr>
              <w:t>RATE_LIMIT_LOGIN</w:t>
            </w:r>
          </w:p>
        </w:tc>
        <w:tc>
          <w:tcPr>
            <w:tcW w:type="dxa" w:w="1814"/>
          </w:tcPr>
          <w:p>
            <w:pPr>
              <w:spacing w:after="20" w:before="20" w:line="264" w:lineRule="auto"/>
            </w:pPr>
            <w:r>
              <w:rPr>
                <w:rFonts w:ascii="Consolas" w:hAnsi="Consolas"/>
                <w:color w:val="381A89"/>
                <w:sz w:val="16"/>
              </w:rPr>
              <w:t>10/minute</w:t>
            </w:r>
          </w:p>
        </w:tc>
        <w:tc>
          <w:tcPr>
            <w:tcW w:type="dxa" w:w="4309"/>
          </w:tcPr>
          <w:p>
            <w:pPr>
              <w:spacing w:after="20" w:before="20" w:line="264" w:lineRule="auto"/>
            </w:pPr>
            <w:r>
              <w:rPr>
                <w:rFonts w:ascii="Arial" w:hAnsi="Arial"/>
                <w:sz w:val="17"/>
              </w:rPr>
              <w:t>Per-IP sign-in limit; a per-account limit applies in addition.</w:t>
            </w:r>
          </w:p>
        </w:tc>
      </w:tr>
      <w:tr>
        <w:trPr>
          <w:cantSplit/>
        </w:trPr>
        <w:tc>
          <w:tcPr>
            <w:tcW w:type="dxa" w:w="2835"/>
            <w:shd w:val="clear" w:color="auto" w:fill="F4F2FA"/>
          </w:tcPr>
          <w:p>
            <w:pPr>
              <w:spacing w:after="20" w:before="20" w:line="264" w:lineRule="auto"/>
            </w:pPr>
            <w:r>
              <w:rPr>
                <w:rFonts w:ascii="Consolas" w:hAnsi="Consolas"/>
                <w:color w:val="381A89"/>
                <w:sz w:val="16"/>
              </w:rPr>
              <w:t>MAX_UPLOAD_MB</w:t>
            </w:r>
          </w:p>
        </w:tc>
        <w:tc>
          <w:tcPr>
            <w:tcW w:type="dxa" w:w="1814"/>
            <w:shd w:val="clear" w:color="auto" w:fill="F4F2FA"/>
          </w:tcPr>
          <w:p>
            <w:pPr>
              <w:spacing w:after="20" w:before="20" w:line="264" w:lineRule="auto"/>
            </w:pPr>
            <w:r>
              <w:rPr>
                <w:rFonts w:ascii="Consolas" w:hAnsi="Consolas"/>
                <w:color w:val="381A89"/>
                <w:sz w:val="16"/>
              </w:rPr>
              <w:t>25</w:t>
            </w:r>
          </w:p>
        </w:tc>
        <w:tc>
          <w:tcPr>
            <w:tcW w:type="dxa" w:w="4309"/>
            <w:shd w:val="clear" w:color="auto" w:fill="F4F2FA"/>
          </w:tcPr>
          <w:p>
            <w:pPr>
              <w:spacing w:after="20" w:before="20" w:line="264" w:lineRule="auto"/>
            </w:pPr>
            <w:r>
              <w:rPr>
                <w:rFonts w:ascii="Arial" w:hAnsi="Arial"/>
                <w:sz w:val="17"/>
              </w:rPr>
              <w:t>Hard ceiling enforced while streaming.</w:t>
            </w:r>
          </w:p>
        </w:tc>
      </w:tr>
      <w:tr>
        <w:trPr>
          <w:cantSplit/>
        </w:trPr>
        <w:tc>
          <w:tcPr>
            <w:tcW w:type="dxa" w:w="2835"/>
          </w:tcPr>
          <w:p>
            <w:pPr>
              <w:spacing w:after="20" w:before="20" w:line="264" w:lineRule="auto"/>
            </w:pPr>
            <w:r>
              <w:rPr>
                <w:rFonts w:ascii="Consolas" w:hAnsi="Consolas"/>
                <w:color w:val="381A89"/>
                <w:sz w:val="16"/>
              </w:rPr>
              <w:t>MAX_PAGE_COUNT</w:t>
            </w:r>
          </w:p>
        </w:tc>
        <w:tc>
          <w:tcPr>
            <w:tcW w:type="dxa" w:w="1814"/>
          </w:tcPr>
          <w:p>
            <w:pPr>
              <w:spacing w:after="20" w:before="20" w:line="264" w:lineRule="auto"/>
            </w:pPr>
            <w:r>
              <w:rPr>
                <w:rFonts w:ascii="Consolas" w:hAnsi="Consolas"/>
                <w:color w:val="381A89"/>
                <w:sz w:val="16"/>
              </w:rPr>
              <w:t>60</w:t>
            </w:r>
          </w:p>
        </w:tc>
        <w:tc>
          <w:tcPr>
            <w:tcW w:type="dxa" w:w="4309"/>
          </w:tcPr>
          <w:p>
            <w:pPr>
              <w:spacing w:after="20" w:before="20" w:line="264" w:lineRule="auto"/>
            </w:pPr>
            <w:r>
              <w:rPr>
                <w:rFonts w:ascii="Arial" w:hAnsi="Arial"/>
                <w:sz w:val="17"/>
              </w:rPr>
              <w:t>Rejected above this page count.</w:t>
            </w:r>
          </w:p>
        </w:tc>
      </w:tr>
      <w:tr>
        <w:trPr>
          <w:cantSplit/>
        </w:trPr>
        <w:tc>
          <w:tcPr>
            <w:tcW w:type="dxa" w:w="2835"/>
            <w:shd w:val="clear" w:color="auto" w:fill="F4F2FA"/>
          </w:tcPr>
          <w:p>
            <w:pPr>
              <w:spacing w:after="20" w:before="20" w:line="264" w:lineRule="auto"/>
            </w:pPr>
            <w:r>
              <w:rPr>
                <w:rFonts w:ascii="Consolas" w:hAnsi="Consolas"/>
                <w:color w:val="381A89"/>
                <w:sz w:val="16"/>
              </w:rPr>
              <w:t>RENDER_DPI</w:t>
            </w:r>
          </w:p>
        </w:tc>
        <w:tc>
          <w:tcPr>
            <w:tcW w:type="dxa" w:w="1814"/>
            <w:shd w:val="clear" w:color="auto" w:fill="F4F2FA"/>
          </w:tcPr>
          <w:p>
            <w:pPr>
              <w:spacing w:after="20" w:before="20" w:line="264" w:lineRule="auto"/>
            </w:pPr>
            <w:r>
              <w:rPr>
                <w:rFonts w:ascii="Consolas" w:hAnsi="Consolas"/>
                <w:color w:val="381A89"/>
                <w:sz w:val="16"/>
              </w:rPr>
              <w:t>150</w:t>
            </w:r>
          </w:p>
        </w:tc>
        <w:tc>
          <w:tcPr>
            <w:tcW w:type="dxa" w:w="4309"/>
            <w:shd w:val="clear" w:color="auto" w:fill="F4F2FA"/>
          </w:tcPr>
          <w:p>
            <w:pPr>
              <w:spacing w:after="20" w:before="20" w:line="264" w:lineRule="auto"/>
            </w:pPr>
            <w:r>
              <w:rPr>
                <w:rFonts w:ascii="Arial" w:hAnsi="Arial"/>
                <w:sz w:val="17"/>
              </w:rPr>
              <w:t>Page rasterisation resolution; the coordinate space for every region.</w:t>
            </w:r>
          </w:p>
        </w:tc>
      </w:tr>
      <w:tr>
        <w:trPr>
          <w:cantSplit/>
        </w:trPr>
        <w:tc>
          <w:tcPr>
            <w:tcW w:type="dxa" w:w="2835"/>
          </w:tcPr>
          <w:p>
            <w:pPr>
              <w:spacing w:after="20" w:before="20" w:line="264" w:lineRule="auto"/>
            </w:pPr>
            <w:r>
              <w:rPr>
                <w:rFonts w:ascii="Consolas" w:hAnsi="Consolas"/>
                <w:color w:val="381A89"/>
                <w:sz w:val="16"/>
              </w:rPr>
              <w:t>STORAGE_PROVIDER</w:t>
            </w:r>
          </w:p>
        </w:tc>
        <w:tc>
          <w:tcPr>
            <w:tcW w:type="dxa" w:w="1814"/>
          </w:tcPr>
          <w:p>
            <w:pPr>
              <w:spacing w:after="20" w:before="20" w:line="264" w:lineRule="auto"/>
            </w:pPr>
            <w:r>
              <w:rPr>
                <w:rFonts w:ascii="Consolas" w:hAnsi="Consolas"/>
                <w:color w:val="381A89"/>
                <w:sz w:val="16"/>
              </w:rPr>
              <w:t>local</w:t>
            </w:r>
          </w:p>
        </w:tc>
        <w:tc>
          <w:tcPr>
            <w:tcW w:type="dxa" w:w="4309"/>
          </w:tcPr>
          <w:p>
            <w:pPr>
              <w:spacing w:after="20" w:before="20" w:line="264" w:lineRule="auto"/>
            </w:pPr>
            <w:r>
              <w:rPr>
                <w:rFonts w:ascii="Consolas" w:hAnsi="Consolas"/>
                <w:color w:val="381A89"/>
                <w:sz w:val="16"/>
              </w:rPr>
              <w:t>local</w:t>
            </w:r>
            <w:r>
              <w:rPr>
                <w:rFonts w:ascii="Arial" w:hAnsi="Arial"/>
                <w:sz w:val="17"/>
              </w:rPr>
              <w:t xml:space="preserve"> filesystem or </w:t>
            </w:r>
            <w:r>
              <w:rPr>
                <w:rFonts w:ascii="Consolas" w:hAnsi="Consolas"/>
                <w:color w:val="381A89"/>
                <w:sz w:val="16"/>
              </w:rPr>
              <w:t>s3</w:t>
            </w:r>
            <w:r>
              <w:rPr>
                <w:rFonts w:ascii="Arial" w:hAnsi="Arial"/>
                <w:sz w:val="17"/>
              </w:rPr>
              <w:t xml:space="preserve"> for any S3-compatible store.</w:t>
            </w:r>
          </w:p>
        </w:tc>
      </w:tr>
      <w:tr>
        <w:trPr>
          <w:cantSplit/>
        </w:trPr>
        <w:tc>
          <w:tcPr>
            <w:tcW w:type="dxa" w:w="2835"/>
            <w:shd w:val="clear" w:color="auto" w:fill="F4F2FA"/>
          </w:tcPr>
          <w:p>
            <w:pPr>
              <w:spacing w:after="20" w:before="20" w:line="264" w:lineRule="auto"/>
            </w:pPr>
            <w:r>
              <w:rPr>
                <w:rFonts w:ascii="Consolas" w:hAnsi="Consolas"/>
                <w:color w:val="381A89"/>
                <w:sz w:val="16"/>
              </w:rPr>
              <w:t>S3_SERVER_SIDE_ENCRYPTION</w:t>
            </w:r>
          </w:p>
        </w:tc>
        <w:tc>
          <w:tcPr>
            <w:tcW w:type="dxa" w:w="1814"/>
            <w:shd w:val="clear" w:color="auto" w:fill="F4F2FA"/>
          </w:tcPr>
          <w:p>
            <w:pPr>
              <w:spacing w:after="20" w:before="20" w:line="264" w:lineRule="auto"/>
            </w:pPr>
            <w:r>
              <w:rPr>
                <w:rFonts w:ascii="Arial" w:hAnsi="Arial"/>
                <w:sz w:val="17"/>
              </w:rPr>
              <w:t>unset</w:t>
            </w:r>
          </w:p>
        </w:tc>
        <w:tc>
          <w:tcPr>
            <w:tcW w:type="dxa" w:w="4309"/>
            <w:shd w:val="clear" w:color="auto" w:fill="F4F2FA"/>
          </w:tcPr>
          <w:p>
            <w:pPr>
              <w:spacing w:after="20" w:before="20" w:line="264" w:lineRule="auto"/>
            </w:pPr>
            <w:r>
              <w:rPr>
                <w:rFonts w:ascii="Arial" w:hAnsi="Arial"/>
                <w:sz w:val="17"/>
              </w:rPr>
              <w:t>Enables encryption at rest without a code change.</w:t>
            </w:r>
          </w:p>
        </w:tc>
      </w:tr>
      <w:tr>
        <w:trPr>
          <w:cantSplit/>
        </w:trPr>
        <w:tc>
          <w:tcPr>
            <w:tcW w:type="dxa" w:w="2835"/>
          </w:tcPr>
          <w:p>
            <w:pPr>
              <w:spacing w:after="20" w:before="20" w:line="264" w:lineRule="auto"/>
            </w:pPr>
            <w:r>
              <w:rPr>
                <w:rFonts w:ascii="Consolas" w:hAnsi="Consolas"/>
                <w:color w:val="381A89"/>
                <w:sz w:val="16"/>
              </w:rPr>
              <w:t>QUEUE_MODE</w:t>
            </w:r>
          </w:p>
        </w:tc>
        <w:tc>
          <w:tcPr>
            <w:tcW w:type="dxa" w:w="1814"/>
          </w:tcPr>
          <w:p>
            <w:pPr>
              <w:spacing w:after="20" w:before="20" w:line="264" w:lineRule="auto"/>
            </w:pPr>
            <w:r>
              <w:rPr>
                <w:rFonts w:ascii="Consolas" w:hAnsi="Consolas"/>
                <w:color w:val="381A89"/>
                <w:sz w:val="16"/>
              </w:rPr>
              <w:t>redis</w:t>
            </w:r>
          </w:p>
        </w:tc>
        <w:tc>
          <w:tcPr>
            <w:tcW w:type="dxa" w:w="4309"/>
          </w:tcPr>
          <w:p>
            <w:pPr>
              <w:spacing w:after="20" w:before="20" w:line="264" w:lineRule="auto"/>
            </w:pPr>
            <w:r>
              <w:rPr>
                <w:rFonts w:ascii="Consolas" w:hAnsi="Consolas"/>
                <w:color w:val="381A89"/>
                <w:sz w:val="16"/>
              </w:rPr>
              <w:t>redis</w:t>
            </w:r>
            <w:r>
              <w:rPr>
                <w:rFonts w:ascii="Arial" w:hAnsi="Arial"/>
                <w:sz w:val="17"/>
              </w:rPr>
              <w:t xml:space="preserve"> uses RQ workers; </w:t>
            </w:r>
            <w:r>
              <w:rPr>
                <w:rFonts w:ascii="Consolas" w:hAnsi="Consolas"/>
                <w:color w:val="381A89"/>
                <w:sz w:val="16"/>
              </w:rPr>
              <w:t>inline</w:t>
            </w:r>
            <w:r>
              <w:rPr>
                <w:rFonts w:ascii="Arial" w:hAnsi="Arial"/>
                <w:sz w:val="17"/>
              </w:rPr>
              <w:t xml:space="preserve"> analyses in-process with no worker.</w:t>
            </w:r>
          </w:p>
        </w:tc>
      </w:tr>
      <w:tr>
        <w:trPr>
          <w:cantSplit/>
        </w:trPr>
        <w:tc>
          <w:tcPr>
            <w:tcW w:type="dxa" w:w="2835"/>
            <w:shd w:val="clear" w:color="auto" w:fill="F4F2FA"/>
          </w:tcPr>
          <w:p>
            <w:pPr>
              <w:spacing w:after="20" w:before="20" w:line="264" w:lineRule="auto"/>
            </w:pPr>
            <w:r>
              <w:rPr>
                <w:rFonts w:ascii="Consolas" w:hAnsi="Consolas"/>
                <w:color w:val="381A89"/>
                <w:sz w:val="16"/>
              </w:rPr>
              <w:t>OCR_PROVIDER</w:t>
            </w:r>
          </w:p>
        </w:tc>
        <w:tc>
          <w:tcPr>
            <w:tcW w:type="dxa" w:w="1814"/>
            <w:shd w:val="clear" w:color="auto" w:fill="F4F2FA"/>
          </w:tcPr>
          <w:p>
            <w:pPr>
              <w:spacing w:after="20" w:before="20" w:line="264" w:lineRule="auto"/>
            </w:pPr>
            <w:r>
              <w:rPr>
                <w:rFonts w:ascii="Consolas" w:hAnsi="Consolas"/>
                <w:color w:val="381A89"/>
                <w:sz w:val="16"/>
              </w:rPr>
              <w:t>hybrid</w:t>
            </w:r>
          </w:p>
        </w:tc>
        <w:tc>
          <w:tcPr>
            <w:tcW w:type="dxa" w:w="4309"/>
            <w:shd w:val="clear" w:color="auto" w:fill="F4F2FA"/>
          </w:tcPr>
          <w:p>
            <w:pPr>
              <w:spacing w:after="20" w:before="20" w:line="264" w:lineRule="auto"/>
            </w:pPr>
            <w:r>
              <w:rPr>
                <w:rFonts w:ascii="Consolas" w:hAnsi="Consolas"/>
                <w:color w:val="381A89"/>
                <w:sz w:val="16"/>
              </w:rPr>
              <w:t>hybrid</w:t>
            </w:r>
            <w:r>
              <w:rPr>
                <w:rFonts w:ascii="Arial" w:hAnsi="Arial"/>
                <w:sz w:val="17"/>
              </w:rPr>
              <w:t xml:space="preserve">, </w:t>
            </w:r>
            <w:r>
              <w:rPr>
                <w:rFonts w:ascii="Consolas" w:hAnsi="Consolas"/>
                <w:color w:val="381A89"/>
                <w:sz w:val="16"/>
              </w:rPr>
              <w:t>tesseract</w:t>
            </w:r>
            <w:r>
              <w:rPr>
                <w:rFonts w:ascii="Arial" w:hAnsi="Arial"/>
                <w:sz w:val="17"/>
              </w:rPr>
              <w:t xml:space="preserve">, </w:t>
            </w:r>
            <w:r>
              <w:rPr>
                <w:rFonts w:ascii="Consolas" w:hAnsi="Consolas"/>
                <w:color w:val="381A89"/>
                <w:sz w:val="16"/>
              </w:rPr>
              <w:t>pdf_text</w:t>
            </w:r>
            <w:r>
              <w:rPr>
                <w:rFonts w:ascii="Arial" w:hAnsi="Arial"/>
                <w:sz w:val="17"/>
              </w:rPr>
              <w:t xml:space="preserve"> or </w:t>
            </w:r>
            <w:r>
              <w:rPr>
                <w:rFonts w:ascii="Consolas" w:hAnsi="Consolas"/>
                <w:color w:val="381A89"/>
                <w:sz w:val="16"/>
              </w:rPr>
              <w:t>demo_fixture</w:t>
            </w:r>
            <w:r>
              <w:rPr>
                <w:rFonts w:ascii="Arial" w:hAnsi="Arial"/>
                <w:sz w:val="17"/>
              </w:rPr>
              <w:t>.</w:t>
            </w:r>
          </w:p>
        </w:tc>
      </w:tr>
      <w:tr>
        <w:trPr>
          <w:cantSplit/>
        </w:trPr>
        <w:tc>
          <w:tcPr>
            <w:tcW w:type="dxa" w:w="2835"/>
          </w:tcPr>
          <w:p>
            <w:pPr>
              <w:spacing w:after="20" w:before="20" w:line="264" w:lineRule="auto"/>
            </w:pPr>
            <w:r>
              <w:rPr>
                <w:rFonts w:ascii="Consolas" w:hAnsi="Consolas"/>
                <w:color w:val="381A89"/>
                <w:sz w:val="16"/>
              </w:rPr>
              <w:t>AIGC_PROVIDER</w:t>
            </w:r>
          </w:p>
        </w:tc>
        <w:tc>
          <w:tcPr>
            <w:tcW w:type="dxa" w:w="1814"/>
          </w:tcPr>
          <w:p>
            <w:pPr>
              <w:spacing w:after="20" w:before="20" w:line="264" w:lineRule="auto"/>
            </w:pPr>
            <w:r>
              <w:rPr>
                <w:rFonts w:ascii="Consolas" w:hAnsi="Consolas"/>
                <w:color w:val="381A89"/>
                <w:sz w:val="16"/>
              </w:rPr>
              <w:t>demo_heuristic</w:t>
            </w:r>
          </w:p>
        </w:tc>
        <w:tc>
          <w:tcPr>
            <w:tcW w:type="dxa" w:w="4309"/>
          </w:tcPr>
          <w:p>
            <w:pPr>
              <w:spacing w:after="20" w:before="20" w:line="264" w:lineRule="auto"/>
            </w:pPr>
            <w:r>
              <w:rPr>
                <w:rFonts w:ascii="Consolas" w:hAnsi="Consolas"/>
                <w:color w:val="381A89"/>
                <w:sz w:val="16"/>
              </w:rPr>
              <w:t>demo_heuristic</w:t>
            </w:r>
            <w:r>
              <w:rPr>
                <w:rFonts w:ascii="Arial" w:hAnsi="Arial"/>
                <w:sz w:val="17"/>
              </w:rPr>
              <w:t xml:space="preserve"> or </w:t>
            </w:r>
            <w:r>
              <w:rPr>
                <w:rFonts w:ascii="Consolas" w:hAnsi="Consolas"/>
                <w:color w:val="381A89"/>
                <w:sz w:val="16"/>
              </w:rPr>
              <w:t>remote_http</w:t>
            </w:r>
            <w:r>
              <w:rPr>
                <w:rFonts w:ascii="Arial" w:hAnsi="Arial"/>
                <w:sz w:val="17"/>
              </w:rPr>
              <w:t xml:space="preserve"> with a URL and key.</w:t>
            </w:r>
          </w:p>
        </w:tc>
      </w:tr>
      <w:tr>
        <w:trPr>
          <w:cantSplit/>
        </w:trPr>
        <w:tc>
          <w:tcPr>
            <w:tcW w:type="dxa" w:w="2835"/>
            <w:shd w:val="clear" w:color="auto" w:fill="F4F2FA"/>
          </w:tcPr>
          <w:p>
            <w:pPr>
              <w:spacing w:after="20" w:before="20" w:line="264" w:lineRule="auto"/>
            </w:pPr>
            <w:r>
              <w:rPr>
                <w:rFonts w:ascii="Consolas" w:hAnsi="Consolas"/>
                <w:color w:val="381A89"/>
                <w:sz w:val="16"/>
              </w:rPr>
              <w:t>VERIFICATION_PROVIDER</w:t>
            </w:r>
          </w:p>
        </w:tc>
        <w:tc>
          <w:tcPr>
            <w:tcW w:type="dxa" w:w="1814"/>
            <w:shd w:val="clear" w:color="auto" w:fill="F4F2FA"/>
          </w:tcPr>
          <w:p>
            <w:pPr>
              <w:spacing w:after="20" w:before="20" w:line="264" w:lineRule="auto"/>
            </w:pPr>
            <w:r>
              <w:rPr>
                <w:rFonts w:ascii="Consolas" w:hAnsi="Consolas"/>
                <w:color w:val="381A89"/>
                <w:sz w:val="16"/>
              </w:rPr>
              <w:t>demo</w:t>
            </w:r>
          </w:p>
        </w:tc>
        <w:tc>
          <w:tcPr>
            <w:tcW w:type="dxa" w:w="4309"/>
            <w:shd w:val="clear" w:color="auto" w:fill="F4F2FA"/>
          </w:tcPr>
          <w:p>
            <w:pPr>
              <w:spacing w:after="20" w:before="20" w:line="264" w:lineRule="auto"/>
            </w:pPr>
            <w:r>
              <w:rPr>
                <w:rFonts w:ascii="Consolas" w:hAnsi="Consolas"/>
                <w:color w:val="381A89"/>
                <w:sz w:val="16"/>
              </w:rPr>
              <w:t>demo</w:t>
            </w:r>
            <w:r>
              <w:rPr>
                <w:rFonts w:ascii="Arial" w:hAnsi="Arial"/>
                <w:sz w:val="17"/>
              </w:rPr>
              <w:t xml:space="preserve"> or </w:t>
            </w:r>
            <w:r>
              <w:rPr>
                <w:rFonts w:ascii="Consolas" w:hAnsi="Consolas"/>
                <w:color w:val="381A89"/>
                <w:sz w:val="16"/>
              </w:rPr>
              <w:t>remote_http</w:t>
            </w:r>
            <w:r>
              <w:rPr>
                <w:rFonts w:ascii="Arial" w:hAnsi="Arial"/>
                <w:sz w:val="17"/>
              </w:rPr>
              <w:t xml:space="preserve"> with a URL and key.</w:t>
            </w:r>
          </w:p>
        </w:tc>
      </w:tr>
      <w:tr>
        <w:trPr>
          <w:cantSplit/>
        </w:trPr>
        <w:tc>
          <w:tcPr>
            <w:tcW w:type="dxa" w:w="2835"/>
          </w:tcPr>
          <w:p>
            <w:pPr>
              <w:spacing w:after="20" w:before="20" w:line="264" w:lineRule="auto"/>
            </w:pPr>
            <w:r>
              <w:rPr>
                <w:rFonts w:ascii="Consolas" w:hAnsi="Consolas"/>
                <w:color w:val="381A89"/>
                <w:sz w:val="16"/>
              </w:rPr>
              <w:t>MALWARE_SCANNER</w:t>
            </w:r>
          </w:p>
        </w:tc>
        <w:tc>
          <w:tcPr>
            <w:tcW w:type="dxa" w:w="1814"/>
          </w:tcPr>
          <w:p>
            <w:pPr>
              <w:spacing w:after="20" w:before="20" w:line="264" w:lineRule="auto"/>
            </w:pPr>
            <w:r>
              <w:rPr>
                <w:rFonts w:ascii="Consolas" w:hAnsi="Consolas"/>
                <w:color w:val="381A89"/>
                <w:sz w:val="16"/>
              </w:rPr>
              <w:t>heuristic</w:t>
            </w:r>
          </w:p>
        </w:tc>
        <w:tc>
          <w:tcPr>
            <w:tcW w:type="dxa" w:w="4309"/>
          </w:tcPr>
          <w:p>
            <w:pPr>
              <w:spacing w:after="20" w:before="20" w:line="264" w:lineRule="auto"/>
            </w:pPr>
            <w:r>
              <w:rPr>
                <w:rFonts w:ascii="Arial" w:hAnsi="Arial"/>
                <w:sz w:val="17"/>
              </w:rPr>
              <w:t xml:space="preserve">Static checks, or </w:t>
            </w:r>
            <w:r>
              <w:rPr>
                <w:rFonts w:ascii="Consolas" w:hAnsi="Consolas"/>
                <w:color w:val="381A89"/>
                <w:sz w:val="16"/>
              </w:rPr>
              <w:t>clamav</w:t>
            </w:r>
            <w:r>
              <w:rPr>
                <w:rFonts w:ascii="Arial" w:hAnsi="Arial"/>
                <w:sz w:val="17"/>
              </w:rPr>
              <w:t xml:space="preserve"> against a clamd service.</w:t>
            </w:r>
          </w:p>
        </w:tc>
      </w:tr>
      <w:tr>
        <w:trPr>
          <w:cantSplit/>
        </w:trPr>
        <w:tc>
          <w:tcPr>
            <w:tcW w:type="dxa" w:w="2835"/>
            <w:shd w:val="clear" w:color="auto" w:fill="F4F2FA"/>
          </w:tcPr>
          <w:p>
            <w:pPr>
              <w:spacing w:after="20" w:before="20" w:line="264" w:lineRule="auto"/>
            </w:pPr>
            <w:r>
              <w:rPr>
                <w:rFonts w:ascii="Consolas" w:hAnsi="Consolas"/>
                <w:color w:val="381A89"/>
                <w:sz w:val="16"/>
              </w:rPr>
              <w:t>RETENTION_DAYS</w:t>
            </w:r>
          </w:p>
        </w:tc>
        <w:tc>
          <w:tcPr>
            <w:tcW w:type="dxa" w:w="1814"/>
            <w:shd w:val="clear" w:color="auto" w:fill="F4F2FA"/>
          </w:tcPr>
          <w:p>
            <w:pPr>
              <w:spacing w:after="20" w:before="20" w:line="264" w:lineRule="auto"/>
            </w:pPr>
            <w:r>
              <w:rPr>
                <w:rFonts w:ascii="Consolas" w:hAnsi="Consolas"/>
                <w:color w:val="381A89"/>
                <w:sz w:val="16"/>
              </w:rPr>
              <w:t>365</w:t>
            </w:r>
          </w:p>
        </w:tc>
        <w:tc>
          <w:tcPr>
            <w:tcW w:type="dxa" w:w="4309"/>
            <w:shd w:val="clear" w:color="auto" w:fill="F4F2FA"/>
          </w:tcPr>
          <w:p>
            <w:pPr>
              <w:spacing w:after="20" w:before="20" w:line="264" w:lineRule="auto"/>
            </w:pPr>
            <w:r>
              <w:rPr>
                <w:rFonts w:ascii="Arial" w:hAnsi="Arial"/>
                <w:sz w:val="17"/>
              </w:rPr>
              <w:t>Feeds the retention job; artifacts are purged before originals.</w:t>
            </w:r>
          </w:p>
        </w:tc>
      </w:tr>
      <w:tr>
        <w:trPr>
          <w:cantSplit/>
        </w:trPr>
        <w:tc>
          <w:tcPr>
            <w:tcW w:type="dxa" w:w="2835"/>
          </w:tcPr>
          <w:p>
            <w:pPr>
              <w:spacing w:after="20" w:before="20" w:line="264" w:lineRule="auto"/>
            </w:pPr>
            <w:r>
              <w:rPr>
                <w:rFonts w:ascii="Consolas" w:hAnsi="Consolas"/>
                <w:color w:val="381A89"/>
                <w:sz w:val="16"/>
              </w:rPr>
              <w:t>PII_LOG_REDACTION</w:t>
            </w:r>
          </w:p>
        </w:tc>
        <w:tc>
          <w:tcPr>
            <w:tcW w:type="dxa" w:w="1814"/>
          </w:tcPr>
          <w:p>
            <w:pPr>
              <w:spacing w:after="20" w:before="20" w:line="264" w:lineRule="auto"/>
            </w:pPr>
            <w:r>
              <w:rPr>
                <w:rFonts w:ascii="Consolas" w:hAnsi="Consolas"/>
                <w:color w:val="381A89"/>
                <w:sz w:val="16"/>
              </w:rPr>
              <w:t>true</w:t>
            </w:r>
          </w:p>
        </w:tc>
        <w:tc>
          <w:tcPr>
            <w:tcW w:type="dxa" w:w="4309"/>
          </w:tcPr>
          <w:p>
            <w:pPr>
              <w:spacing w:after="20" w:before="20" w:line="264" w:lineRule="auto"/>
            </w:pPr>
            <w:r>
              <w:rPr>
                <w:rFonts w:ascii="Arial" w:hAnsi="Arial"/>
                <w:sz w:val="17"/>
              </w:rPr>
              <w:t>Redaction in the log formatter; document bodies are never logged regardless.</w:t>
            </w:r>
          </w:p>
        </w:tc>
      </w:tr>
      <w:tr>
        <w:trPr>
          <w:cantSplit/>
        </w:trPr>
        <w:tc>
          <w:tcPr>
            <w:tcW w:type="dxa" w:w="2835"/>
            <w:shd w:val="clear" w:color="auto" w:fill="F4F2FA"/>
          </w:tcPr>
          <w:p>
            <w:pPr>
              <w:spacing w:after="20" w:before="20" w:line="264" w:lineRule="auto"/>
            </w:pPr>
            <w:r>
              <w:rPr>
                <w:rFonts w:ascii="Consolas" w:hAnsi="Consolas"/>
                <w:color w:val="381A89"/>
                <w:sz w:val="16"/>
              </w:rPr>
              <w:t>TRUSTED_HOSTS</w:t>
            </w:r>
            <w:r>
              <w:rPr>
                <w:rFonts w:ascii="Arial" w:hAnsi="Arial"/>
                <w:sz w:val="17"/>
              </w:rPr>
              <w:t xml:space="preserve"> / </w:t>
            </w:r>
            <w:r>
              <w:rPr>
                <w:rFonts w:ascii="Consolas" w:hAnsi="Consolas"/>
                <w:color w:val="381A89"/>
                <w:sz w:val="16"/>
              </w:rPr>
              <w:t>ALLOWED_ORIGINS</w:t>
            </w:r>
          </w:p>
        </w:tc>
        <w:tc>
          <w:tcPr>
            <w:tcW w:type="dxa" w:w="1814"/>
            <w:shd w:val="clear" w:color="auto" w:fill="F4F2FA"/>
          </w:tcPr>
          <w:p>
            <w:pPr>
              <w:spacing w:after="20" w:before="20" w:line="264" w:lineRule="auto"/>
            </w:pPr>
            <w:r>
              <w:rPr>
                <w:rFonts w:ascii="Arial" w:hAnsi="Arial"/>
                <w:sz w:val="17"/>
              </w:rPr>
              <w:t>restrictive in production</w:t>
            </w:r>
          </w:p>
        </w:tc>
        <w:tc>
          <w:tcPr>
            <w:tcW w:type="dxa" w:w="4309"/>
            <w:shd w:val="clear" w:color="auto" w:fill="F4F2FA"/>
          </w:tcPr>
          <w:p>
            <w:pPr>
              <w:spacing w:after="20" w:before="20" w:line="264" w:lineRule="auto"/>
            </w:pPr>
            <w:r>
              <w:rPr>
                <w:rFonts w:ascii="Arial" w:hAnsi="Arial"/>
                <w:sz w:val="17"/>
              </w:rPr>
              <w:t>Host and CORS allow-lists.</w:t>
            </w:r>
          </w:p>
        </w:tc>
      </w:tr>
      <w:tr>
        <w:trPr>
          <w:cantSplit/>
        </w:trPr>
        <w:tc>
          <w:tcPr>
            <w:tcW w:type="dxa" w:w="2835"/>
          </w:tcPr>
          <w:p>
            <w:pPr>
              <w:spacing w:after="20" w:before="20" w:line="264" w:lineRule="auto"/>
            </w:pPr>
            <w:r>
              <w:rPr>
                <w:rFonts w:ascii="Consolas" w:hAnsi="Consolas"/>
                <w:color w:val="381A89"/>
                <w:sz w:val="16"/>
              </w:rPr>
              <w:t>BACKEND_API_URL</w:t>
            </w:r>
          </w:p>
        </w:tc>
        <w:tc>
          <w:tcPr>
            <w:tcW w:type="dxa" w:w="1814"/>
          </w:tcPr>
          <w:p>
            <w:pPr>
              <w:spacing w:after="20" w:before="20" w:line="264" w:lineRule="auto"/>
            </w:pPr>
            <w:r>
              <w:rPr>
                <w:rFonts w:ascii="Arial" w:hAnsi="Arial"/>
                <w:sz w:val="17"/>
              </w:rPr>
              <w:t>internal service DNS</w:t>
            </w:r>
          </w:p>
        </w:tc>
        <w:tc>
          <w:tcPr>
            <w:tcW w:type="dxa" w:w="4309"/>
          </w:tcPr>
          <w:p>
            <w:pPr>
              <w:spacing w:after="20" w:before="20" w:line="264" w:lineRule="auto"/>
            </w:pPr>
            <w:r>
              <w:rPr>
                <w:rFonts w:ascii="Arial" w:hAnsi="Arial"/>
                <w:sz w:val="17"/>
              </w:rPr>
              <w:t xml:space="preserve">Read by the console </w:t>
            </w:r>
            <w:r>
              <w:rPr>
                <w:rFonts w:ascii="Arial" w:hAnsi="Arial"/>
                <w:b/>
                <w:sz w:val="17"/>
              </w:rPr>
              <w:t>server-side only</w:t>
            </w:r>
            <w:r>
              <w:rPr>
                <w:rFonts w:ascii="Arial" w:hAnsi="Arial"/>
                <w:sz w:val="17"/>
              </w:rPr>
              <w:t>; never reaches the browser.</w:t>
            </w:r>
          </w:p>
        </w:tc>
      </w:tr>
      <w:tr>
        <w:trPr>
          <w:cantSplit/>
        </w:trPr>
        <w:tc>
          <w:tcPr>
            <w:tcW w:type="dxa" w:w="2835"/>
            <w:shd w:val="clear" w:color="auto" w:fill="F4F2FA"/>
          </w:tcPr>
          <w:p>
            <w:pPr>
              <w:spacing w:after="20" w:before="20" w:line="264" w:lineRule="auto"/>
            </w:pPr>
            <w:r>
              <w:rPr>
                <w:rFonts w:ascii="Consolas" w:hAnsi="Consolas"/>
                <w:color w:val="381A89"/>
                <w:sz w:val="16"/>
              </w:rPr>
              <w:t>NEXT_PUBLIC_DEMO_MODE</w:t>
            </w:r>
          </w:p>
        </w:tc>
        <w:tc>
          <w:tcPr>
            <w:tcW w:type="dxa" w:w="1814"/>
            <w:shd w:val="clear" w:color="auto" w:fill="F4F2FA"/>
          </w:tcPr>
          <w:p>
            <w:pPr>
              <w:spacing w:after="20" w:before="20" w:line="264" w:lineRule="auto"/>
            </w:pPr>
            <w:r>
              <w:rPr>
                <w:rFonts w:ascii="Consolas" w:hAnsi="Consolas"/>
                <w:color w:val="381A89"/>
                <w:sz w:val="16"/>
              </w:rPr>
              <w:t>true</w:t>
            </w:r>
            <w:r>
              <w:rPr>
                <w:rFonts w:ascii="Arial" w:hAnsi="Arial"/>
                <w:sz w:val="17"/>
              </w:rPr>
              <w:t xml:space="preserve"> in the demo</w:t>
            </w:r>
          </w:p>
        </w:tc>
        <w:tc>
          <w:tcPr>
            <w:tcW w:type="dxa" w:w="4309"/>
            <w:shd w:val="clear" w:color="auto" w:fill="F4F2FA"/>
          </w:tcPr>
          <w:p>
            <w:pPr>
              <w:spacing w:after="20" w:before="20" w:line="264" w:lineRule="auto"/>
            </w:pPr>
            <w:r>
              <w:rPr>
                <w:rFonts w:ascii="Arial" w:hAnsi="Arial"/>
                <w:sz w:val="17"/>
              </w:rPr>
              <w:t>Shows the demonstration banner and the role reference on sign-in.</w:t>
            </w:r>
          </w:p>
        </w:tc>
      </w:tr>
    </w:tbl>
    <w:p>
      <w:pPr>
        <w:spacing w:after="40"/>
      </w:pPr>
    </w:p>
    <w:p>
      <w:r>
        <w:br w:type="page"/>
      </w:r>
    </w:p>
    <w:p>
      <w:pPr>
        <w:pStyle w:val="Heading1"/>
      </w:pPr>
      <w:r>
        <w:t>Appendix G  Deployment Runbook</w:t>
      </w:r>
    </w:p>
    <w:p>
      <w:pPr>
        <w:pStyle w:val="Heading2"/>
      </w:pPr>
      <w:r>
        <w:t>G.1  Local development</w:t>
      </w:r>
    </w:p>
    <w:tbl>
      <w:tblPr>
        <w:tblW w:type="auto" w:w="0"/>
        <w:jc w:val="center"/>
        <w:tblLook w:firstColumn="1" w:firstRow="1" w:lastColumn="0" w:lastRow="0" w:noHBand="0" w:noVBand="1" w:val="04A0"/>
      </w:tblPr>
      <w:tblGrid>
        <w:gridCol w:w="9185"/>
      </w:tblGrid>
      <w:tr>
        <w:tc>
          <w:tcPr>
            <w:tcW w:type="dxa" w:w="9184"/>
            <w:tcBorders>
              <w:left w:val="single" w:sz="18" w:space="0" w:color="2E1C6B"/>
            </w:tcBorders>
            <w:shd w:val="clear" w:color="auto" w:fill="F2F0F8"/>
          </w:tcPr>
          <w:p>
            <w:pPr>
              <w:spacing w:after="0" w:line="259" w:lineRule="auto"/>
            </w:pPr>
            <w:r/>
            <w:r>
              <w:rPr>
                <w:rFonts w:ascii="Consolas" w:hAnsi="Consolas"/>
                <w:color w:val="1A1726"/>
                <w:sz w:val="18"/>
              </w:rPr>
              <w:t xml:space="preserve">        cp .env.example .env                 # set JWT_SECRET at minimum</w:t>
            </w:r>
          </w:p>
          <w:p>
            <w:pPr>
              <w:spacing w:after="0" w:line="259" w:lineRule="auto"/>
            </w:pPr>
            <w:r>
              <w:rPr>
                <w:rFonts w:ascii="Consolas" w:hAnsi="Consolas"/>
                <w:color w:val="1A1726"/>
                <w:sz w:val="18"/>
              </w:rPr>
              <w:t xml:space="preserve">        docker compose up -d --build         # postgres, redis, minio, api, worker, web</w:t>
            </w:r>
          </w:p>
          <w:p>
            <w:pPr>
              <w:spacing w:after="0" w:line="259" w:lineRule="auto"/>
            </w:pPr>
            <w:r>
              <w:rPr>
                <w:rFonts w:ascii="Consolas" w:hAnsi="Consolas"/>
                <w:color w:val="1A1726"/>
                <w:sz w:val="18"/>
              </w:rPr>
              <w:t xml:space="preserve">        docker compose exec api python -m app.db.seed --reset</w:t>
            </w:r>
          </w:p>
          <w:p>
            <w:pPr>
              <w:spacing w:after="0" w:line="259" w:lineRule="auto"/>
            </w:pPr>
            <w:r>
              <w:rPr>
                <w:rFonts w:ascii="Consolas" w:hAnsi="Consolas"/>
                <w:color w:val="1A1726"/>
                <w:sz w:val="18"/>
              </w:rPr>
              <w:t xml:space="preserve"> </w:t>
            </w:r>
          </w:p>
          <w:p>
            <w:pPr>
              <w:spacing w:after="0" w:line="259" w:lineRule="auto"/>
            </w:pPr>
            <w:r>
              <w:rPr>
                <w:rFonts w:ascii="Consolas" w:hAnsi="Consolas"/>
                <w:color w:val="1A1726"/>
                <w:sz w:val="18"/>
              </w:rPr>
              <w:t xml:space="preserve">        # console  http://localhost:3010     API docs  http://localhost:8088/docs</w:t>
            </w:r>
          </w:p>
          <w:p>
            <w:pPr>
              <w:spacing w:after="0" w:line="259" w:lineRule="auto"/>
            </w:pPr>
            <w:r>
              <w:rPr>
                <w:rFonts w:ascii="Consolas" w:hAnsi="Consolas"/>
                <w:color w:val="1A1726"/>
                <w:sz w:val="18"/>
              </w:rPr>
              <w:t xml:space="preserve">        # sign in with any demo account; the password is set by SEED_PASSWORD</w:t>
            </w:r>
          </w:p>
          <w:p>
            <w:pPr>
              <w:spacing w:after="0" w:line="259" w:lineRule="auto"/>
            </w:pPr>
            <w:r>
              <w:rPr>
                <w:rFonts w:ascii="Consolas" w:hAnsi="Consolas"/>
                <w:color w:val="1A1726"/>
                <w:sz w:val="18"/>
              </w:rPr>
              <w:t xml:space="preserve">        </w:t>
            </w:r>
          </w:p>
        </w:tc>
      </w:tr>
    </w:tbl>
    <w:p>
      <w:pPr>
        <w:spacing w:after="80"/>
      </w:pPr>
    </w:p>
    <w:p>
      <w:pPr>
        <w:spacing w:after="160"/>
        <w:jc w:val="both"/>
      </w:pPr>
      <w:r>
        <w:t xml:space="preserve">Without Docker: PostgreSQL 14 or later plus </w:t>
      </w:r>
      <w:r>
        <w:rPr>
          <w:rFonts w:ascii="Consolas" w:hAnsi="Consolas"/>
          <w:color w:val="381A89"/>
          <w:sz w:val="20"/>
        </w:rPr>
        <w:t>tesseract-ocr</w:t>
      </w:r>
      <w:r>
        <w:t xml:space="preserve">, </w:t>
      </w:r>
      <w:r>
        <w:rPr>
          <w:rFonts w:ascii="Consolas" w:hAnsi="Consolas"/>
          <w:color w:val="381A89"/>
          <w:sz w:val="20"/>
        </w:rPr>
        <w:t>tesseract-ocr-eng</w:t>
      </w:r>
      <w:r>
        <w:t xml:space="preserve">, </w:t>
      </w:r>
      <w:r>
        <w:rPr>
          <w:rFonts w:ascii="Consolas" w:hAnsi="Consolas"/>
          <w:color w:val="381A89"/>
          <w:sz w:val="20"/>
        </w:rPr>
        <w:t>poppler-utils</w:t>
      </w:r>
      <w:r>
        <w:t xml:space="preserve"> and </w:t>
      </w:r>
      <w:r>
        <w:rPr>
          <w:rFonts w:ascii="Consolas" w:hAnsi="Consolas"/>
          <w:color w:val="381A89"/>
          <w:sz w:val="20"/>
        </w:rPr>
        <w:t>libmagic1</w:t>
      </w:r>
      <w:r>
        <w:t xml:space="preserve">; then </w:t>
      </w:r>
      <w:r>
        <w:rPr>
          <w:rFonts w:ascii="Consolas" w:hAnsi="Consolas"/>
          <w:color w:val="381A89"/>
          <w:sz w:val="20"/>
        </w:rPr>
        <w:t>alembic upgrade head</w:t>
      </w:r>
      <w:r>
        <w:t xml:space="preserve">, </w:t>
      </w:r>
      <w:r>
        <w:rPr>
          <w:rFonts w:ascii="Consolas" w:hAnsi="Consolas"/>
          <w:color w:val="381A89"/>
          <w:sz w:val="20"/>
        </w:rPr>
        <w:t>python -m app.db.seed --reset</w:t>
      </w:r>
      <w:r>
        <w:t xml:space="preserve">, </w:t>
      </w:r>
      <w:r>
        <w:rPr>
          <w:rFonts w:ascii="Consolas" w:hAnsi="Consolas"/>
          <w:color w:val="381A89"/>
          <w:sz w:val="20"/>
        </w:rPr>
        <w:t>uvicorn app.main:app --port 8088</w:t>
      </w:r>
      <w:r>
        <w:t xml:space="preserve">, and — when </w:t>
      </w:r>
      <w:r>
        <w:rPr>
          <w:rFonts w:ascii="Consolas" w:hAnsi="Consolas"/>
          <w:color w:val="381A89"/>
          <w:sz w:val="20"/>
        </w:rPr>
        <w:t>QUEUE_MODE=redis</w:t>
      </w:r>
      <w:r>
        <w:t xml:space="preserve"> — </w:t>
      </w:r>
      <w:r>
        <w:rPr>
          <w:rFonts w:ascii="Consolas" w:hAnsi="Consolas"/>
          <w:color w:val="381A89"/>
          <w:sz w:val="20"/>
        </w:rPr>
        <w:t>python -m app.workers.worker</w:t>
      </w:r>
      <w:r>
        <w:t xml:space="preserve"> in a second terminal. </w:t>
      </w:r>
      <w:r>
        <w:rPr>
          <w:rFonts w:ascii="Consolas" w:hAnsi="Consolas"/>
          <w:color w:val="381A89"/>
          <w:sz w:val="20"/>
        </w:rPr>
        <w:t>make help</w:t>
      </w:r>
      <w:r>
        <w:t xml:space="preserve"> lists every task.</w:t>
      </w:r>
    </w:p>
    <w:p>
      <w:pPr>
        <w:pStyle w:val="Heading2"/>
      </w:pPr>
      <w:r>
        <w:t>G.2  Production deployment</w:t>
      </w:r>
    </w:p>
    <w:tbl>
      <w:tblPr>
        <w:tblW w:type="auto" w:w="0"/>
        <w:jc w:val="center"/>
        <w:tblLook w:firstColumn="1" w:firstRow="1" w:lastColumn="0" w:lastRow="0" w:noHBand="0" w:noVBand="1" w:val="04A0"/>
      </w:tblPr>
      <w:tblGrid>
        <w:gridCol w:w="9185"/>
      </w:tblGrid>
      <w:tr>
        <w:tc>
          <w:tcPr>
            <w:tcW w:type="dxa" w:w="9184"/>
            <w:tcBorders>
              <w:left w:val="single" w:sz="18" w:space="0" w:color="2E1C6B"/>
            </w:tcBorders>
            <w:shd w:val="clear" w:color="auto" w:fill="F2F0F8"/>
          </w:tcPr>
          <w:p>
            <w:pPr>
              <w:spacing w:after="0" w:line="259" w:lineRule="auto"/>
            </w:pPr>
            <w:r/>
            <w:r>
              <w:rPr>
                <w:rFonts w:ascii="Consolas" w:hAnsi="Consolas"/>
                <w:color w:val="1A1726"/>
                <w:sz w:val="18"/>
              </w:rPr>
              <w:t xml:space="preserve">        cd /root/stacks/veridoc</w:t>
            </w:r>
          </w:p>
          <w:p>
            <w:pPr>
              <w:spacing w:after="0" w:line="259" w:lineRule="auto"/>
            </w:pPr>
            <w:r>
              <w:rPr>
                <w:rFonts w:ascii="Consolas" w:hAnsi="Consolas"/>
                <w:color w:val="1A1726"/>
                <w:sz w:val="18"/>
              </w:rPr>
              <w:t xml:space="preserve">        docker compose up -d --build         # rebuilds and recreates only what changed</w:t>
            </w:r>
          </w:p>
          <w:p>
            <w:pPr>
              <w:spacing w:after="0" w:line="259" w:lineRule="auto"/>
            </w:pPr>
            <w:r>
              <w:rPr>
                <w:rFonts w:ascii="Consolas" w:hAnsi="Consolas"/>
                <w:color w:val="1A1726"/>
                <w:sz w:val="18"/>
              </w:rPr>
              <w:t xml:space="preserve">        docker compose ps                    # all five services should report healthy</w:t>
            </w:r>
          </w:p>
          <w:p>
            <w:pPr>
              <w:spacing w:after="0" w:line="259" w:lineRule="auto"/>
            </w:pPr>
            <w:r>
              <w:rPr>
                <w:rFonts w:ascii="Consolas" w:hAnsi="Consolas"/>
                <w:color w:val="1A1726"/>
                <w:sz w:val="18"/>
              </w:rPr>
              <w:t xml:space="preserve">        docker compose logs -f api worker</w:t>
            </w:r>
          </w:p>
          <w:p>
            <w:pPr>
              <w:spacing w:after="0" w:line="259" w:lineRule="auto"/>
            </w:pPr>
            <w:r>
              <w:rPr>
                <w:rFonts w:ascii="Consolas" w:hAnsi="Consolas"/>
                <w:color w:val="1A1726"/>
                <w:sz w:val="18"/>
              </w:rPr>
              <w:t xml:space="preserve"> </w:t>
            </w:r>
          </w:p>
          <w:p>
            <w:pPr>
              <w:spacing w:after="0" w:line="259" w:lineRule="auto"/>
            </w:pPr>
            <w:r>
              <w:rPr>
                <w:rFonts w:ascii="Consolas" w:hAnsi="Consolas"/>
                <w:color w:val="1A1726"/>
                <w:sz w:val="18"/>
              </w:rPr>
              <w:t xml:space="preserve">        docker compose up -d --scale worker=2    # horizontal analysis capacity</w:t>
            </w:r>
          </w:p>
          <w:p>
            <w:pPr>
              <w:spacing w:after="0" w:line="259" w:lineRule="auto"/>
            </w:pPr>
            <w:r>
              <w:rPr>
                <w:rFonts w:ascii="Consolas" w:hAnsi="Consolas"/>
                <w:color w:val="1A1726"/>
                <w:sz w:val="18"/>
              </w:rPr>
              <w:t xml:space="preserve">        </w:t>
            </w:r>
          </w:p>
        </w:tc>
      </w:tr>
    </w:tbl>
    <w:p>
      <w:pPr>
        <w:spacing w:after="80"/>
      </w:pPr>
    </w:p>
    <w:p>
      <w:pPr>
        <w:spacing w:after="160"/>
        <w:jc w:val="both"/>
      </w:pPr>
      <w:r>
        <w:t>The production stack publishes no host ports and routes only the console. Secrets are supplied through an environment file readable by root alone; the required values are the application domain, the JWT signing secret and the database password, each declared so that a missing value fails the deploy rather than silently booting on a default. The API's entrypoint waits for the database, applies migrations and then execs the server; seeding runs only when explicitly requested, so a container restart can never populate a production database with demonstration claims.</w:t>
      </w:r>
    </w:p>
    <w:p>
      <w:pPr>
        <w:pStyle w:val="Heading2"/>
      </w:pPr>
      <w:r>
        <w:t>G.3  Operational tasks</w:t>
      </w:r>
    </w:p>
    <w:p>
      <w:pPr>
        <w:keepNext/>
        <w:spacing w:after="60" w:before="120"/>
      </w:pPr>
      <w:r>
        <w:rPr>
          <w:rFonts w:ascii="Arial" w:hAnsi="Arial"/>
          <w:b/>
          <w:color w:val="381A89"/>
          <w:sz w:val="18"/>
        </w:rPr>
        <w:t xml:space="preserve">Table 39. </w:t>
      </w:r>
      <w:r>
        <w:rPr>
          <w:rFonts w:ascii="Arial" w:hAnsi="Arial"/>
          <w:color w:val="55516B"/>
          <w:sz w:val="18"/>
        </w:rPr>
        <w:t>Routine operations.</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2835"/>
            <w:shd w:val="clear" w:color="auto" w:fill="2E1C6B"/>
          </w:tcPr>
          <w:p>
            <w:pPr>
              <w:spacing w:after="20" w:before="20" w:line="252" w:lineRule="auto"/>
            </w:pPr>
            <w:r>
              <w:rPr>
                <w:rFonts w:ascii="Arial" w:hAnsi="Arial"/>
                <w:b/>
                <w:color w:val="FFFFFF"/>
                <w:sz w:val="17"/>
              </w:rPr>
              <w:t>Task</w:t>
            </w:r>
          </w:p>
        </w:tc>
        <w:tc>
          <w:tcPr>
            <w:tcW w:type="dxa" w:w="6123"/>
            <w:shd w:val="clear" w:color="auto" w:fill="2E1C6B"/>
          </w:tcPr>
          <w:p>
            <w:pPr>
              <w:spacing w:after="20" w:before="20" w:line="252" w:lineRule="auto"/>
            </w:pPr>
            <w:r>
              <w:rPr>
                <w:rFonts w:ascii="Arial" w:hAnsi="Arial"/>
                <w:b/>
                <w:color w:val="FFFFFF"/>
                <w:sz w:val="17"/>
              </w:rPr>
              <w:t>Command or action</w:t>
            </w:r>
          </w:p>
        </w:tc>
      </w:tr>
      <w:tr>
        <w:trPr>
          <w:cantSplit/>
        </w:trPr>
        <w:tc>
          <w:tcPr>
            <w:tcW w:type="dxa" w:w="2835"/>
          </w:tcPr>
          <w:p>
            <w:pPr>
              <w:spacing w:after="20" w:before="20" w:line="264" w:lineRule="auto"/>
            </w:pPr>
            <w:r>
              <w:rPr>
                <w:rFonts w:ascii="Arial" w:hAnsi="Arial"/>
                <w:sz w:val="18"/>
              </w:rPr>
              <w:t>Apply migrations</w:t>
            </w:r>
          </w:p>
        </w:tc>
        <w:tc>
          <w:tcPr>
            <w:tcW w:type="dxa" w:w="6123"/>
          </w:tcPr>
          <w:p>
            <w:pPr>
              <w:spacing w:after="20" w:before="20" w:line="264" w:lineRule="auto"/>
            </w:pPr>
            <w:r>
              <w:rPr>
                <w:rFonts w:ascii="Consolas" w:hAnsi="Consolas"/>
                <w:color w:val="381A89"/>
                <w:sz w:val="16"/>
              </w:rPr>
              <w:t>alembic upgrade head</w:t>
            </w:r>
            <w:r>
              <w:rPr>
                <w:rFonts w:ascii="Arial" w:hAnsi="Arial"/>
                <w:sz w:val="18"/>
              </w:rPr>
              <w:t xml:space="preserve"> (automatic in the API entrypoint)</w:t>
            </w:r>
          </w:p>
        </w:tc>
      </w:tr>
      <w:tr>
        <w:trPr>
          <w:cantSplit/>
        </w:trPr>
        <w:tc>
          <w:tcPr>
            <w:tcW w:type="dxa" w:w="2835"/>
            <w:shd w:val="clear" w:color="auto" w:fill="F4F2FA"/>
          </w:tcPr>
          <w:p>
            <w:pPr>
              <w:spacing w:after="20" w:before="20" w:line="264" w:lineRule="auto"/>
            </w:pPr>
            <w:r>
              <w:rPr>
                <w:rFonts w:ascii="Arial" w:hAnsi="Arial"/>
                <w:sz w:val="18"/>
              </w:rPr>
              <w:t>Check for model drift</w:t>
            </w:r>
          </w:p>
        </w:tc>
        <w:tc>
          <w:tcPr>
            <w:tcW w:type="dxa" w:w="6123"/>
            <w:shd w:val="clear" w:color="auto" w:fill="F4F2FA"/>
          </w:tcPr>
          <w:p>
            <w:pPr>
              <w:spacing w:after="20" w:before="20" w:line="264" w:lineRule="auto"/>
            </w:pPr>
            <w:r>
              <w:rPr>
                <w:rFonts w:ascii="Consolas" w:hAnsi="Consolas"/>
                <w:color w:val="381A89"/>
                <w:sz w:val="16"/>
              </w:rPr>
              <w:t>alembic check</w:t>
            </w:r>
            <w:r>
              <w:rPr>
                <w:rFonts w:ascii="Arial" w:hAnsi="Arial"/>
                <w:sz w:val="18"/>
              </w:rPr>
              <w:t xml:space="preserve"> — fails if the models and migrations have diverged</w:t>
            </w:r>
          </w:p>
        </w:tc>
      </w:tr>
      <w:tr>
        <w:trPr>
          <w:cantSplit/>
        </w:trPr>
        <w:tc>
          <w:tcPr>
            <w:tcW w:type="dxa" w:w="2835"/>
          </w:tcPr>
          <w:p>
            <w:pPr>
              <w:spacing w:after="20" w:before="20" w:line="264" w:lineRule="auto"/>
            </w:pPr>
            <w:r>
              <w:rPr>
                <w:rFonts w:ascii="Arial" w:hAnsi="Arial"/>
                <w:sz w:val="18"/>
              </w:rPr>
              <w:t>Seed reference data only</w:t>
            </w:r>
          </w:p>
        </w:tc>
        <w:tc>
          <w:tcPr>
            <w:tcW w:type="dxa" w:w="6123"/>
          </w:tcPr>
          <w:p>
            <w:pPr>
              <w:spacing w:after="20" w:before="20" w:line="264" w:lineRule="auto"/>
            </w:pPr>
            <w:r>
              <w:rPr>
                <w:rFonts w:ascii="Consolas" w:hAnsi="Consolas"/>
                <w:color w:val="381A89"/>
                <w:sz w:val="16"/>
              </w:rPr>
              <w:t>python -m app.db.seed --reference-only</w:t>
            </w:r>
          </w:p>
        </w:tc>
      </w:tr>
      <w:tr>
        <w:trPr>
          <w:cantSplit/>
        </w:trPr>
        <w:tc>
          <w:tcPr>
            <w:tcW w:type="dxa" w:w="2835"/>
            <w:shd w:val="clear" w:color="auto" w:fill="F4F2FA"/>
          </w:tcPr>
          <w:p>
            <w:pPr>
              <w:spacing w:after="20" w:before="20" w:line="264" w:lineRule="auto"/>
            </w:pPr>
            <w:r>
              <w:rPr>
                <w:rFonts w:ascii="Arial" w:hAnsi="Arial"/>
                <w:sz w:val="18"/>
              </w:rPr>
              <w:t>Reset and seed the demonstration</w:t>
            </w:r>
          </w:p>
        </w:tc>
        <w:tc>
          <w:tcPr>
            <w:tcW w:type="dxa" w:w="6123"/>
            <w:shd w:val="clear" w:color="auto" w:fill="F4F2FA"/>
          </w:tcPr>
          <w:p>
            <w:pPr>
              <w:spacing w:after="20" w:before="20" w:line="264" w:lineRule="auto"/>
            </w:pPr>
            <w:r>
              <w:rPr>
                <w:rFonts w:ascii="Consolas" w:hAnsi="Consolas"/>
                <w:color w:val="381A89"/>
                <w:sz w:val="16"/>
              </w:rPr>
              <w:t>python -m app.db.seed --reset</w:t>
            </w:r>
            <w:r>
              <w:rPr>
                <w:rFonts w:ascii="Arial" w:hAnsi="Arial"/>
                <w:sz w:val="18"/>
              </w:rPr>
              <w:t xml:space="preserve"> — destructive</w:t>
            </w:r>
          </w:p>
        </w:tc>
      </w:tr>
      <w:tr>
        <w:trPr>
          <w:cantSplit/>
        </w:trPr>
        <w:tc>
          <w:tcPr>
            <w:tcW w:type="dxa" w:w="2835"/>
          </w:tcPr>
          <w:p>
            <w:pPr>
              <w:spacing w:after="20" w:before="20" w:line="264" w:lineRule="auto"/>
            </w:pPr>
            <w:r>
              <w:rPr>
                <w:rFonts w:ascii="Arial" w:hAnsi="Arial"/>
                <w:sz w:val="18"/>
              </w:rPr>
              <w:t>Retention dry run</w:t>
            </w:r>
          </w:p>
        </w:tc>
        <w:tc>
          <w:tcPr>
            <w:tcW w:type="dxa" w:w="6123"/>
          </w:tcPr>
          <w:p>
            <w:pPr>
              <w:spacing w:after="20" w:before="20" w:line="264" w:lineRule="auto"/>
            </w:pPr>
            <w:r>
              <w:rPr>
                <w:rFonts w:ascii="Consolas" w:hAnsi="Consolas"/>
                <w:color w:val="381A89"/>
                <w:sz w:val="16"/>
              </w:rPr>
              <w:t>make purge-dry</w:t>
            </w:r>
            <w:r>
              <w:rPr>
                <w:rFonts w:ascii="Arial" w:hAnsi="Arial"/>
                <w:sz w:val="18"/>
              </w:rPr>
              <w:t xml:space="preserve"> — reports what would be purged; artifacts before originals, and originals only for soft-deleted documents</w:t>
            </w:r>
          </w:p>
        </w:tc>
      </w:tr>
      <w:tr>
        <w:trPr>
          <w:cantSplit/>
        </w:trPr>
        <w:tc>
          <w:tcPr>
            <w:tcW w:type="dxa" w:w="2835"/>
            <w:shd w:val="clear" w:color="auto" w:fill="F4F2FA"/>
          </w:tcPr>
          <w:p>
            <w:pPr>
              <w:spacing w:after="20" w:before="20" w:line="264" w:lineRule="auto"/>
            </w:pPr>
            <w:r>
              <w:rPr>
                <w:rFonts w:ascii="Arial" w:hAnsi="Arial"/>
                <w:sz w:val="18"/>
              </w:rPr>
              <w:t>Verify the audit chain</w:t>
            </w:r>
          </w:p>
        </w:tc>
        <w:tc>
          <w:tcPr>
            <w:tcW w:type="dxa" w:w="6123"/>
            <w:shd w:val="clear" w:color="auto" w:fill="F4F2FA"/>
          </w:tcPr>
          <w:p>
            <w:pPr>
              <w:spacing w:after="20" w:before="20" w:line="264" w:lineRule="auto"/>
            </w:pPr>
            <w:r>
              <w:rPr>
                <w:rFonts w:ascii="Consolas" w:hAnsi="Consolas"/>
                <w:color w:val="381A89"/>
                <w:sz w:val="16"/>
              </w:rPr>
              <w:t>GET /api/audit-logs/chain/verify</w:t>
            </w:r>
            <w:r>
              <w:rPr>
                <w:rFonts w:ascii="Arial" w:hAnsi="Arial"/>
                <w:sz w:val="18"/>
              </w:rPr>
              <w:t>, or the banner at the top of the audit screen</w:t>
            </w:r>
          </w:p>
        </w:tc>
      </w:tr>
      <w:tr>
        <w:trPr>
          <w:cantSplit/>
        </w:trPr>
        <w:tc>
          <w:tcPr>
            <w:tcW w:type="dxa" w:w="2835"/>
          </w:tcPr>
          <w:p>
            <w:pPr>
              <w:spacing w:after="20" w:before="20" w:line="264" w:lineRule="auto"/>
            </w:pPr>
            <w:r>
              <w:rPr>
                <w:rFonts w:ascii="Arial" w:hAnsi="Arial"/>
                <w:sz w:val="18"/>
              </w:rPr>
              <w:t>Readiness check</w:t>
            </w:r>
          </w:p>
        </w:tc>
        <w:tc>
          <w:tcPr>
            <w:tcW w:type="dxa" w:w="6123"/>
          </w:tcPr>
          <w:p>
            <w:pPr>
              <w:spacing w:after="20" w:before="20" w:line="264" w:lineRule="auto"/>
            </w:pPr>
            <w:r>
              <w:rPr>
                <w:rFonts w:ascii="Consolas" w:hAnsi="Consolas"/>
                <w:color w:val="381A89"/>
                <w:sz w:val="16"/>
              </w:rPr>
              <w:t>GET /api/ready</w:t>
            </w:r>
            <w:r>
              <w:rPr>
                <w:rFonts w:ascii="Arial" w:hAnsi="Arial"/>
                <w:sz w:val="18"/>
              </w:rPr>
              <w:t xml:space="preserve"> — database, storage, queue depth, worker count, versions</w:t>
            </w:r>
          </w:p>
        </w:tc>
      </w:tr>
      <w:tr>
        <w:trPr>
          <w:cantSplit/>
        </w:trPr>
        <w:tc>
          <w:tcPr>
            <w:tcW w:type="dxa" w:w="2835"/>
            <w:shd w:val="clear" w:color="auto" w:fill="F4F2FA"/>
          </w:tcPr>
          <w:p>
            <w:pPr>
              <w:spacing w:after="20" w:before="20" w:line="264" w:lineRule="auto"/>
            </w:pPr>
            <w:r>
              <w:rPr>
                <w:rFonts w:ascii="Arial" w:hAnsi="Arial"/>
                <w:sz w:val="18"/>
              </w:rPr>
              <w:t>Retune a rule</w:t>
            </w:r>
          </w:p>
        </w:tc>
        <w:tc>
          <w:tcPr>
            <w:tcW w:type="dxa" w:w="6123"/>
            <w:shd w:val="clear" w:color="auto" w:fill="F4F2FA"/>
          </w:tcPr>
          <w:p>
            <w:pPr>
              <w:spacing w:after="20" w:before="20" w:line="264" w:lineRule="auto"/>
            </w:pPr>
            <w:r>
              <w:rPr>
                <w:rFonts w:ascii="Arial" w:hAnsi="Arial"/>
                <w:sz w:val="18"/>
              </w:rPr>
              <w:t xml:space="preserve">Rules screen as an administrator, or </w:t>
            </w:r>
            <w:r>
              <w:rPr>
                <w:rFonts w:ascii="Consolas" w:hAnsi="Consolas"/>
                <w:color w:val="381A89"/>
                <w:sz w:val="16"/>
              </w:rPr>
              <w:t>PATCH /api/rules/{code}</w:t>
            </w:r>
            <w:r>
              <w:rPr>
                <w:rFonts w:ascii="Arial" w:hAnsi="Arial"/>
                <w:sz w:val="18"/>
              </w:rPr>
              <w:t xml:space="preserve"> — audited either way</w:t>
            </w:r>
          </w:p>
        </w:tc>
      </w:tr>
      <w:tr>
        <w:trPr>
          <w:cantSplit/>
        </w:trPr>
        <w:tc>
          <w:tcPr>
            <w:tcW w:type="dxa" w:w="2835"/>
          </w:tcPr>
          <w:p>
            <w:pPr>
              <w:spacing w:after="20" w:before="20" w:line="264" w:lineRule="auto"/>
            </w:pPr>
            <w:r>
              <w:rPr>
                <w:rFonts w:ascii="Arial" w:hAnsi="Arial"/>
                <w:sz w:val="18"/>
              </w:rPr>
              <w:t>Switch a provider</w:t>
            </w:r>
          </w:p>
        </w:tc>
        <w:tc>
          <w:tcPr>
            <w:tcW w:type="dxa" w:w="6123"/>
          </w:tcPr>
          <w:p>
            <w:pPr>
              <w:spacing w:after="20" w:before="20" w:line="264" w:lineRule="auto"/>
            </w:pPr>
            <w:r>
              <w:rPr>
                <w:rFonts w:ascii="Arial" w:hAnsi="Arial"/>
                <w:sz w:val="18"/>
              </w:rPr>
              <w:t xml:space="preserve">Integrations screen, or </w:t>
            </w:r>
            <w:r>
              <w:rPr>
                <w:rFonts w:ascii="Consolas" w:hAnsi="Consolas"/>
                <w:color w:val="381A89"/>
                <w:sz w:val="16"/>
              </w:rPr>
              <w:t>PATCH /api/providers/{kind}/{key}</w:t>
            </w:r>
            <w:r>
              <w:rPr>
                <w:rFonts w:ascii="Arial" w:hAnsi="Arial"/>
                <w:sz w:val="18"/>
              </w:rPr>
              <w:t xml:space="preserve"> — activating one deactivates its peers</w:t>
            </w:r>
          </w:p>
        </w:tc>
      </w:tr>
      <w:tr>
        <w:trPr>
          <w:cantSplit/>
        </w:trPr>
        <w:tc>
          <w:tcPr>
            <w:tcW w:type="dxa" w:w="2835"/>
            <w:shd w:val="clear" w:color="auto" w:fill="F4F2FA"/>
          </w:tcPr>
          <w:p>
            <w:pPr>
              <w:spacing w:after="20" w:before="20" w:line="264" w:lineRule="auto"/>
            </w:pPr>
            <w:r>
              <w:rPr>
                <w:rFonts w:ascii="Arial" w:hAnsi="Arial"/>
                <w:sz w:val="18"/>
              </w:rPr>
              <w:t>Change band thresholds</w:t>
            </w:r>
          </w:p>
        </w:tc>
        <w:tc>
          <w:tcPr>
            <w:tcW w:type="dxa" w:w="6123"/>
            <w:shd w:val="clear" w:color="auto" w:fill="F4F2FA"/>
          </w:tcPr>
          <w:p>
            <w:pPr>
              <w:spacing w:after="20" w:before="20" w:line="264" w:lineRule="auto"/>
            </w:pPr>
            <w:r>
              <w:rPr>
                <w:rFonts w:ascii="Arial" w:hAnsi="Arial"/>
                <w:sz w:val="18"/>
              </w:rPr>
              <w:t xml:space="preserve">Settings screen, or </w:t>
            </w:r>
            <w:r>
              <w:rPr>
                <w:rFonts w:ascii="Consolas" w:hAnsi="Consolas"/>
                <w:color w:val="381A89"/>
                <w:sz w:val="16"/>
              </w:rPr>
              <w:t>PUT /api/settings/risk_thresholds</w:t>
            </w:r>
            <w:r>
              <w:rPr>
                <w:rFonts w:ascii="Arial" w:hAnsi="Arial"/>
                <w:sz w:val="18"/>
              </w:rPr>
              <w:t xml:space="preserve"> — validated as an increasing pair within 0–100</w:t>
            </w:r>
          </w:p>
        </w:tc>
      </w:tr>
    </w:tbl>
    <w:p>
      <w:pPr>
        <w:spacing w:after="40"/>
      </w:pPr>
    </w:p>
    <w:p>
      <w:pPr>
        <w:pStyle w:val="Heading2"/>
      </w:pPr>
      <w:r>
        <w:t>G.4  Failure modes and responses</w:t>
      </w:r>
    </w:p>
    <w:p>
      <w:pPr>
        <w:keepNext/>
        <w:spacing w:after="60" w:before="120"/>
      </w:pPr>
      <w:r>
        <w:rPr>
          <w:rFonts w:ascii="Arial" w:hAnsi="Arial"/>
          <w:b/>
          <w:color w:val="381A89"/>
          <w:sz w:val="18"/>
        </w:rPr>
        <w:t xml:space="preserve">Table 40. </w:t>
      </w:r>
      <w:r>
        <w:rPr>
          <w:rFonts w:ascii="Arial" w:hAnsi="Arial"/>
          <w:color w:val="55516B"/>
          <w:sz w:val="18"/>
        </w:rPr>
        <w:t>Expected failure modes and the system's behaviour.</w:t>
      </w:r>
    </w:p>
    <w:tbl>
      <w:tblPr>
        <w:tblStyle w:val="TableGrid"/>
        <w:tblW w:type="auto" w:w="0"/>
        <w:jc w:val="center"/>
        <w:tblLayout w:type="fixed"/>
        <w:tblLook w:firstColumn="1" w:firstRow="1" w:lastColumn="0" w:lastRow="0" w:noHBand="0" w:noVBand="1" w:val="04A0"/>
      </w:tblPr>
      <w:tblGrid>
        <w:gridCol w:w="4592"/>
        <w:gridCol w:w="4592"/>
      </w:tblGrid>
      <w:tr>
        <w:trPr>
          <w:cantSplit/>
          <w:tblHeader w:val="true"/>
        </w:trPr>
        <w:tc>
          <w:tcPr>
            <w:tcW w:type="dxa" w:w="2608"/>
            <w:shd w:val="clear" w:color="auto" w:fill="2E1C6B"/>
          </w:tcPr>
          <w:p>
            <w:pPr>
              <w:spacing w:after="20" w:before="20" w:line="252" w:lineRule="auto"/>
            </w:pPr>
            <w:r>
              <w:rPr>
                <w:rFonts w:ascii="Arial" w:hAnsi="Arial"/>
                <w:b/>
                <w:color w:val="FFFFFF"/>
                <w:sz w:val="17"/>
              </w:rPr>
              <w:t>Failure</w:t>
            </w:r>
          </w:p>
        </w:tc>
        <w:tc>
          <w:tcPr>
            <w:tcW w:type="dxa" w:w="6350"/>
            <w:shd w:val="clear" w:color="auto" w:fill="2E1C6B"/>
          </w:tcPr>
          <w:p>
            <w:pPr>
              <w:spacing w:after="20" w:before="20" w:line="252" w:lineRule="auto"/>
            </w:pPr>
            <w:r>
              <w:rPr>
                <w:rFonts w:ascii="Arial" w:hAnsi="Arial"/>
                <w:b/>
                <w:color w:val="FFFFFF"/>
                <w:sz w:val="17"/>
              </w:rPr>
              <w:t>Behaviour and response</w:t>
            </w:r>
          </w:p>
        </w:tc>
      </w:tr>
      <w:tr>
        <w:trPr>
          <w:cantSplit/>
        </w:trPr>
        <w:tc>
          <w:tcPr>
            <w:tcW w:type="dxa" w:w="2608"/>
          </w:tcPr>
          <w:p>
            <w:pPr>
              <w:spacing w:after="20" w:before="20" w:line="264" w:lineRule="auto"/>
            </w:pPr>
            <w:r>
              <w:rPr>
                <w:rFonts w:ascii="Arial" w:hAnsi="Arial"/>
                <w:sz w:val="18"/>
              </w:rPr>
              <w:t>Redis unreachable</w:t>
            </w:r>
          </w:p>
        </w:tc>
        <w:tc>
          <w:tcPr>
            <w:tcW w:type="dxa" w:w="6350"/>
          </w:tcPr>
          <w:p>
            <w:pPr>
              <w:spacing w:after="20" w:before="20" w:line="264" w:lineRule="auto"/>
            </w:pPr>
            <w:r>
              <w:rPr>
                <w:rFonts w:ascii="Arial" w:hAnsi="Arial"/>
                <w:sz w:val="18"/>
              </w:rPr>
              <w:t xml:space="preserve">Uploads are analysed in-process as a background task and the run records </w:t>
            </w:r>
            <w:r>
              <w:rPr>
                <w:rFonts w:ascii="Consolas" w:hAnsi="Consolas"/>
                <w:color w:val="381A89"/>
                <w:sz w:val="16"/>
              </w:rPr>
              <w:t>queue_mode=inline</w:t>
            </w:r>
            <w:r>
              <w:rPr>
                <w:rFonts w:ascii="Arial" w:hAnsi="Arial"/>
                <w:sz w:val="18"/>
              </w:rPr>
              <w:t>. No work is lost; throughput falls. Restore Redis and subsequent uploads return to the worker.</w:t>
            </w:r>
          </w:p>
        </w:tc>
      </w:tr>
      <w:tr>
        <w:trPr>
          <w:cantSplit/>
        </w:trPr>
        <w:tc>
          <w:tcPr>
            <w:tcW w:type="dxa" w:w="2608"/>
            <w:shd w:val="clear" w:color="auto" w:fill="F4F2FA"/>
          </w:tcPr>
          <w:p>
            <w:pPr>
              <w:spacing w:after="20" w:before="20" w:line="264" w:lineRule="auto"/>
            </w:pPr>
            <w:r>
              <w:rPr>
                <w:rFonts w:ascii="Arial" w:hAnsi="Arial"/>
                <w:sz w:val="18"/>
              </w:rPr>
              <w:t xml:space="preserve">Worker not running with </w:t>
            </w:r>
            <w:r>
              <w:rPr>
                <w:rFonts w:ascii="Consolas" w:hAnsi="Consolas"/>
                <w:color w:val="381A89"/>
                <w:sz w:val="16"/>
              </w:rPr>
              <w:t>QUEUE_MODE=redis</w:t>
            </w:r>
          </w:p>
        </w:tc>
        <w:tc>
          <w:tcPr>
            <w:tcW w:type="dxa" w:w="6350"/>
            <w:shd w:val="clear" w:color="auto" w:fill="F4F2FA"/>
          </w:tcPr>
          <w:p>
            <w:pPr>
              <w:spacing w:after="20" w:before="20" w:line="264" w:lineRule="auto"/>
            </w:pPr>
            <w:r>
              <w:rPr>
                <w:rFonts w:ascii="Arial" w:hAnsi="Arial"/>
                <w:sz w:val="18"/>
              </w:rPr>
              <w:t xml:space="preserve">Uploads remain </w:t>
            </w:r>
            <w:r>
              <w:rPr>
                <w:rFonts w:ascii="Consolas" w:hAnsi="Consolas"/>
                <w:color w:val="381A89"/>
                <w:sz w:val="16"/>
              </w:rPr>
              <w:t>queued</w:t>
            </w:r>
            <w:r>
              <w:rPr>
                <w:rFonts w:ascii="Arial" w:hAnsi="Arial"/>
                <w:sz w:val="18"/>
              </w:rPr>
              <w:t xml:space="preserve"> indefinitely. </w:t>
            </w:r>
            <w:r>
              <w:rPr>
                <w:rFonts w:ascii="Consolas" w:hAnsi="Consolas"/>
                <w:color w:val="381A89"/>
                <w:sz w:val="16"/>
              </w:rPr>
              <w:t>GET /api/ready</w:t>
            </w:r>
            <w:r>
              <w:rPr>
                <w:rFonts w:ascii="Arial" w:hAnsi="Arial"/>
                <w:sz w:val="18"/>
              </w:rPr>
              <w:t xml:space="preserve"> reports the worker count; start </w:t>
            </w:r>
            <w:r>
              <w:rPr>
                <w:rFonts w:ascii="Consolas" w:hAnsi="Consolas"/>
                <w:color w:val="381A89"/>
                <w:sz w:val="16"/>
              </w:rPr>
              <w:t>python -m app.workers.worker</w:t>
            </w:r>
            <w:r>
              <w:rPr>
                <w:rFonts w:ascii="Arial" w:hAnsi="Arial"/>
                <w:sz w:val="18"/>
              </w:rPr>
              <w:t>.</w:t>
            </w:r>
          </w:p>
        </w:tc>
      </w:tr>
      <w:tr>
        <w:trPr>
          <w:cantSplit/>
        </w:trPr>
        <w:tc>
          <w:tcPr>
            <w:tcW w:type="dxa" w:w="2608"/>
          </w:tcPr>
          <w:p>
            <w:pPr>
              <w:spacing w:after="20" w:before="20" w:line="264" w:lineRule="auto"/>
            </w:pPr>
            <w:r>
              <w:rPr>
                <w:rFonts w:ascii="Arial" w:hAnsi="Arial"/>
                <w:sz w:val="18"/>
              </w:rPr>
              <w:t>A provider is down</w:t>
            </w:r>
          </w:p>
        </w:tc>
        <w:tc>
          <w:tcPr>
            <w:tcW w:type="dxa" w:w="6350"/>
          </w:tcPr>
          <w:p>
            <w:pPr>
              <w:spacing w:after="20" w:before="20" w:line="264" w:lineRule="auto"/>
            </w:pPr>
            <w:r>
              <w:rPr>
                <w:rFonts w:ascii="Arial" w:hAnsi="Arial"/>
                <w:sz w:val="18"/>
              </w:rPr>
              <w:t xml:space="preserve">The dependent stage records </w:t>
            </w:r>
            <w:r>
              <w:rPr>
                <w:rFonts w:ascii="Consolas" w:hAnsi="Consolas"/>
                <w:color w:val="381A89"/>
                <w:sz w:val="16"/>
              </w:rPr>
              <w:t>unavailable</w:t>
            </w:r>
            <w:r>
              <w:rPr>
                <w:rFonts w:ascii="Arial" w:hAnsi="Arial"/>
                <w:sz w:val="18"/>
              </w:rPr>
              <w:t xml:space="preserve">, the run is </w:t>
            </w:r>
            <w:r>
              <w:rPr>
                <w:rFonts w:ascii="Consolas" w:hAnsi="Consolas"/>
                <w:color w:val="381A89"/>
                <w:sz w:val="16"/>
              </w:rPr>
              <w:t>partial</w:t>
            </w:r>
            <w:r>
              <w:rPr>
                <w:rFonts w:ascii="Arial" w:hAnsi="Arial"/>
                <w:sz w:val="18"/>
              </w:rPr>
              <w:t>, the risk assessment discloses the degraded coverage, and the document can be re-analysed once the provider returns.</w:t>
            </w:r>
          </w:p>
        </w:tc>
      </w:tr>
      <w:tr>
        <w:trPr>
          <w:cantSplit/>
        </w:trPr>
        <w:tc>
          <w:tcPr>
            <w:tcW w:type="dxa" w:w="2608"/>
            <w:shd w:val="clear" w:color="auto" w:fill="F4F2FA"/>
          </w:tcPr>
          <w:p>
            <w:pPr>
              <w:spacing w:after="20" w:before="20" w:line="264" w:lineRule="auto"/>
            </w:pPr>
            <w:r>
              <w:rPr>
                <w:rFonts w:ascii="Arial" w:hAnsi="Arial"/>
                <w:sz w:val="18"/>
              </w:rPr>
              <w:t>Object storage unavailable</w:t>
            </w:r>
          </w:p>
        </w:tc>
        <w:tc>
          <w:tcPr>
            <w:tcW w:type="dxa" w:w="6350"/>
            <w:shd w:val="clear" w:color="auto" w:fill="F4F2FA"/>
          </w:tcPr>
          <w:p>
            <w:pPr>
              <w:spacing w:after="20" w:before="20" w:line="264" w:lineRule="auto"/>
            </w:pPr>
            <w:r>
              <w:rPr>
                <w:rFonts w:ascii="Arial" w:hAnsi="Arial"/>
                <w:sz w:val="18"/>
              </w:rPr>
              <w:t>An S3 failure falls back to local storage with an error logged, so an upload is never lost.</w:t>
            </w:r>
          </w:p>
        </w:tc>
      </w:tr>
      <w:tr>
        <w:trPr>
          <w:cantSplit/>
        </w:trPr>
        <w:tc>
          <w:tcPr>
            <w:tcW w:type="dxa" w:w="2608"/>
          </w:tcPr>
          <w:p>
            <w:pPr>
              <w:spacing w:after="20" w:before="20" w:line="264" w:lineRule="auto"/>
            </w:pPr>
            <w:r>
              <w:rPr>
                <w:rFonts w:ascii="Arial" w:hAnsi="Arial"/>
                <w:sz w:val="18"/>
              </w:rPr>
              <w:t>Analysis fails unexpectedly</w:t>
            </w:r>
          </w:p>
        </w:tc>
        <w:tc>
          <w:tcPr>
            <w:tcW w:type="dxa" w:w="6350"/>
          </w:tcPr>
          <w:p>
            <w:pPr>
              <w:spacing w:after="20" w:before="20" w:line="264" w:lineRule="auto"/>
            </w:pPr>
            <w:r>
              <w:rPr>
                <w:rFonts w:ascii="Arial" w:hAnsi="Arial"/>
                <w:sz w:val="18"/>
              </w:rPr>
              <w:t>The run is marked failed and the document's message states that the original is preserved and can be reprocessed. Nothing is deleted.</w:t>
            </w:r>
          </w:p>
        </w:tc>
      </w:tr>
      <w:tr>
        <w:trPr>
          <w:cantSplit/>
        </w:trPr>
        <w:tc>
          <w:tcPr>
            <w:tcW w:type="dxa" w:w="2608"/>
            <w:shd w:val="clear" w:color="auto" w:fill="F4F2FA"/>
          </w:tcPr>
          <w:p>
            <w:pPr>
              <w:spacing w:after="20" w:before="20" w:line="264" w:lineRule="auto"/>
            </w:pPr>
            <w:r>
              <w:rPr>
                <w:rFonts w:ascii="Arial" w:hAnsi="Arial"/>
                <w:sz w:val="18"/>
              </w:rPr>
              <w:t>Infected upload</w:t>
            </w:r>
          </w:p>
        </w:tc>
        <w:tc>
          <w:tcPr>
            <w:tcW w:type="dxa" w:w="6350"/>
            <w:shd w:val="clear" w:color="auto" w:fill="F4F2FA"/>
          </w:tcPr>
          <w:p>
            <w:pPr>
              <w:spacing w:after="20" w:before="20" w:line="264" w:lineRule="auto"/>
            </w:pPr>
            <w:r>
              <w:rPr>
                <w:rFonts w:ascii="Arial" w:hAnsi="Arial"/>
                <w:sz w:val="18"/>
              </w:rPr>
              <w:t>The document is quarantined, not deleted: the bytes stay downloadable as evidence and a critical security finding is recorded.</w:t>
            </w:r>
          </w:p>
        </w:tc>
      </w:tr>
      <w:tr>
        <w:trPr>
          <w:cantSplit/>
        </w:trPr>
        <w:tc>
          <w:tcPr>
            <w:tcW w:type="dxa" w:w="2608"/>
          </w:tcPr>
          <w:p>
            <w:pPr>
              <w:spacing w:after="20" w:before="20" w:line="264" w:lineRule="auto"/>
            </w:pPr>
            <w:r>
              <w:rPr>
                <w:rFonts w:ascii="Arial" w:hAnsi="Arial"/>
                <w:sz w:val="18"/>
              </w:rPr>
              <w:t>Audit chain divergence</w:t>
            </w:r>
          </w:p>
        </w:tc>
        <w:tc>
          <w:tcPr>
            <w:tcW w:type="dxa" w:w="6350"/>
          </w:tcPr>
          <w:p>
            <w:pPr>
              <w:spacing w:after="20" w:before="20" w:line="264" w:lineRule="auto"/>
            </w:pPr>
            <w:r>
              <w:rPr>
                <w:rFonts w:ascii="Arial" w:hAnsi="Arial"/>
                <w:sz w:val="18"/>
              </w:rPr>
              <w:t xml:space="preserve">The verification endpoint reports </w:t>
            </w:r>
            <w:r>
              <w:rPr>
                <w:rFonts w:ascii="Consolas" w:hAnsi="Consolas"/>
                <w:color w:val="381A89"/>
                <w:sz w:val="16"/>
              </w:rPr>
              <w:t>intact: false</w:t>
            </w:r>
            <w:r>
              <w:rPr>
                <w:rFonts w:ascii="Arial" w:hAnsi="Arial"/>
                <w:sz w:val="18"/>
              </w:rPr>
              <w:t xml:space="preserve"> and names the first divergent sequence number — treat as a security incident.</w:t>
            </w:r>
          </w:p>
        </w:tc>
      </w:tr>
    </w:tbl>
    <w:p>
      <w:pPr>
        <w:spacing w:after="40"/>
      </w:pPr>
    </w:p>
    <w:p>
      <w:r>
        <w:br w:type="page"/>
      </w:r>
    </w:p>
    <w:p>
      <w:pPr>
        <w:pStyle w:val="Heading1"/>
      </w:pPr>
      <w:r>
        <w:t>Appendix H  Console Screens</w:t>
      </w:r>
    </w:p>
    <w:p>
      <w:pPr>
        <w:spacing w:after="160"/>
        <w:jc w:val="both"/>
      </w:pPr>
      <w:r>
        <w:t>The remaining screens of the deployed console, captured from the live deployment in the light theme. All twelve screens are also available in a dark theme whose steps are chosen independently rather than derived by inversion.</w:t>
      </w:r>
    </w:p>
    <w:p>
      <w:pPr>
        <w:keepNext/>
        <w:spacing w:before="120" w:after="60"/>
        <w:jc w:val="center"/>
      </w:pPr>
      <w:r>
        <w:drawing>
          <wp:inline xmlns:a="http://schemas.openxmlformats.org/drawingml/2006/main" xmlns:pic="http://schemas.openxmlformats.org/drawingml/2006/picture">
            <wp:extent cx="5688000" cy="3555000"/>
            <wp:docPr id="7" name="Picture 7"/>
            <wp:cNvGraphicFramePr>
              <a:graphicFrameLocks noChangeAspect="1"/>
            </wp:cNvGraphicFramePr>
            <a:graphic>
              <a:graphicData uri="http://schemas.openxmlformats.org/drawingml/2006/picture">
                <pic:pic>
                  <pic:nvPicPr>
                    <pic:cNvPr id="0" name="fig-claims.png"/>
                    <pic:cNvPicPr/>
                  </pic:nvPicPr>
                  <pic:blipFill>
                    <a:blip r:embed="rId17"/>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7. </w:t>
      </w:r>
      <w:r>
        <w:rPr>
          <w:rFonts w:ascii="Arial" w:hAnsi="Arial"/>
          <w:color w:val="55516B"/>
          <w:sz w:val="18"/>
        </w:rPr>
        <w:t>The claims register. A claim is the unit of investigation: its documents are compared against each other and against the claim particulars.</w:t>
      </w:r>
    </w:p>
    <w:p>
      <w:pPr>
        <w:keepNext/>
        <w:spacing w:before="120" w:after="60"/>
        <w:jc w:val="center"/>
      </w:pPr>
      <w:r>
        <w:drawing>
          <wp:inline xmlns:a="http://schemas.openxmlformats.org/drawingml/2006/main" xmlns:pic="http://schemas.openxmlformats.org/drawingml/2006/picture">
            <wp:extent cx="5688000" cy="3555000"/>
            <wp:docPr id="8" name="Picture 8"/>
            <wp:cNvGraphicFramePr>
              <a:graphicFrameLocks noChangeAspect="1"/>
            </wp:cNvGraphicFramePr>
            <a:graphic>
              <a:graphicData uri="http://schemas.openxmlformats.org/drawingml/2006/picture">
                <pic:pic>
                  <pic:nvPicPr>
                    <pic:cNvPr id="0" name="fig-investigations.png"/>
                    <pic:cNvPicPr/>
                  </pic:nvPicPr>
                  <pic:blipFill>
                    <a:blip r:embed="rId18"/>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8. </w:t>
      </w:r>
      <w:r>
        <w:rPr>
          <w:rFonts w:ascii="Arial" w:hAnsi="Arial"/>
          <w:color w:val="55516B"/>
          <w:sz w:val="18"/>
        </w:rPr>
        <w:t>Open investigations with the per-investigator workload panel. A high-concern claim opens a case automatically, assigned to the least-loaded investigator.</w:t>
      </w:r>
    </w:p>
    <w:p>
      <w:pPr>
        <w:keepNext/>
        <w:spacing w:before="120" w:after="60"/>
        <w:jc w:val="center"/>
      </w:pPr>
      <w:r>
        <w:drawing>
          <wp:inline xmlns:a="http://schemas.openxmlformats.org/drawingml/2006/main" xmlns:pic="http://schemas.openxmlformats.org/drawingml/2006/picture">
            <wp:extent cx="5688000" cy="3555000"/>
            <wp:docPr id="9" name="Picture 9"/>
            <wp:cNvGraphicFramePr>
              <a:graphicFrameLocks noChangeAspect="1"/>
            </wp:cNvGraphicFramePr>
            <a:graphic>
              <a:graphicData uri="http://schemas.openxmlformats.org/drawingml/2006/picture">
                <pic:pic>
                  <pic:nvPicPr>
                    <pic:cNvPr id="0" name="fig-verification.png"/>
                    <pic:cNvPicPr/>
                  </pic:nvPicPr>
                  <pic:blipFill>
                    <a:blip r:embed="rId19"/>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9. </w:t>
      </w:r>
      <w:r>
        <w:rPr>
          <w:rFonts w:ascii="Arial" w:hAnsi="Arial"/>
          <w:color w:val="55516B"/>
          <w:sz w:val="18"/>
        </w:rPr>
        <w:t>Trusted-source verification: configured providers with their mode, and the request history with outcome filters. Demonstration providers are badged.</w:t>
      </w:r>
    </w:p>
    <w:p>
      <w:pPr>
        <w:keepNext/>
        <w:spacing w:before="120" w:after="60"/>
        <w:jc w:val="center"/>
      </w:pPr>
      <w:r>
        <w:drawing>
          <wp:inline xmlns:a="http://schemas.openxmlformats.org/drawingml/2006/main" xmlns:pic="http://schemas.openxmlformats.org/drawingml/2006/picture">
            <wp:extent cx="5688000" cy="3555000"/>
            <wp:docPr id="10" name="Picture 10"/>
            <wp:cNvGraphicFramePr>
              <a:graphicFrameLocks noChangeAspect="1"/>
            </wp:cNvGraphicFramePr>
            <a:graphic>
              <a:graphicData uri="http://schemas.openxmlformats.org/drawingml/2006/picture">
                <pic:pic>
                  <pic:nvPicPr>
                    <pic:cNvPr id="0" name="fig-tab-forensics.png"/>
                    <pic:cNvPicPr/>
                  </pic:nvPicPr>
                  <pic:blipFill>
                    <a:blip r:embed="rId20"/>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10. </w:t>
      </w:r>
      <w:r>
        <w:rPr>
          <w:rFonts w:ascii="Arial" w:hAnsi="Arial"/>
          <w:color w:val="55516B"/>
          <w:sz w:val="18"/>
        </w:rPr>
        <w:t>The forensics panel, showing findings, the full metadata table with anomalous rows annotated, and the raw measurements — including metrics that did not fire.</w:t>
      </w:r>
    </w:p>
    <w:p>
      <w:pPr>
        <w:keepNext/>
        <w:spacing w:before="120" w:after="60"/>
        <w:jc w:val="center"/>
      </w:pPr>
      <w:r>
        <w:drawing>
          <wp:inline xmlns:a="http://schemas.openxmlformats.org/drawingml/2006/main" xmlns:pic="http://schemas.openxmlformats.org/drawingml/2006/picture">
            <wp:extent cx="5688000" cy="3555000"/>
            <wp:docPr id="11" name="Picture 11"/>
            <wp:cNvGraphicFramePr>
              <a:graphicFrameLocks noChangeAspect="1"/>
            </wp:cNvGraphicFramePr>
            <a:graphic>
              <a:graphicData uri="http://schemas.openxmlformats.org/drawingml/2006/picture">
                <pic:pic>
                  <pic:nvPicPr>
                    <pic:cNvPr id="0" name="fig-settings.png"/>
                    <pic:cNvPicPr/>
                  </pic:nvPicPr>
                  <pic:blipFill>
                    <a:blip r:embed="rId21"/>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11. </w:t>
      </w:r>
      <w:r>
        <w:rPr>
          <w:rFonts w:ascii="Arial" w:hAnsi="Arial"/>
          <w:color w:val="55516B"/>
          <w:sz w:val="18"/>
        </w:rPr>
        <w:t>System settings. Band thresholds, retention, review policy and privacy policy are configuration held in the database, editable by an administrator.</w:t>
      </w:r>
    </w:p>
    <w:p>
      <w:pPr>
        <w:keepNext/>
        <w:spacing w:before="120" w:after="60"/>
        <w:jc w:val="center"/>
      </w:pPr>
      <w:r>
        <w:drawing>
          <wp:inline xmlns:a="http://schemas.openxmlformats.org/drawingml/2006/main" xmlns:pic="http://schemas.openxmlformats.org/drawingml/2006/picture">
            <wp:extent cx="5688000" cy="3555000"/>
            <wp:docPr id="12" name="Picture 12"/>
            <wp:cNvGraphicFramePr>
              <a:graphicFrameLocks noChangeAspect="1"/>
            </wp:cNvGraphicFramePr>
            <a:graphic>
              <a:graphicData uri="http://schemas.openxmlformats.org/drawingml/2006/picture">
                <pic:pic>
                  <pic:nvPicPr>
                    <pic:cNvPr id="0" name="fig-integrations.png"/>
                    <pic:cNvPicPr/>
                  </pic:nvPicPr>
                  <pic:blipFill>
                    <a:blip r:embed="rId22"/>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12. </w:t>
      </w:r>
      <w:r>
        <w:rPr>
          <w:rFonts w:ascii="Arial" w:hAnsi="Arial"/>
          <w:color w:val="55516B"/>
          <w:sz w:val="18"/>
        </w:rPr>
        <w:t>Provider configuration. Each provider lists the *names* of the environment variables it requires; credential values are never stored in or displayed by the platform.</w:t>
      </w:r>
    </w:p>
    <w:p>
      <w:pPr>
        <w:keepNext/>
        <w:spacing w:before="120" w:after="60"/>
        <w:jc w:val="center"/>
      </w:pPr>
      <w:r>
        <w:drawing>
          <wp:inline xmlns:a="http://schemas.openxmlformats.org/drawingml/2006/main" xmlns:pic="http://schemas.openxmlformats.org/drawingml/2006/picture">
            <wp:extent cx="5688000" cy="3555000"/>
            <wp:docPr id="13" name="Picture 13"/>
            <wp:cNvGraphicFramePr>
              <a:graphicFrameLocks noChangeAspect="1"/>
            </wp:cNvGraphicFramePr>
            <a:graphic>
              <a:graphicData uri="http://schemas.openxmlformats.org/drawingml/2006/picture">
                <pic:pic>
                  <pic:nvPicPr>
                    <pic:cNvPr id="0" name="fig-audit-logs.png"/>
                    <pic:cNvPicPr/>
                  </pic:nvPicPr>
                  <pic:blipFill>
                    <a:blip r:embed="rId23"/>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13. </w:t>
      </w:r>
      <w:r>
        <w:rPr>
          <w:rFonts w:ascii="Arial" w:hAnsi="Arial"/>
          <w:color w:val="55516B"/>
          <w:sz w:val="18"/>
        </w:rPr>
        <w:t>The audit trail with the hash chain verified at the top of the page, showing the entry and previous hashes and the before-and-after field differences.</w:t>
      </w:r>
    </w:p>
    <w:p>
      <w:pPr>
        <w:keepNext/>
        <w:spacing w:before="120" w:after="60"/>
        <w:jc w:val="center"/>
      </w:pPr>
      <w:r>
        <w:drawing>
          <wp:inline xmlns:a="http://schemas.openxmlformats.org/drawingml/2006/main" xmlns:pic="http://schemas.openxmlformats.org/drawingml/2006/picture">
            <wp:extent cx="5688000" cy="3555000"/>
            <wp:docPr id="14" name="Picture 14"/>
            <wp:cNvGraphicFramePr>
              <a:graphicFrameLocks noChangeAspect="1"/>
            </wp:cNvGraphicFramePr>
            <a:graphic>
              <a:graphicData uri="http://schemas.openxmlformats.org/drawingml/2006/picture">
                <pic:pic>
                  <pic:nvPicPr>
                    <pic:cNvPr id="0" name="fig-reports.png"/>
                    <pic:cNvPicPr/>
                  </pic:nvPicPr>
                  <pic:blipFill>
                    <a:blip r:embed="rId24"/>
                    <a:stretch>
                      <a:fillRect/>
                    </a:stretch>
                  </pic:blipFill>
                  <pic:spPr>
                    <a:xfrm>
                      <a:off x="0" y="0"/>
                      <a:ext cx="5688000" cy="3555000"/>
                    </a:xfrm>
                    <a:prstGeom prst="rect"/>
                  </pic:spPr>
                </pic:pic>
              </a:graphicData>
            </a:graphic>
          </wp:inline>
        </w:drawing>
      </w:r>
    </w:p>
    <w:p>
      <w:pPr>
        <w:spacing w:after="240"/>
        <w:jc w:val="center"/>
      </w:pPr>
      <w:r>
        <w:rPr>
          <w:rFonts w:ascii="Arial" w:hAnsi="Arial"/>
          <w:b/>
          <w:color w:val="381A89"/>
          <w:sz w:val="18"/>
        </w:rPr>
        <w:t xml:space="preserve">Figure 14. </w:t>
      </w:r>
      <w:r>
        <w:rPr>
          <w:rFonts w:ascii="Arial" w:hAnsi="Arial"/>
          <w:color w:val="55516B"/>
          <w:sz w:val="18"/>
        </w:rPr>
        <w:t>The report register. Each report records its own SHA-256 and the SHA-256 of the document it describes, together with the pipeline and rules versions in force.</w:t>
      </w:r>
    </w:p>
    <w:sectPr w:rsidR="00FC693F" w:rsidRPr="0006063C" w:rsidSect="00034616">
      <w:headerReference w:type="default" r:id="rId9"/>
      <w:footerReference w:type="default" r:id="rId10"/>
      <w:pgSz w:w="11906" w:h="16838"/>
      <w:pgMar w:top="1361" w:right="1247" w:bottom="1247" w:left="147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16B"/>
        <w:sz w:val="17"/>
      </w:rPr>
      <w:t xml:space="preserve">Page </w:t>
    </w:r>
    <w:r>
      <w:rPr>
        <w:rFonts w:ascii="Arial" w:hAnsi="Arial"/>
        <w:color w:val="55516B"/>
        <w:sz w:val="17"/>
      </w:rPr>
      <w:fldChar w:fldCharType="begin"/>
      <w:instrText xml:space="preserve">PAGE</w:instrText>
      <w:fldChar w:fldCharType="separate"/>
      <w:t>1</w:t>
      <w:fldChar w:fldCharType="end"/>
    </w:r>
    <w:r>
      <w:rPr>
        <w:rFonts w:ascii="Arial" w:hAnsi="Arial"/>
        <w:color w:val="55516B"/>
        <w:sz w:val="17"/>
      </w:rPr>
      <w:t xml:space="preserve"> of </w:t>
    </w:r>
    <w:r>
      <w:rPr>
        <w:rFonts w:ascii="Arial" w:hAnsi="Arial"/>
        <w:color w:val="55516B"/>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16B"/>
        <w:sz w:val="16"/>
      </w:rPr>
      <w:t>VeriDoc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Times New Roman" w:hAnsi="Times New Roman" w:eastAsia="Times New Roman"/>
      <w:color w:val="1A1726"/>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Arial" w:hAnsi="Arial" w:eastAsia="Arial"/>
      <w:b/>
      <w:bCs/>
      <w:i w:val="0"/>
      <w:color w:val="381A89"/>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rial" w:hAnsi="Arial" w:eastAsia="Arial"/>
      <w:b/>
      <w:bCs/>
      <w:i w:val="0"/>
      <w:color w:val="381A89"/>
      <w:sz w:val="27"/>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eastAsia="Arial"/>
      <w:b/>
      <w:bCs/>
      <w:i w:val="0"/>
      <w:color w:val="1A1726"/>
      <w:sz w:val="24"/>
    </w:rPr>
  </w:style>
  <w:style w:type="paragraph" w:styleId="Heading4">
    <w:name w:val="heading 4"/>
    <w:basedOn w:val="Normal"/>
    <w:next w:val="Normal"/>
    <w:link w:val="Heading4Char"/>
    <w:uiPriority w:val="9"/>
    <w:semiHidden/>
    <w:unhideWhenUsed/>
    <w:qFormat/>
    <w:rsid w:val="00FC693F"/>
    <w:pPr>
      <w:keepNext/>
      <w:keepLines/>
      <w:spacing w:before="220" w:after="120"/>
      <w:outlineLvl w:val="3"/>
    </w:pPr>
    <w:rPr>
      <w:rFonts w:asciiTheme="majorHAnsi" w:eastAsiaTheme="majorEastAsia" w:hAnsiTheme="majorHAnsi" w:cstheme="majorBidi" w:ascii="Arial" w:hAnsi="Arial" w:eastAsia="Arial"/>
      <w:b/>
      <w:bCs/>
      <w:i w:val="0"/>
      <w:iCs/>
      <w:color w:val="1A1726"/>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