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564308A" w:rsidP="4F940BA9" w:rsidRDefault="4564308A" w14:paraId="3EA1A4B1" w14:textId="4D120B3C">
      <w:pPr>
        <w:pStyle w:val="ListParagraph"/>
        <w:spacing w:after="0" w:line="240" w:lineRule="auto"/>
        <w:ind w:left="360"/>
        <w:jc w:val="both"/>
        <w:rPr>
          <w:rFonts w:ascii="Calibri" w:hAnsi="Calibri" w:eastAsia="Calibri" w:cs="Calibri"/>
          <w:b w:val="1"/>
          <w:bCs w:val="1"/>
          <w:sz w:val="20"/>
          <w:szCs w:val="20"/>
        </w:rPr>
      </w:pPr>
      <w:r w:rsidRPr="4F940BA9" w:rsidR="4564308A">
        <w:rPr>
          <w:rFonts w:ascii="Calibri" w:hAnsi="Calibri" w:eastAsia="Calibri" w:cs="Calibri"/>
          <w:b w:val="1"/>
          <w:bCs w:val="1"/>
          <w:sz w:val="20"/>
          <w:szCs w:val="20"/>
        </w:rPr>
        <w:t>Introduction:</w:t>
      </w:r>
    </w:p>
    <w:p w:rsidR="4564308A" w:rsidP="4F940BA9" w:rsidRDefault="4564308A" w14:paraId="0DB4A64C" w14:textId="45167473">
      <w:pPr>
        <w:spacing w:after="160" w:afterAutospacing="off" w:line="257" w:lineRule="auto"/>
        <w:ind w:left="-20" w:right="-20"/>
        <w:jc w:val="both"/>
        <w:rPr>
          <w:rFonts w:ascii="Calibri" w:hAnsi="Calibri" w:eastAsia="Calibri" w:cs="Calibri"/>
          <w:noProof w:val="0"/>
          <w:sz w:val="20"/>
          <w:szCs w:val="20"/>
          <w:lang w:val="en-US"/>
        </w:rPr>
      </w:pPr>
      <w:r w:rsidRPr="4F940BA9" w:rsidR="4564308A">
        <w:rPr>
          <w:rFonts w:ascii="Calibri" w:hAnsi="Calibri" w:eastAsia="Calibri" w:cs="Calibri" w:asciiTheme="minorAscii" w:hAnsiTheme="minorAscii" w:eastAsiaTheme="minorAscii" w:cstheme="minorBidi"/>
          <w:noProof w:val="0"/>
          <w:color w:val="auto"/>
          <w:sz w:val="20"/>
          <w:szCs w:val="20"/>
          <w:lang w:val="en-US" w:eastAsia="en-US" w:bidi="ar-SA"/>
        </w:rPr>
        <w:t xml:space="preserve">Data envelopment analysis has been playing an important role in identifying the optimal structure for bolstering efficiency in the bank sectors. This methodology is very suitable for a country that is experiencing the restructuration in financial industry, such as China. </w:t>
      </w:r>
      <w:r w:rsidRPr="4F940BA9" w:rsidR="4564308A">
        <w:rPr>
          <w:rFonts w:ascii="Calibri" w:hAnsi="Calibri" w:eastAsia="Calibri" w:cs="Calibri" w:asciiTheme="minorAscii" w:hAnsiTheme="minorAscii" w:eastAsiaTheme="minorAscii" w:cstheme="minorBidi"/>
          <w:noProof w:val="0"/>
          <w:color w:val="auto"/>
          <w:sz w:val="20"/>
          <w:szCs w:val="20"/>
          <w:lang w:val="en-US" w:eastAsia="en-US" w:bidi="ar-SA"/>
        </w:rPr>
        <w:t>An et al., (2015) highlighted the growing number of foreign banks in Chinese industry has heightened the competitive pressure for Chinese banks</w:t>
      </w:r>
      <w:r w:rsidRPr="4F940BA9" w:rsidR="4564308A">
        <w:rPr>
          <w:rFonts w:ascii="Calibri" w:hAnsi="Calibri" w:eastAsia="Calibri" w:cs="Calibri" w:asciiTheme="minorAscii" w:hAnsiTheme="minorAscii" w:eastAsiaTheme="minorAscii" w:cstheme="minorBidi"/>
          <w:noProof w:val="0"/>
          <w:color w:val="auto"/>
          <w:sz w:val="20"/>
          <w:szCs w:val="20"/>
          <w:lang w:val="en-US" w:eastAsia="en-US" w:bidi="ar-SA"/>
        </w:rPr>
        <w:t>. Hence, the Chinese banks are experiencing a restructuring process to find which sectors and factors are influencing their efficiency to meet the burgeoning modernizing economy needs. This paper uses Data envelopment analysis (DEA) to examine the profiles of commercial banks in China during the pivotal period. This study examines various DEA methodologies to classify Chinese banks’ performance within some context including, technology, regulation, and global financial crisis. The forthcoming sections are organized discussing the literature review, the models, analysis and critical reasoning to highlight essential strategies for Chinese banks in navigating the internal and international economic pressure.</w:t>
      </w:r>
    </w:p>
    <w:p w:rsidR="046C8EED" w:rsidP="4F940BA9" w:rsidRDefault="046C8EED" w14:paraId="6F868AF7" w14:textId="62868F16">
      <w:pPr>
        <w:pStyle w:val="ListParagraph"/>
        <w:spacing w:after="0" w:line="240" w:lineRule="auto"/>
        <w:ind w:left="360"/>
        <w:jc w:val="both"/>
        <w:rPr>
          <w:rFonts w:ascii="Calibri" w:hAnsi="Calibri" w:eastAsia="Calibri" w:cs="Calibri"/>
          <w:b w:val="1"/>
          <w:bCs w:val="1"/>
          <w:sz w:val="20"/>
          <w:szCs w:val="20"/>
        </w:rPr>
      </w:pPr>
      <w:r w:rsidRPr="4F940BA9" w:rsidR="046C8EED">
        <w:rPr>
          <w:rFonts w:ascii="Calibri" w:hAnsi="Calibri" w:eastAsia="Calibri" w:cs="Calibri"/>
          <w:b w:val="1"/>
          <w:bCs w:val="1"/>
          <w:sz w:val="20"/>
          <w:szCs w:val="20"/>
        </w:rPr>
        <w:t>Table 1:</w:t>
      </w:r>
    </w:p>
    <w:p w:rsidR="046C8EED" w:rsidP="4F940BA9" w:rsidRDefault="046C8EED" w14:paraId="06552204" w14:textId="645193C1">
      <w:pPr>
        <w:spacing w:after="160" w:afterAutospacing="off" w:line="257" w:lineRule="auto"/>
        <w:ind w:left="-20" w:right="-20"/>
        <w:jc w:val="both"/>
        <w:rPr>
          <w:rFonts w:ascii="Calibri" w:hAnsi="Calibri" w:eastAsia="Calibri" w:cs="Calibri" w:asciiTheme="minorAscii" w:hAnsiTheme="minorAscii" w:eastAsiaTheme="minorAscii" w:cstheme="minorBidi"/>
          <w:noProof w:val="0"/>
          <w:color w:val="auto"/>
          <w:sz w:val="20"/>
          <w:szCs w:val="20"/>
          <w:lang w:val="en-US" w:eastAsia="en-US" w:bidi="ar-SA"/>
        </w:rPr>
      </w:pPr>
      <w:r w:rsidRPr="4F940BA9" w:rsidR="046C8EED">
        <w:rPr>
          <w:rFonts w:ascii="Calibri" w:hAnsi="Calibri" w:eastAsia="Calibri" w:cs="Calibri" w:asciiTheme="minorAscii" w:hAnsiTheme="minorAscii" w:eastAsiaTheme="minorAscii" w:cstheme="minorBidi"/>
          <w:noProof w:val="0"/>
          <w:color w:val="auto"/>
          <w:sz w:val="20"/>
          <w:szCs w:val="20"/>
          <w:lang w:val="en-US" w:eastAsia="en-US" w:bidi="ar-SA"/>
        </w:rPr>
        <w:t xml:space="preserve">First of all, in dynamic condition of commercial Chinese bank, each paper has different characteristic and problem. pivotal question of how deregulation and bank size have sculpted the operational efficiency of China's major banks, as examined by Chen, Skully, and Brown (2005). Their quest for understanding is shared by Wang et al. (2014), who delve into the evolution of efficiency over time. These papers foundational works are set the stage for comprehending the reference point used to calculate the efficiency of the sector. Another research problem is discussing the strategic management of risks and assets. Matthews (2013) and Du, Worthington, and Zelenyuk (2018) discuss the critical role that risk management practices and asset diversification play in shaping income efficiency and the overall financial health of banks. </w:t>
      </w:r>
    </w:p>
    <w:p w:rsidR="046C8EED" w:rsidP="4F940BA9" w:rsidRDefault="046C8EED" w14:paraId="712662D2" w14:textId="3072F099">
      <w:pPr>
        <w:spacing w:after="160" w:afterAutospacing="off" w:line="257" w:lineRule="auto"/>
        <w:ind w:left="-20" w:right="-20"/>
        <w:jc w:val="both"/>
        <w:rPr>
          <w:rFonts w:ascii="Calibri" w:hAnsi="Calibri" w:eastAsia="Calibri" w:cs="Calibri" w:asciiTheme="minorAscii" w:hAnsiTheme="minorAscii" w:eastAsiaTheme="minorAscii" w:cstheme="minorBidi"/>
          <w:noProof w:val="0"/>
          <w:color w:val="auto"/>
          <w:sz w:val="20"/>
          <w:szCs w:val="20"/>
          <w:lang w:val="en-US" w:eastAsia="en-US" w:bidi="ar-SA"/>
        </w:rPr>
      </w:pPr>
      <w:r w:rsidRPr="4F940BA9" w:rsidR="046C8EED">
        <w:rPr>
          <w:rFonts w:ascii="Calibri" w:hAnsi="Calibri" w:eastAsia="Calibri" w:cs="Calibri" w:asciiTheme="minorAscii" w:hAnsiTheme="minorAscii" w:eastAsiaTheme="minorAscii" w:cstheme="minorBidi"/>
          <w:noProof w:val="0"/>
          <w:color w:val="auto"/>
          <w:sz w:val="20"/>
          <w:szCs w:val="20"/>
          <w:lang w:val="en-US" w:eastAsia="en-US" w:bidi="ar-SA"/>
        </w:rPr>
        <w:t>The narrative then shifts to the operational research problem that are faced by the commercial banks in china, discussed by Liu, Yang, and Wu (2020) and Shi, Wang, and Emrouznejad (2023). These papers are exploring the implications of technological heterogeneity and the management of undesirable outputs. These studies highlight the sector’s efforts to adapt to technological advancements and manage the complex modern bank operational system. Additionally, Wilson and Zhao (2023) provides insights how Chinese commercial banks have navigated uncertainty during global financial crisis and the subsequent economic stimulus.</w:t>
      </w:r>
    </w:p>
    <w:p w:rsidR="046C8EED" w:rsidP="4F940BA9" w:rsidRDefault="046C8EED" w14:paraId="3E7C3154" w14:textId="26511AFB">
      <w:pPr>
        <w:spacing w:after="160" w:afterAutospacing="off" w:line="257" w:lineRule="auto"/>
        <w:ind w:left="-20" w:right="-20"/>
        <w:jc w:val="both"/>
        <w:rPr>
          <w:rFonts w:ascii="Calibri" w:hAnsi="Calibri" w:eastAsia="Calibri" w:cs="Calibri" w:asciiTheme="minorAscii" w:hAnsiTheme="minorAscii" w:eastAsiaTheme="minorAscii" w:cstheme="minorBidi"/>
          <w:noProof w:val="0"/>
          <w:color w:val="auto"/>
          <w:sz w:val="20"/>
          <w:szCs w:val="20"/>
          <w:lang w:val="en-US" w:eastAsia="en-US" w:bidi="ar-SA"/>
        </w:rPr>
      </w:pPr>
      <w:r w:rsidRPr="4F940BA9" w:rsidR="046C8EED">
        <w:rPr>
          <w:rFonts w:ascii="Calibri" w:hAnsi="Calibri" w:eastAsia="Calibri" w:cs="Calibri" w:asciiTheme="minorAscii" w:hAnsiTheme="minorAscii" w:eastAsiaTheme="minorAscii" w:cstheme="minorBidi"/>
          <w:noProof w:val="0"/>
          <w:color w:val="auto"/>
          <w:sz w:val="20"/>
          <w:szCs w:val="20"/>
          <w:lang w:val="en-US" w:eastAsia="en-US" w:bidi="ar-SA"/>
        </w:rPr>
        <w:t>To sum up, the narrative of the article papers is not only highlights the Chinese banking sector’s journey towards efficiency but also underscores the strategic imperatives required to thrive in an ever-competitive global environment.</w:t>
      </w:r>
    </w:p>
    <w:p w:rsidR="4F940BA9" w:rsidP="4F940BA9" w:rsidRDefault="4F940BA9" w14:paraId="4D50D5AA" w14:textId="24EFFC00">
      <w:pPr>
        <w:pStyle w:val="ListParagraph"/>
        <w:spacing w:after="0" w:line="240" w:lineRule="auto"/>
        <w:ind w:left="360"/>
        <w:jc w:val="both"/>
        <w:rPr>
          <w:rFonts w:ascii="Calibri" w:hAnsi="Calibri" w:eastAsia="Calibri" w:cs="Calibri"/>
          <w:b w:val="1"/>
          <w:bCs w:val="1"/>
          <w:sz w:val="20"/>
          <w:szCs w:val="20"/>
        </w:rPr>
      </w:pPr>
    </w:p>
    <w:p w:rsidR="4F940BA9" w:rsidP="4F940BA9" w:rsidRDefault="4F940BA9" w14:paraId="0A4B2324" w14:textId="6505D27F">
      <w:pPr>
        <w:pStyle w:val="ListParagraph"/>
        <w:spacing w:after="0" w:line="240" w:lineRule="auto"/>
        <w:ind w:left="360"/>
        <w:jc w:val="both"/>
        <w:rPr>
          <w:rFonts w:ascii="Calibri" w:hAnsi="Calibri" w:eastAsia="Calibri" w:cs="Calibri"/>
          <w:b w:val="1"/>
          <w:bCs w:val="1"/>
          <w:sz w:val="20"/>
          <w:szCs w:val="20"/>
        </w:rPr>
      </w:pPr>
    </w:p>
    <w:p w:rsidRPr="00CE5391" w:rsidR="002101FF" w:rsidP="002101FF" w:rsidRDefault="002101FF" w14:paraId="4803D7E0" w14:textId="77777777">
      <w:pPr>
        <w:pStyle w:val="ListParagraph"/>
        <w:spacing w:after="0" w:line="240" w:lineRule="auto"/>
        <w:ind w:left="360"/>
        <w:jc w:val="both"/>
        <w:rPr>
          <w:rFonts w:ascii="Calibri" w:hAnsi="Calibri" w:eastAsia="Calibri" w:cs="Calibri"/>
          <w:sz w:val="20"/>
          <w:szCs w:val="20"/>
        </w:rPr>
      </w:pPr>
      <w:r w:rsidRPr="00CE5391">
        <w:rPr>
          <w:rFonts w:ascii="Calibri" w:hAnsi="Calibri" w:eastAsia="Calibri" w:cs="Calibri"/>
          <w:b/>
          <w:bCs/>
          <w:sz w:val="20"/>
          <w:szCs w:val="20"/>
        </w:rPr>
        <w:t>Table 1:</w:t>
      </w:r>
      <w:r w:rsidRPr="00CE5391">
        <w:rPr>
          <w:rFonts w:ascii="Calibri" w:hAnsi="Calibri" w:eastAsia="Calibri" w:cs="Calibri"/>
          <w:sz w:val="20"/>
          <w:szCs w:val="20"/>
        </w:rPr>
        <w:t xml:space="preserve"> </w:t>
      </w:r>
      <w:r w:rsidRPr="00CE5391">
        <w:rPr>
          <w:rFonts w:ascii="Calibri" w:hAnsi="Calibri" w:eastAsia="Calibri" w:cs="Calibri"/>
          <w:sz w:val="20"/>
          <w:szCs w:val="20"/>
          <w:u w:val="single"/>
        </w:rPr>
        <w:t>Summary of research problems and/or questions</w:t>
      </w:r>
      <w:r w:rsidRPr="00CE5391">
        <w:rPr>
          <w:rFonts w:ascii="Calibri" w:hAnsi="Calibri" w:eastAsia="Calibri" w:cs="Calibri"/>
          <w:sz w:val="20"/>
          <w:szCs w:val="20"/>
        </w:rPr>
        <w:t xml:space="preserve"> (guidelines: analyse this table by type of research problem or question(s) and classify them, and discuss such classification(s) in the main text) </w:t>
      </w:r>
    </w:p>
    <w:tbl>
      <w:tblPr>
        <w:tblStyle w:val="TableGrid"/>
        <w:tblW w:w="4810" w:type="pct"/>
        <w:tblInd w:w="355" w:type="dxa"/>
        <w:tblLook w:val="04A0" w:firstRow="1" w:lastRow="0" w:firstColumn="1" w:lastColumn="0" w:noHBand="0" w:noVBand="1"/>
      </w:tblPr>
      <w:tblGrid>
        <w:gridCol w:w="899"/>
        <w:gridCol w:w="1981"/>
        <w:gridCol w:w="6115"/>
      </w:tblGrid>
      <w:tr w:rsidRPr="00611F08" w:rsidR="00134D53" w:rsidTr="4F940BA9" w14:paraId="200614A2" w14:textId="77777777">
        <w:trPr>
          <w:trHeight w:val="284"/>
        </w:trPr>
        <w:tc>
          <w:tcPr>
            <w:tcW w:w="500" w:type="pct"/>
            <w:tcMar/>
          </w:tcPr>
          <w:p w:rsidRPr="00611F08" w:rsidR="00134D53" w:rsidP="00BD1418" w:rsidRDefault="00134D53" w14:paraId="6E3D0E79" w14:textId="52AAA441">
            <w:pPr>
              <w:jc w:val="center"/>
              <w:rPr>
                <w:rFonts w:hint="eastAsia" w:cs="Calibri"/>
                <w:b/>
                <w:bCs/>
                <w:sz w:val="20"/>
                <w:szCs w:val="20"/>
              </w:rPr>
            </w:pPr>
            <w:r>
              <w:rPr>
                <w:rFonts w:cs="Calibri"/>
                <w:b/>
                <w:bCs/>
                <w:sz w:val="20"/>
                <w:szCs w:val="20"/>
              </w:rPr>
              <w:t>Paper #</w:t>
            </w:r>
          </w:p>
        </w:tc>
        <w:tc>
          <w:tcPr>
            <w:tcW w:w="1101" w:type="pct"/>
            <w:tcMar/>
          </w:tcPr>
          <w:p w:rsidRPr="00611F08" w:rsidR="00134D53" w:rsidP="00BD1418" w:rsidRDefault="00134D53" w14:paraId="567D99B2" w14:textId="66914626">
            <w:pPr>
              <w:jc w:val="center"/>
              <w:rPr>
                <w:rFonts w:hint="eastAsia" w:cs="Calibri"/>
                <w:b/>
                <w:bCs/>
                <w:sz w:val="20"/>
                <w:szCs w:val="20"/>
              </w:rPr>
            </w:pPr>
            <w:r w:rsidRPr="00611F08">
              <w:rPr>
                <w:rFonts w:cs="Calibri"/>
                <w:b/>
                <w:bCs/>
                <w:sz w:val="20"/>
                <w:szCs w:val="20"/>
              </w:rPr>
              <w:t>Reference</w:t>
            </w:r>
          </w:p>
        </w:tc>
        <w:tc>
          <w:tcPr>
            <w:tcW w:w="3399" w:type="pct"/>
            <w:tcMar/>
          </w:tcPr>
          <w:p w:rsidRPr="00611F08" w:rsidR="00134D53" w:rsidP="00BD1418" w:rsidRDefault="00134D53" w14:paraId="2B7E1C07" w14:textId="77777777">
            <w:pPr>
              <w:jc w:val="center"/>
              <w:rPr>
                <w:rFonts w:hint="eastAsia" w:cs="Calibri"/>
                <w:b/>
                <w:bCs/>
                <w:sz w:val="20"/>
                <w:szCs w:val="20"/>
              </w:rPr>
            </w:pPr>
            <w:r w:rsidRPr="00611F08">
              <w:rPr>
                <w:rFonts w:cs="Calibri"/>
                <w:b/>
                <w:bCs/>
                <w:sz w:val="20"/>
                <w:szCs w:val="20"/>
              </w:rPr>
              <w:t>Research Problem(s) / Question(s)</w:t>
            </w:r>
          </w:p>
        </w:tc>
      </w:tr>
      <w:tr w:rsidR="2B7FFB25" w:rsidTr="4F940BA9" w14:paraId="207613AB" w14:textId="77777777">
        <w:trPr>
          <w:trHeight w:val="284"/>
        </w:trPr>
        <w:tc>
          <w:tcPr>
            <w:tcW w:w="899" w:type="dxa"/>
            <w:tcMar/>
          </w:tcPr>
          <w:p w:rsidR="7F273734" w:rsidP="2B7FFB25" w:rsidRDefault="7F273734" w14:paraId="4B5FF524" w14:textId="10175DA6">
            <w:pPr>
              <w:jc w:val="center"/>
              <w:rPr>
                <w:rFonts w:hint="eastAsia"/>
                <w:sz w:val="20"/>
                <w:szCs w:val="20"/>
              </w:rPr>
            </w:pPr>
            <w:r w:rsidRPr="2B7FFB25">
              <w:rPr>
                <w:sz w:val="20"/>
                <w:szCs w:val="20"/>
              </w:rPr>
              <w:t>3</w:t>
            </w:r>
          </w:p>
        </w:tc>
        <w:tc>
          <w:tcPr>
            <w:tcW w:w="1981" w:type="dxa"/>
            <w:tcMar/>
          </w:tcPr>
          <w:p w:rsidR="7F273734" w:rsidP="2B7FFB25" w:rsidRDefault="7F273734" w14:paraId="0D1A0BD1" w14:textId="3EF23FF9">
            <w:pPr>
              <w:jc w:val="center"/>
              <w:rPr>
                <w:rFonts w:hint="eastAsia"/>
              </w:rPr>
            </w:pPr>
            <w:r w:rsidRPr="2B7FFB25">
              <w:rPr>
                <w:rFonts w:ascii="Aptos" w:hAnsi="Aptos" w:eastAsia="Aptos" w:cs="Aptos"/>
                <w:color w:val="000000" w:themeColor="text1"/>
                <w:sz w:val="19"/>
                <w:szCs w:val="19"/>
              </w:rPr>
              <w:t>Xiaogang Chen, Michael Skully, and Kym Brown (2005)</w:t>
            </w:r>
          </w:p>
        </w:tc>
        <w:tc>
          <w:tcPr>
            <w:tcW w:w="6115" w:type="dxa"/>
            <w:tcMar/>
          </w:tcPr>
          <w:p w:rsidR="7F273734" w:rsidP="2B7FFB25" w:rsidRDefault="7F273734" w14:paraId="55B6D5D7" w14:textId="0287194F">
            <w:pPr>
              <w:jc w:val="center"/>
              <w:rPr>
                <w:rFonts w:hint="eastAsia"/>
              </w:rPr>
            </w:pPr>
            <w:r w:rsidRPr="2B7FFB25">
              <w:rPr>
                <w:rFonts w:ascii="Aptos" w:hAnsi="Aptos" w:eastAsia="Aptos" w:cs="Aptos"/>
                <w:color w:val="000000" w:themeColor="text1"/>
                <w:sz w:val="19"/>
                <w:szCs w:val="19"/>
              </w:rPr>
              <w:t>The paper investigates how the efficiency of major Chinese banks evolved, particularly after the financial deregulation in 1995. It aims to determine if deregulation led to improved efficiency and whether bank size influences efficiency levels</w:t>
            </w:r>
          </w:p>
        </w:tc>
      </w:tr>
      <w:tr w:rsidR="2B7FFB25" w:rsidTr="4F940BA9" w14:paraId="5BD04900" w14:textId="77777777">
        <w:trPr>
          <w:trHeight w:val="284"/>
        </w:trPr>
        <w:tc>
          <w:tcPr>
            <w:tcW w:w="899" w:type="dxa"/>
            <w:tcMar/>
          </w:tcPr>
          <w:p w:rsidR="2B7FFB25" w:rsidP="2B7FFB25" w:rsidRDefault="2B7FFB25" w14:paraId="62FA2855" w14:textId="58B2A65F">
            <w:pPr>
              <w:jc w:val="center"/>
              <w:rPr>
                <w:rFonts w:hint="eastAsia" w:cs="Calibri"/>
                <w:sz w:val="20"/>
                <w:szCs w:val="20"/>
                <w:lang w:eastAsia="zh-CN"/>
              </w:rPr>
            </w:pPr>
            <w:r w:rsidRPr="2B7FFB25">
              <w:rPr>
                <w:rFonts w:cs="Calibri"/>
                <w:sz w:val="20"/>
                <w:szCs w:val="20"/>
                <w:lang w:eastAsia="zh-CN"/>
              </w:rPr>
              <w:t>5</w:t>
            </w:r>
          </w:p>
        </w:tc>
        <w:tc>
          <w:tcPr>
            <w:tcW w:w="1981" w:type="dxa"/>
            <w:tcMar/>
          </w:tcPr>
          <w:p w:rsidR="2B7FFB25" w:rsidP="2B7FFB25" w:rsidRDefault="2B7FFB25" w14:paraId="0C432F47" w14:textId="3ED6EF29">
            <w:pPr>
              <w:jc w:val="center"/>
              <w:rPr>
                <w:rFonts w:hint="eastAsia" w:cs="Calibri"/>
                <w:sz w:val="20"/>
                <w:szCs w:val="20"/>
                <w:lang w:eastAsia="zh-CN"/>
              </w:rPr>
            </w:pPr>
            <w:r w:rsidRPr="2B7FFB25">
              <w:rPr>
                <w:rFonts w:cs="Calibri"/>
                <w:sz w:val="20"/>
                <w:szCs w:val="20"/>
                <w:lang w:eastAsia="zh-CN"/>
              </w:rPr>
              <w:t>Matthews (2013)</w:t>
            </w:r>
          </w:p>
        </w:tc>
        <w:tc>
          <w:tcPr>
            <w:tcW w:w="6115" w:type="dxa"/>
            <w:tcMar/>
          </w:tcPr>
          <w:p w:rsidR="2B7FFB25" w:rsidP="2B7FFB25" w:rsidRDefault="2B7FFB25" w14:paraId="7049DE32" w14:textId="77777777">
            <w:pPr>
              <w:jc w:val="center"/>
              <w:rPr>
                <w:rFonts w:hint="eastAsia" w:cs="Calibri"/>
                <w:sz w:val="20"/>
                <w:szCs w:val="20"/>
              </w:rPr>
            </w:pPr>
            <w:r w:rsidRPr="2B7FFB25">
              <w:rPr>
                <w:rFonts w:cs="Calibri"/>
                <w:sz w:val="20"/>
                <w:szCs w:val="20"/>
              </w:rPr>
              <w:t>How risk management practices influence the income efficiency of Chinese banks.</w:t>
            </w:r>
          </w:p>
        </w:tc>
      </w:tr>
      <w:tr w:rsidR="2B7FFB25" w:rsidTr="4F940BA9" w14:paraId="1ACA385F" w14:textId="77777777">
        <w:trPr>
          <w:trHeight w:val="284"/>
        </w:trPr>
        <w:tc>
          <w:tcPr>
            <w:tcW w:w="899" w:type="dxa"/>
            <w:tcMar/>
          </w:tcPr>
          <w:p w:rsidR="7F273734" w:rsidP="2B7FFB25" w:rsidRDefault="7F273734" w14:paraId="45736A1F" w14:textId="4623DD47">
            <w:pPr>
              <w:jc w:val="center"/>
              <w:rPr>
                <w:rFonts w:hint="eastAsia"/>
                <w:sz w:val="20"/>
                <w:szCs w:val="20"/>
              </w:rPr>
            </w:pPr>
            <w:r w:rsidRPr="2B7FFB25">
              <w:rPr>
                <w:sz w:val="20"/>
                <w:szCs w:val="20"/>
              </w:rPr>
              <w:t>8</w:t>
            </w:r>
          </w:p>
        </w:tc>
        <w:tc>
          <w:tcPr>
            <w:tcW w:w="1981" w:type="dxa"/>
            <w:tcMar/>
          </w:tcPr>
          <w:p w:rsidR="7F273734" w:rsidP="2B7FFB25" w:rsidRDefault="7F273734" w14:paraId="5E43CD1C" w14:textId="761BB89A">
            <w:pPr>
              <w:spacing w:before="240" w:after="240"/>
              <w:jc w:val="center"/>
              <w:rPr>
                <w:rFonts w:hint="eastAsia"/>
              </w:rPr>
            </w:pPr>
            <w:r w:rsidRPr="2B7FFB25">
              <w:rPr>
                <w:rFonts w:ascii="Aptos" w:hAnsi="Aptos" w:eastAsia="Aptos" w:cs="Aptos"/>
                <w:color w:val="000000" w:themeColor="text1"/>
                <w:sz w:val="19"/>
                <w:szCs w:val="19"/>
              </w:rPr>
              <w:t>Xiaohong Liu, Feng Yang, Jie Wu (2020)</w:t>
            </w:r>
          </w:p>
        </w:tc>
        <w:tc>
          <w:tcPr>
            <w:tcW w:w="6115" w:type="dxa"/>
            <w:tcMar/>
          </w:tcPr>
          <w:p w:rsidR="7F273734" w:rsidP="2B7FFB25" w:rsidRDefault="7F273734" w14:paraId="4B7B6E74" w14:textId="720B5D67">
            <w:pPr>
              <w:jc w:val="center"/>
              <w:rPr>
                <w:rFonts w:hint="eastAsia"/>
              </w:rPr>
            </w:pPr>
            <w:r w:rsidRPr="2B7FFB25">
              <w:rPr>
                <w:rFonts w:ascii="Aptos" w:hAnsi="Aptos" w:eastAsia="Aptos" w:cs="Aptos"/>
                <w:color w:val="000000" w:themeColor="text1"/>
                <w:sz w:val="19"/>
                <w:szCs w:val="19"/>
              </w:rPr>
              <w:t>Evaluating performance of Chinese commercial banks using DEA, considering operational technology heterogeneity, measuring the degree of this heterogeneity, targeting intermediate variables of banks, and representing weak disposability of undesirable outputs</w:t>
            </w:r>
          </w:p>
        </w:tc>
      </w:tr>
      <w:tr w:rsidRPr="00611F08" w:rsidR="00134D53" w:rsidTr="4F940BA9" w14:paraId="565F8D99" w14:textId="77777777">
        <w:trPr>
          <w:trHeight w:val="284"/>
        </w:trPr>
        <w:tc>
          <w:tcPr>
            <w:tcW w:w="500" w:type="pct"/>
            <w:tcMar/>
          </w:tcPr>
          <w:p w:rsidRPr="00611F08" w:rsidR="00134D53" w:rsidP="00BD1418" w:rsidRDefault="0024630E" w14:paraId="5A5761FC" w14:textId="32E73C61">
            <w:pPr>
              <w:jc w:val="center"/>
              <w:rPr>
                <w:rFonts w:hint="eastAsia"/>
                <w:sz w:val="20"/>
                <w:szCs w:val="20"/>
              </w:rPr>
            </w:pPr>
            <w:r>
              <w:rPr>
                <w:sz w:val="20"/>
                <w:szCs w:val="20"/>
              </w:rPr>
              <w:t>10</w:t>
            </w:r>
          </w:p>
        </w:tc>
        <w:tc>
          <w:tcPr>
            <w:tcW w:w="1101" w:type="pct"/>
            <w:tcMar/>
          </w:tcPr>
          <w:p w:rsidRPr="00611F08" w:rsidR="00134D53" w:rsidP="00BD1418" w:rsidRDefault="00134D53" w14:paraId="24524765" w14:textId="34451C31">
            <w:pPr>
              <w:jc w:val="center"/>
              <w:rPr>
                <w:rFonts w:hint="eastAsia" w:cs="Calibri"/>
                <w:sz w:val="20"/>
                <w:szCs w:val="20"/>
                <w:lang w:eastAsia="zh-CN"/>
              </w:rPr>
            </w:pPr>
            <w:r w:rsidRPr="00611F08">
              <w:rPr>
                <w:sz w:val="20"/>
                <w:szCs w:val="20"/>
              </w:rPr>
              <w:t>Wilson and Zhao (2023)</w:t>
            </w:r>
          </w:p>
        </w:tc>
        <w:tc>
          <w:tcPr>
            <w:tcW w:w="3399" w:type="pct"/>
            <w:tcMar/>
          </w:tcPr>
          <w:p w:rsidRPr="00611F08" w:rsidR="00134D53" w:rsidP="00BD1418" w:rsidRDefault="00134D53" w14:paraId="0389BE8B" w14:textId="77777777">
            <w:pPr>
              <w:jc w:val="center"/>
              <w:rPr>
                <w:rFonts w:hint="eastAsia" w:cs="Calibri"/>
                <w:sz w:val="20"/>
                <w:szCs w:val="20"/>
              </w:rPr>
            </w:pPr>
            <w:r w:rsidRPr="00F830B6">
              <w:rPr>
                <w:rFonts w:cs="Calibri"/>
                <w:sz w:val="20"/>
                <w:szCs w:val="20"/>
              </w:rPr>
              <w:t>How did the performance of Chinese commercial banks change before, during, and after the 2007–2008 global financial crisis, and in response to China's stimulus plan between 2008 and 2010?</w:t>
            </w:r>
          </w:p>
        </w:tc>
      </w:tr>
      <w:tr w:rsidR="2B7FFB25" w:rsidTr="4F940BA9" w14:paraId="73B65810" w14:textId="77777777">
        <w:trPr>
          <w:trHeight w:val="284"/>
        </w:trPr>
        <w:tc>
          <w:tcPr>
            <w:tcW w:w="899" w:type="dxa"/>
            <w:tcMar/>
          </w:tcPr>
          <w:p w:rsidR="4FF77B4E" w:rsidP="2B7FFB25" w:rsidRDefault="4FF77B4E" w14:paraId="22BB1F05" w14:textId="48D733E1">
            <w:pPr>
              <w:jc w:val="center"/>
              <w:rPr>
                <w:rFonts w:hint="eastAsia"/>
                <w:sz w:val="20"/>
                <w:szCs w:val="20"/>
              </w:rPr>
            </w:pPr>
            <w:r w:rsidRPr="2B7FFB25">
              <w:rPr>
                <w:sz w:val="20"/>
                <w:szCs w:val="20"/>
              </w:rPr>
              <w:t>13</w:t>
            </w:r>
          </w:p>
        </w:tc>
        <w:tc>
          <w:tcPr>
            <w:tcW w:w="1981" w:type="dxa"/>
            <w:tcMar/>
          </w:tcPr>
          <w:p w:rsidR="4FF77B4E" w:rsidP="2B7FFB25" w:rsidRDefault="4FF77B4E" w14:paraId="4582F340" w14:textId="576A4C04">
            <w:pPr>
              <w:jc w:val="center"/>
              <w:rPr>
                <w:rFonts w:hint="eastAsia"/>
              </w:rPr>
            </w:pPr>
            <w:r w:rsidRPr="2B7FFB25">
              <w:rPr>
                <w:rFonts w:ascii="Aptos" w:hAnsi="Aptos" w:eastAsia="Aptos" w:cs="Aptos"/>
                <w:color w:val="000000" w:themeColor="text1"/>
                <w:sz w:val="19"/>
                <w:szCs w:val="19"/>
              </w:rPr>
              <w:t>Xiao Shi, Libo Wang, Ali Emrouznejad (2023)</w:t>
            </w:r>
          </w:p>
        </w:tc>
        <w:tc>
          <w:tcPr>
            <w:tcW w:w="6115" w:type="dxa"/>
            <w:tcMar/>
          </w:tcPr>
          <w:p w:rsidR="4FF77B4E" w:rsidP="2B7FFB25" w:rsidRDefault="4FF77B4E" w14:paraId="04F69C42" w14:textId="2F2AE860">
            <w:pPr>
              <w:jc w:val="center"/>
              <w:rPr>
                <w:rFonts w:hint="eastAsia"/>
              </w:rPr>
            </w:pPr>
            <w:r w:rsidRPr="2B7FFB25">
              <w:rPr>
                <w:rFonts w:ascii="Aptos" w:hAnsi="Aptos" w:eastAsia="Aptos" w:cs="Aptos"/>
                <w:color w:val="000000" w:themeColor="text1"/>
                <w:sz w:val="19"/>
                <w:szCs w:val="19"/>
              </w:rPr>
              <w:t>performance evaluation of Chinese commercial banks, considering the impact of bad/undesirable outputs. It proposes an improved slacks-based DEA model within a by-production framework</w:t>
            </w:r>
          </w:p>
        </w:tc>
      </w:tr>
      <w:tr w:rsidR="2B7FFB25" w:rsidTr="4F940BA9" w14:paraId="094498BA" w14:textId="77777777">
        <w:trPr>
          <w:trHeight w:val="284"/>
        </w:trPr>
        <w:tc>
          <w:tcPr>
            <w:tcW w:w="899" w:type="dxa"/>
            <w:tcMar/>
          </w:tcPr>
          <w:p w:rsidR="2B7FFB25" w:rsidP="2B7FFB25" w:rsidRDefault="2B7FFB25" w14:paraId="07B107AE" w14:textId="0D5AA516">
            <w:pPr>
              <w:jc w:val="center"/>
              <w:rPr>
                <w:rFonts w:hint="eastAsia" w:cs="Calibri"/>
                <w:sz w:val="20"/>
                <w:szCs w:val="20"/>
                <w:lang w:eastAsia="zh-CN"/>
              </w:rPr>
            </w:pPr>
            <w:r w:rsidRPr="2B7FFB25">
              <w:rPr>
                <w:rFonts w:cs="Calibri"/>
                <w:sz w:val="20"/>
                <w:szCs w:val="20"/>
                <w:lang w:eastAsia="zh-CN"/>
              </w:rPr>
              <w:t>15</w:t>
            </w:r>
          </w:p>
        </w:tc>
        <w:tc>
          <w:tcPr>
            <w:tcW w:w="1981" w:type="dxa"/>
            <w:tcMar/>
          </w:tcPr>
          <w:p w:rsidR="2B7FFB25" w:rsidP="2B7FFB25" w:rsidRDefault="2B7FFB25" w14:paraId="7691704C" w14:textId="55EA3784">
            <w:pPr>
              <w:jc w:val="center"/>
              <w:rPr>
                <w:rFonts w:hint="eastAsia" w:cs="Calibri"/>
                <w:sz w:val="20"/>
                <w:szCs w:val="20"/>
                <w:lang w:eastAsia="zh-CN"/>
              </w:rPr>
            </w:pPr>
            <w:r w:rsidRPr="2B7FFB25">
              <w:rPr>
                <w:rFonts w:cs="Calibri"/>
                <w:sz w:val="20"/>
                <w:szCs w:val="20"/>
                <w:lang w:eastAsia="zh-CN"/>
              </w:rPr>
              <w:t>Asmild and Matthews (2012)</w:t>
            </w:r>
          </w:p>
        </w:tc>
        <w:tc>
          <w:tcPr>
            <w:tcW w:w="6115" w:type="dxa"/>
            <w:tcMar/>
          </w:tcPr>
          <w:p w:rsidR="2B7FFB25" w:rsidP="2B7FFB25" w:rsidRDefault="2B7FFB25" w14:paraId="7B867A24" w14:textId="77777777">
            <w:pPr>
              <w:jc w:val="center"/>
              <w:rPr>
                <w:rFonts w:hint="eastAsia" w:cs="Calibri"/>
                <w:sz w:val="20"/>
                <w:szCs w:val="20"/>
              </w:rPr>
            </w:pPr>
            <w:r w:rsidRPr="2B7FFB25">
              <w:rPr>
                <w:rFonts w:cs="Calibri"/>
                <w:sz w:val="20"/>
                <w:szCs w:val="20"/>
              </w:rPr>
              <w:t>Efficiency patterns in Chinese banks, particularly differentiating between State Owned Banks (SOBs) and Joint Stock Banks (JSBs), using Multi-directional Efficiency Analysis (MEA)</w:t>
            </w:r>
          </w:p>
        </w:tc>
      </w:tr>
      <w:tr w:rsidR="2B7FFB25" w:rsidTr="4F940BA9" w14:paraId="44231379" w14:textId="77777777">
        <w:trPr>
          <w:trHeight w:val="284"/>
        </w:trPr>
        <w:tc>
          <w:tcPr>
            <w:tcW w:w="899" w:type="dxa"/>
            <w:tcMar/>
          </w:tcPr>
          <w:p w:rsidR="4FF77B4E" w:rsidP="2B7FFB25" w:rsidRDefault="4FF77B4E" w14:paraId="0F102287" w14:textId="71001F3D">
            <w:pPr>
              <w:jc w:val="center"/>
              <w:rPr>
                <w:rFonts w:hint="eastAsia" w:cs="Calibri"/>
                <w:sz w:val="20"/>
                <w:szCs w:val="20"/>
                <w:lang w:eastAsia="zh-CN"/>
              </w:rPr>
            </w:pPr>
            <w:r w:rsidRPr="2B7FFB25">
              <w:rPr>
                <w:rFonts w:cs="Calibri"/>
                <w:sz w:val="20"/>
                <w:szCs w:val="20"/>
                <w:lang w:eastAsia="zh-CN"/>
              </w:rPr>
              <w:t>18</w:t>
            </w:r>
          </w:p>
        </w:tc>
        <w:tc>
          <w:tcPr>
            <w:tcW w:w="1981" w:type="dxa"/>
            <w:tcMar/>
          </w:tcPr>
          <w:p w:rsidR="4FF77B4E" w:rsidP="2B7FFB25" w:rsidRDefault="4FF77B4E" w14:paraId="38736497" w14:textId="483475D2">
            <w:pPr>
              <w:jc w:val="center"/>
              <w:rPr>
                <w:rFonts w:hint="eastAsia"/>
              </w:rPr>
            </w:pPr>
            <w:r w:rsidRPr="2B7FFB25">
              <w:rPr>
                <w:rFonts w:ascii="Aptos" w:hAnsi="Aptos" w:eastAsia="Aptos" w:cs="Aptos"/>
                <w:color w:val="000000" w:themeColor="text1"/>
                <w:sz w:val="19"/>
                <w:szCs w:val="19"/>
              </w:rPr>
              <w:t>Kai Du, Andrew C. Worthington, Valentin Zelenyuk (2018)</w:t>
            </w:r>
          </w:p>
        </w:tc>
        <w:tc>
          <w:tcPr>
            <w:tcW w:w="6115" w:type="dxa"/>
            <w:tcMar/>
          </w:tcPr>
          <w:p w:rsidR="4FF77B4E" w:rsidP="2B7FFB25" w:rsidRDefault="4FF77B4E" w14:paraId="58397217" w14:textId="6D784237">
            <w:pPr>
              <w:jc w:val="center"/>
              <w:rPr>
                <w:rFonts w:hint="eastAsia"/>
              </w:rPr>
            </w:pPr>
            <w:r w:rsidRPr="2B7FFB25">
              <w:rPr>
                <w:rFonts w:ascii="Aptos" w:hAnsi="Aptos" w:eastAsia="Aptos" w:cs="Aptos"/>
                <w:color w:val="000000" w:themeColor="text1"/>
                <w:sz w:val="19"/>
                <w:szCs w:val="19"/>
              </w:rPr>
              <w:t>The study investigates the impact of earning asset diversification on Chinese bank efficiency from 2006 to 2011, adapting a two-stage DEA approach to a panel data setting.</w:t>
            </w:r>
          </w:p>
        </w:tc>
      </w:tr>
      <w:tr w:rsidRPr="00611F08" w:rsidR="00134D53" w:rsidTr="4F940BA9" w14:paraId="4CB2F873" w14:textId="77777777">
        <w:trPr>
          <w:trHeight w:val="284"/>
        </w:trPr>
        <w:tc>
          <w:tcPr>
            <w:tcW w:w="500" w:type="pct"/>
            <w:tcMar/>
          </w:tcPr>
          <w:p w:rsidRPr="009B153E" w:rsidR="00134D53" w:rsidP="00BD1418" w:rsidRDefault="001E5681" w14:paraId="6F4588FD" w14:textId="460968A9">
            <w:pPr>
              <w:jc w:val="center"/>
              <w:rPr>
                <w:rFonts w:hint="eastAsia" w:cs="Calibri"/>
                <w:sz w:val="20"/>
                <w:szCs w:val="20"/>
                <w:lang w:eastAsia="zh-CN"/>
              </w:rPr>
            </w:pPr>
            <w:r>
              <w:rPr>
                <w:rFonts w:cs="Calibri"/>
                <w:sz w:val="20"/>
                <w:szCs w:val="20"/>
                <w:lang w:eastAsia="zh-CN"/>
              </w:rPr>
              <w:t>20</w:t>
            </w:r>
          </w:p>
        </w:tc>
        <w:tc>
          <w:tcPr>
            <w:tcW w:w="1101" w:type="pct"/>
            <w:tcMar/>
          </w:tcPr>
          <w:p w:rsidRPr="00611F08" w:rsidR="00134D53" w:rsidP="00BD1418" w:rsidRDefault="00134D53" w14:paraId="2AC7FBC7" w14:textId="78805B90">
            <w:pPr>
              <w:jc w:val="center"/>
              <w:rPr>
                <w:rFonts w:hint="eastAsia" w:cs="Calibri"/>
                <w:sz w:val="20"/>
                <w:szCs w:val="20"/>
                <w:lang w:eastAsia="zh-CN"/>
              </w:rPr>
            </w:pPr>
            <w:r w:rsidRPr="009B153E">
              <w:rPr>
                <w:rFonts w:cs="Calibri"/>
                <w:sz w:val="20"/>
                <w:szCs w:val="20"/>
                <w:lang w:eastAsia="zh-CN"/>
              </w:rPr>
              <w:t>Dong et al. (2014)</w:t>
            </w:r>
          </w:p>
        </w:tc>
        <w:tc>
          <w:tcPr>
            <w:tcW w:w="3399" w:type="pct"/>
            <w:tcMar/>
          </w:tcPr>
          <w:p w:rsidRPr="00611F08" w:rsidR="00134D53" w:rsidP="00BD1418" w:rsidRDefault="00134D53" w14:paraId="5512C8EC" w14:textId="77777777">
            <w:pPr>
              <w:jc w:val="center"/>
              <w:rPr>
                <w:rFonts w:hint="eastAsia" w:cs="Calibri"/>
                <w:sz w:val="20"/>
                <w:szCs w:val="20"/>
              </w:rPr>
            </w:pPr>
            <w:r w:rsidRPr="004037B1">
              <w:rPr>
                <w:rFonts w:cs="Calibri"/>
                <w:sz w:val="20"/>
                <w:szCs w:val="20"/>
              </w:rPr>
              <w:t>investigates the cost efficiency of Chinese banks from 1994 to 2007, comparing stochastic frontier analysis (SFA) and data envelopment analysis (DEA).</w:t>
            </w:r>
          </w:p>
        </w:tc>
      </w:tr>
      <w:tr w:rsidR="2B7FFB25" w:rsidTr="4F940BA9" w14:paraId="3FBF38B7" w14:textId="77777777">
        <w:trPr>
          <w:trHeight w:val="284"/>
        </w:trPr>
        <w:tc>
          <w:tcPr>
            <w:tcW w:w="899" w:type="dxa"/>
            <w:tcMar/>
          </w:tcPr>
          <w:p w:rsidR="46DAAF4D" w:rsidP="2B7FFB25" w:rsidRDefault="46DAAF4D" w14:paraId="6FA7CD1A" w14:textId="2FF47DD6">
            <w:pPr>
              <w:jc w:val="center"/>
              <w:rPr>
                <w:rFonts w:hint="eastAsia" w:cs="Calibri"/>
                <w:sz w:val="20"/>
                <w:szCs w:val="20"/>
                <w:lang w:eastAsia="zh-CN"/>
              </w:rPr>
            </w:pPr>
            <w:r w:rsidRPr="2B7FFB25">
              <w:rPr>
                <w:rFonts w:cs="Calibri"/>
                <w:sz w:val="20"/>
                <w:szCs w:val="20"/>
                <w:lang w:eastAsia="zh-CN"/>
              </w:rPr>
              <w:t>23</w:t>
            </w:r>
          </w:p>
        </w:tc>
        <w:tc>
          <w:tcPr>
            <w:tcW w:w="1981" w:type="dxa"/>
            <w:tcMar/>
          </w:tcPr>
          <w:p w:rsidR="46DAAF4D" w:rsidP="2B7FFB25" w:rsidRDefault="46DAAF4D" w14:paraId="653BBA1E" w14:textId="312F0A32">
            <w:pPr>
              <w:jc w:val="center"/>
              <w:rPr>
                <w:rFonts w:hint="eastAsia"/>
              </w:rPr>
            </w:pPr>
            <w:r w:rsidRPr="2B7FFB25">
              <w:rPr>
                <w:rFonts w:ascii="Aptos" w:hAnsi="Aptos" w:eastAsia="Aptos" w:cs="Aptos"/>
                <w:color w:val="000000" w:themeColor="text1"/>
                <w:sz w:val="19"/>
                <w:szCs w:val="19"/>
              </w:rPr>
              <w:t>James R. Barth, Chen Lin, Yue Ma, Jesús Seade, Frank M. Song (2013)</w:t>
            </w:r>
          </w:p>
        </w:tc>
        <w:tc>
          <w:tcPr>
            <w:tcW w:w="6115" w:type="dxa"/>
            <w:tcMar/>
          </w:tcPr>
          <w:p w:rsidR="46DAAF4D" w:rsidP="2B7FFB25" w:rsidRDefault="46DAAF4D" w14:paraId="4CF8AA89" w14:textId="68B697EB">
            <w:pPr>
              <w:jc w:val="center"/>
              <w:rPr>
                <w:rFonts w:hint="eastAsia"/>
              </w:rPr>
            </w:pPr>
            <w:r w:rsidRPr="2B7FFB25">
              <w:rPr>
                <w:rFonts w:ascii="Aptos" w:hAnsi="Aptos" w:eastAsia="Aptos" w:cs="Aptos"/>
                <w:color w:val="000000" w:themeColor="text1"/>
                <w:sz w:val="19"/>
                <w:szCs w:val="19"/>
              </w:rPr>
              <w:t>Examines the impact of bank regulation, supervision, and monitoring on bank efficiency. Investigates the effects of different regulatory and supervisory frameworks on the operational efficiency of banks.</w:t>
            </w:r>
          </w:p>
        </w:tc>
      </w:tr>
      <w:tr w:rsidRPr="00611F08" w:rsidR="00134D53" w:rsidTr="4F940BA9" w14:paraId="5BD2F54A" w14:textId="77777777">
        <w:trPr>
          <w:trHeight w:val="284"/>
        </w:trPr>
        <w:tc>
          <w:tcPr>
            <w:tcW w:w="500" w:type="pct"/>
            <w:tcMar/>
          </w:tcPr>
          <w:p w:rsidRPr="00E9480F" w:rsidR="00134D53" w:rsidP="00BD1418" w:rsidRDefault="00005D83" w14:paraId="26F0A86D" w14:textId="34CD5249">
            <w:pPr>
              <w:jc w:val="center"/>
              <w:rPr>
                <w:rFonts w:hint="eastAsia" w:cs="Calibri"/>
                <w:sz w:val="20"/>
                <w:szCs w:val="20"/>
                <w:lang w:eastAsia="zh-CN"/>
              </w:rPr>
            </w:pPr>
            <w:r>
              <w:rPr>
                <w:rFonts w:cs="Calibri"/>
                <w:sz w:val="20"/>
                <w:szCs w:val="20"/>
                <w:lang w:eastAsia="zh-CN"/>
              </w:rPr>
              <w:t>25</w:t>
            </w:r>
          </w:p>
        </w:tc>
        <w:tc>
          <w:tcPr>
            <w:tcW w:w="1101" w:type="pct"/>
            <w:tcMar/>
          </w:tcPr>
          <w:p w:rsidRPr="00E751D5" w:rsidR="00134D53" w:rsidP="00BD1418" w:rsidRDefault="00134D53" w14:paraId="046F23F0" w14:textId="0FEA349A">
            <w:pPr>
              <w:jc w:val="center"/>
              <w:rPr>
                <w:rFonts w:hint="eastAsia" w:cs="Calibri"/>
                <w:sz w:val="20"/>
                <w:szCs w:val="20"/>
                <w:lang w:eastAsia="zh-CN"/>
              </w:rPr>
            </w:pPr>
            <w:r w:rsidRPr="00E9480F">
              <w:rPr>
                <w:rFonts w:cs="Calibri"/>
                <w:sz w:val="20"/>
                <w:szCs w:val="20"/>
                <w:lang w:eastAsia="zh-CN"/>
              </w:rPr>
              <w:t>Xie et al.</w:t>
            </w:r>
            <w:r>
              <w:rPr>
                <w:rFonts w:cs="Calibri"/>
                <w:sz w:val="20"/>
                <w:szCs w:val="20"/>
                <w:lang w:eastAsia="zh-CN"/>
              </w:rPr>
              <w:t xml:space="preserve"> (</w:t>
            </w:r>
            <w:r w:rsidRPr="00E9480F">
              <w:rPr>
                <w:rFonts w:cs="Calibri"/>
                <w:sz w:val="20"/>
                <w:szCs w:val="20"/>
                <w:lang w:eastAsia="zh-CN"/>
              </w:rPr>
              <w:t>2022)</w:t>
            </w:r>
          </w:p>
        </w:tc>
        <w:tc>
          <w:tcPr>
            <w:tcW w:w="3399" w:type="pct"/>
            <w:tcMar/>
          </w:tcPr>
          <w:p w:rsidRPr="00420105" w:rsidR="00134D53" w:rsidP="00BD1418" w:rsidRDefault="00134D53" w14:paraId="36C26CC1" w14:textId="77777777">
            <w:pPr>
              <w:jc w:val="center"/>
              <w:rPr>
                <w:rFonts w:hint="eastAsia" w:cs="Calibri"/>
                <w:sz w:val="20"/>
                <w:szCs w:val="20"/>
              </w:rPr>
            </w:pPr>
            <w:r>
              <w:rPr>
                <w:rFonts w:cs="Calibri"/>
                <w:sz w:val="20"/>
                <w:szCs w:val="20"/>
              </w:rPr>
              <w:t>O</w:t>
            </w:r>
            <w:r w:rsidRPr="002420E7">
              <w:rPr>
                <w:rFonts w:cs="Calibri"/>
                <w:sz w:val="20"/>
                <w:szCs w:val="20"/>
              </w:rPr>
              <w:t>perational efficiency of China's listed commercial banks using a novel approach that accounts for undesirable outputs in efficiency evaluation</w:t>
            </w:r>
          </w:p>
        </w:tc>
      </w:tr>
      <w:tr w:rsidR="2B7FFB25" w:rsidTr="4F940BA9" w14:paraId="79A100CE" w14:textId="77777777">
        <w:trPr>
          <w:trHeight w:val="284"/>
        </w:trPr>
        <w:tc>
          <w:tcPr>
            <w:tcW w:w="899" w:type="dxa"/>
            <w:tcMar/>
          </w:tcPr>
          <w:p w:rsidR="4847277F" w:rsidP="2B7FFB25" w:rsidRDefault="4847277F" w14:paraId="30F66A33" w14:textId="05EC80A6">
            <w:pPr>
              <w:jc w:val="center"/>
              <w:rPr>
                <w:rFonts w:hint="eastAsia" w:cs="Calibri"/>
                <w:sz w:val="20"/>
                <w:szCs w:val="20"/>
                <w:lang w:eastAsia="zh-CN"/>
              </w:rPr>
            </w:pPr>
            <w:r w:rsidRPr="2B7FFB25">
              <w:rPr>
                <w:rFonts w:cs="Calibri"/>
                <w:sz w:val="20"/>
                <w:szCs w:val="20"/>
                <w:lang w:eastAsia="zh-CN"/>
              </w:rPr>
              <w:t>28</w:t>
            </w:r>
          </w:p>
        </w:tc>
        <w:tc>
          <w:tcPr>
            <w:tcW w:w="1981" w:type="dxa"/>
            <w:tcMar/>
          </w:tcPr>
          <w:p w:rsidR="4847277F" w:rsidP="2B7FFB25" w:rsidRDefault="4847277F" w14:paraId="611B638A" w14:textId="43883832">
            <w:pPr>
              <w:jc w:val="center"/>
              <w:rPr>
                <w:rFonts w:hint="eastAsia"/>
              </w:rPr>
            </w:pPr>
            <w:r w:rsidRPr="2B7FFB25">
              <w:rPr>
                <w:rFonts w:ascii="Aptos" w:hAnsi="Aptos" w:eastAsia="Aptos" w:cs="Aptos"/>
                <w:color w:val="000000" w:themeColor="text1"/>
                <w:sz w:val="19"/>
                <w:szCs w:val="19"/>
              </w:rPr>
              <w:t>Mohamed Ariff and Luc Can (2008)</w:t>
            </w:r>
          </w:p>
        </w:tc>
        <w:tc>
          <w:tcPr>
            <w:tcW w:w="6115" w:type="dxa"/>
            <w:tcMar/>
          </w:tcPr>
          <w:p w:rsidR="4847277F" w:rsidP="2B7FFB25" w:rsidRDefault="4847277F" w14:paraId="2B6D2C26" w14:textId="64B2F9E8">
            <w:pPr>
              <w:jc w:val="center"/>
              <w:rPr>
                <w:rFonts w:hint="eastAsia"/>
              </w:rPr>
            </w:pPr>
            <w:r w:rsidRPr="2B7FFB25">
              <w:rPr>
                <w:rFonts w:ascii="Aptos" w:hAnsi="Aptos" w:eastAsia="Aptos" w:cs="Aptos"/>
                <w:color w:val="000000" w:themeColor="text1"/>
                <w:sz w:val="19"/>
                <w:szCs w:val="19"/>
                <w:lang w:val="en-ID"/>
              </w:rPr>
              <w:t>Investigates cost and profit efficiency in Chinese banks, considering ownership, size, risk profile, profitability, and environmental changes using non-parametric methods.</w:t>
            </w:r>
          </w:p>
        </w:tc>
      </w:tr>
      <w:tr w:rsidRPr="00611F08" w:rsidR="00134D53" w:rsidTr="4F940BA9" w14:paraId="598DF319" w14:textId="77777777">
        <w:trPr>
          <w:trHeight w:val="284"/>
        </w:trPr>
        <w:tc>
          <w:tcPr>
            <w:tcW w:w="500" w:type="pct"/>
            <w:tcMar/>
          </w:tcPr>
          <w:p w:rsidRPr="00ED5776" w:rsidR="00134D53" w:rsidP="00BD1418" w:rsidRDefault="00005D83" w14:paraId="7A29EEFA" w14:textId="2F6F8DA7">
            <w:pPr>
              <w:jc w:val="center"/>
              <w:rPr>
                <w:rFonts w:hint="eastAsia" w:cs="Calibri"/>
                <w:sz w:val="20"/>
                <w:szCs w:val="20"/>
                <w:lang w:eastAsia="zh-CN"/>
              </w:rPr>
            </w:pPr>
            <w:r>
              <w:rPr>
                <w:rFonts w:cs="Calibri"/>
                <w:sz w:val="20"/>
                <w:szCs w:val="20"/>
                <w:lang w:eastAsia="zh-CN"/>
              </w:rPr>
              <w:t>30</w:t>
            </w:r>
          </w:p>
        </w:tc>
        <w:tc>
          <w:tcPr>
            <w:tcW w:w="1101" w:type="pct"/>
            <w:tcMar/>
          </w:tcPr>
          <w:p w:rsidRPr="00E9480F" w:rsidR="00134D53" w:rsidP="00BD1418" w:rsidRDefault="00134D53" w14:paraId="4718F52B" w14:textId="74E46CAC">
            <w:pPr>
              <w:jc w:val="center"/>
              <w:rPr>
                <w:rFonts w:hint="eastAsia" w:cs="Calibri"/>
                <w:sz w:val="20"/>
                <w:szCs w:val="20"/>
                <w:lang w:eastAsia="zh-CN"/>
              </w:rPr>
            </w:pPr>
            <w:r w:rsidRPr="00ED5776">
              <w:rPr>
                <w:rFonts w:cs="Calibri"/>
                <w:sz w:val="20"/>
                <w:szCs w:val="20"/>
                <w:lang w:eastAsia="zh-CN"/>
              </w:rPr>
              <w:t xml:space="preserve">Fukuyama and Tan </w:t>
            </w:r>
            <w:r>
              <w:rPr>
                <w:rFonts w:cs="Calibri"/>
                <w:sz w:val="20"/>
                <w:szCs w:val="20"/>
                <w:lang w:eastAsia="zh-CN"/>
              </w:rPr>
              <w:t>(</w:t>
            </w:r>
            <w:r w:rsidRPr="00ED5776">
              <w:rPr>
                <w:rFonts w:cs="Calibri"/>
                <w:sz w:val="20"/>
                <w:szCs w:val="20"/>
                <w:lang w:eastAsia="zh-CN"/>
              </w:rPr>
              <w:t>2022)</w:t>
            </w:r>
          </w:p>
        </w:tc>
        <w:tc>
          <w:tcPr>
            <w:tcW w:w="3399" w:type="pct"/>
            <w:tcMar/>
          </w:tcPr>
          <w:p w:rsidR="00134D53" w:rsidP="00BD1418" w:rsidRDefault="00134D53" w14:paraId="238251EF" w14:textId="77777777">
            <w:pPr>
              <w:jc w:val="center"/>
              <w:rPr>
                <w:rFonts w:hint="eastAsia" w:cs="Calibri"/>
                <w:sz w:val="20"/>
                <w:szCs w:val="20"/>
              </w:rPr>
            </w:pPr>
            <w:r>
              <w:rPr>
                <w:rFonts w:cs="Calibri"/>
                <w:sz w:val="20"/>
                <w:szCs w:val="20"/>
              </w:rPr>
              <w:t>E</w:t>
            </w:r>
            <w:r w:rsidRPr="00A6737A">
              <w:rPr>
                <w:rFonts w:cs="Calibri"/>
                <w:sz w:val="20"/>
                <w:szCs w:val="20"/>
              </w:rPr>
              <w:t>fficiency of Chinese banks, focusing on input, output, and stability efficiencies using a three-stage network DEA model. The paper also examines the impact of market power and loan loss provisions on bank efficiency.</w:t>
            </w:r>
          </w:p>
        </w:tc>
      </w:tr>
      <w:tr w:rsidR="2B7FFB25" w:rsidTr="4F940BA9" w14:paraId="7B2CAADD" w14:textId="77777777">
        <w:trPr>
          <w:trHeight w:val="284"/>
        </w:trPr>
        <w:tc>
          <w:tcPr>
            <w:tcW w:w="899" w:type="dxa"/>
            <w:tcMar/>
          </w:tcPr>
          <w:p w:rsidR="598A4057" w:rsidP="2B7FFB25" w:rsidRDefault="598A4057" w14:paraId="743980EB" w14:textId="4E2C6BD8">
            <w:pPr>
              <w:jc w:val="center"/>
              <w:rPr>
                <w:rFonts w:hint="eastAsia" w:cs="Calibri"/>
                <w:sz w:val="20"/>
                <w:szCs w:val="20"/>
                <w:lang w:eastAsia="zh-CN"/>
              </w:rPr>
            </w:pPr>
            <w:r w:rsidRPr="2B7FFB25">
              <w:rPr>
                <w:rFonts w:cs="Calibri"/>
                <w:sz w:val="20"/>
                <w:szCs w:val="20"/>
                <w:lang w:eastAsia="zh-CN"/>
              </w:rPr>
              <w:t>33</w:t>
            </w:r>
          </w:p>
        </w:tc>
        <w:tc>
          <w:tcPr>
            <w:tcW w:w="1981" w:type="dxa"/>
            <w:tcMar/>
          </w:tcPr>
          <w:p w:rsidR="598A4057" w:rsidP="2B7FFB25" w:rsidRDefault="598A4057" w14:paraId="7FFA568F" w14:textId="7028A879">
            <w:pPr>
              <w:jc w:val="center"/>
              <w:rPr>
                <w:rFonts w:hint="eastAsia"/>
              </w:rPr>
            </w:pPr>
            <w:r w:rsidRPr="2B7FFB25">
              <w:rPr>
                <w:rFonts w:ascii="Aptos" w:hAnsi="Aptos" w:eastAsia="Aptos" w:cs="Aptos"/>
                <w:color w:val="000000" w:themeColor="text1"/>
                <w:sz w:val="19"/>
                <w:szCs w:val="19"/>
              </w:rPr>
              <w:t>Xiaohong Liu, Jiasen Sun, Feng Yang, Jie Wu (2020)</w:t>
            </w:r>
          </w:p>
        </w:tc>
        <w:tc>
          <w:tcPr>
            <w:tcW w:w="6115" w:type="dxa"/>
            <w:tcMar/>
          </w:tcPr>
          <w:p w:rsidR="598A4057" w:rsidP="2B7FFB25" w:rsidRDefault="598A4057" w14:paraId="002771A5" w14:textId="18169978">
            <w:pPr>
              <w:jc w:val="center"/>
              <w:rPr>
                <w:rFonts w:hint="eastAsia"/>
              </w:rPr>
            </w:pPr>
            <w:r w:rsidRPr="2B7FFB25">
              <w:rPr>
                <w:rFonts w:ascii="Aptos" w:hAnsi="Aptos" w:eastAsia="Aptos" w:cs="Aptos"/>
                <w:color w:val="000000" w:themeColor="text1"/>
                <w:sz w:val="19"/>
                <w:szCs w:val="19"/>
                <w:lang w:val="en-ID"/>
              </w:rPr>
              <w:t>Investigates the influence of changes in ownership structure on the efficiency of Chinese commercial banks, focusing on deposit and loan efficiencies.</w:t>
            </w:r>
          </w:p>
        </w:tc>
      </w:tr>
      <w:tr w:rsidRPr="00611F08" w:rsidR="00134D53" w:rsidTr="4F940BA9" w14:paraId="48159EF8" w14:textId="77777777">
        <w:trPr>
          <w:trHeight w:val="284"/>
        </w:trPr>
        <w:tc>
          <w:tcPr>
            <w:tcW w:w="500" w:type="pct"/>
            <w:tcMar/>
          </w:tcPr>
          <w:p w:rsidRPr="00C61C2E" w:rsidR="00134D53" w:rsidP="00BD1418" w:rsidRDefault="00A05994" w14:paraId="10BE7862" w14:textId="73C9FD18">
            <w:pPr>
              <w:jc w:val="center"/>
              <w:rPr>
                <w:rFonts w:hint="eastAsia" w:cs="Calibri"/>
                <w:sz w:val="20"/>
                <w:szCs w:val="20"/>
                <w:lang w:eastAsia="zh-CN"/>
              </w:rPr>
            </w:pPr>
            <w:r>
              <w:rPr>
                <w:rFonts w:cs="Calibri"/>
                <w:sz w:val="20"/>
                <w:szCs w:val="20"/>
                <w:lang w:eastAsia="zh-CN"/>
              </w:rPr>
              <w:t>35</w:t>
            </w:r>
          </w:p>
        </w:tc>
        <w:tc>
          <w:tcPr>
            <w:tcW w:w="1101" w:type="pct"/>
            <w:tcMar/>
          </w:tcPr>
          <w:p w:rsidRPr="00ED5776" w:rsidR="00134D53" w:rsidP="00BD1418" w:rsidRDefault="00134D53" w14:paraId="35B3E58B" w14:textId="1EC54395">
            <w:pPr>
              <w:jc w:val="center"/>
              <w:rPr>
                <w:rFonts w:hint="eastAsia" w:cs="Calibri"/>
                <w:sz w:val="20"/>
                <w:szCs w:val="20"/>
                <w:lang w:eastAsia="zh-CN"/>
              </w:rPr>
            </w:pPr>
            <w:r w:rsidRPr="00C61C2E">
              <w:rPr>
                <w:rFonts w:cs="Calibri"/>
                <w:sz w:val="20"/>
                <w:szCs w:val="20"/>
                <w:lang w:eastAsia="zh-CN"/>
              </w:rPr>
              <w:t>Yu et al.</w:t>
            </w:r>
            <w:r>
              <w:rPr>
                <w:rFonts w:cs="Calibri"/>
                <w:sz w:val="20"/>
                <w:szCs w:val="20"/>
                <w:lang w:eastAsia="zh-CN"/>
              </w:rPr>
              <w:t xml:space="preserve"> (</w:t>
            </w:r>
            <w:r w:rsidRPr="00C61C2E">
              <w:rPr>
                <w:rFonts w:cs="Calibri"/>
                <w:sz w:val="20"/>
                <w:szCs w:val="20"/>
                <w:lang w:eastAsia="zh-CN"/>
              </w:rPr>
              <w:t>2019)</w:t>
            </w:r>
          </w:p>
        </w:tc>
        <w:tc>
          <w:tcPr>
            <w:tcW w:w="3399" w:type="pct"/>
            <w:tcMar/>
          </w:tcPr>
          <w:p w:rsidR="00134D53" w:rsidP="00BD1418" w:rsidRDefault="00134D53" w14:paraId="5179C8B5" w14:textId="77777777">
            <w:pPr>
              <w:jc w:val="center"/>
              <w:rPr>
                <w:rFonts w:hint="eastAsia" w:cs="Calibri"/>
                <w:sz w:val="20"/>
                <w:szCs w:val="20"/>
              </w:rPr>
            </w:pPr>
            <w:r>
              <w:rPr>
                <w:rFonts w:cs="Calibri"/>
                <w:sz w:val="20"/>
                <w:szCs w:val="20"/>
              </w:rPr>
              <w:t>E</w:t>
            </w:r>
            <w:r w:rsidRPr="00A74876">
              <w:rPr>
                <w:rFonts w:cs="Calibri"/>
                <w:sz w:val="20"/>
                <w:szCs w:val="20"/>
              </w:rPr>
              <w:t>stimating the operational efficiencies of Chinese banks, considering credit risk. It aims to optimize operational and interest income, and non-performing loan amounts</w:t>
            </w:r>
          </w:p>
        </w:tc>
      </w:tr>
      <w:tr w:rsidR="2B7FFB25" w:rsidTr="4F940BA9" w14:paraId="3FD67C95" w14:textId="77777777">
        <w:trPr>
          <w:trHeight w:val="284"/>
        </w:trPr>
        <w:tc>
          <w:tcPr>
            <w:tcW w:w="899" w:type="dxa"/>
            <w:tcMar/>
          </w:tcPr>
          <w:p w:rsidR="1E8B0731" w:rsidP="2B7FFB25" w:rsidRDefault="1E8B0731" w14:paraId="193F7B93" w14:textId="3EB1B6CD">
            <w:pPr>
              <w:jc w:val="center"/>
              <w:rPr>
                <w:rFonts w:hint="eastAsia" w:cs="Calibri"/>
                <w:sz w:val="20"/>
                <w:szCs w:val="20"/>
                <w:lang w:eastAsia="zh-CN"/>
              </w:rPr>
            </w:pPr>
            <w:r w:rsidRPr="2B7FFB25">
              <w:rPr>
                <w:rFonts w:cs="Calibri"/>
                <w:sz w:val="20"/>
                <w:szCs w:val="20"/>
                <w:lang w:eastAsia="zh-CN"/>
              </w:rPr>
              <w:t>38</w:t>
            </w:r>
          </w:p>
        </w:tc>
        <w:tc>
          <w:tcPr>
            <w:tcW w:w="1981" w:type="dxa"/>
            <w:tcMar/>
          </w:tcPr>
          <w:p w:rsidR="1E8B0731" w:rsidP="2B7FFB25" w:rsidRDefault="1E8B0731" w14:paraId="64F7B534" w14:textId="1FCCF412">
            <w:pPr>
              <w:jc w:val="center"/>
              <w:rPr>
                <w:rFonts w:hint="eastAsia"/>
              </w:rPr>
            </w:pPr>
            <w:r w:rsidRPr="2B7FFB25">
              <w:rPr>
                <w:rFonts w:ascii="Aptos" w:hAnsi="Aptos" w:eastAsia="Aptos" w:cs="Aptos"/>
                <w:color w:val="000000" w:themeColor="text1"/>
                <w:sz w:val="19"/>
                <w:szCs w:val="19"/>
              </w:rPr>
              <w:t>Tsui-Yueh Cho, Yi-Shuan Chen (2021)</w:t>
            </w:r>
          </w:p>
        </w:tc>
        <w:tc>
          <w:tcPr>
            <w:tcW w:w="6115" w:type="dxa"/>
            <w:tcMar/>
          </w:tcPr>
          <w:p w:rsidR="1E8B0731" w:rsidP="2B7FFB25" w:rsidRDefault="1E8B0731" w14:paraId="3FFEF58D" w14:textId="321005F8">
            <w:pPr>
              <w:jc w:val="center"/>
              <w:rPr>
                <w:rFonts w:hint="eastAsia"/>
              </w:rPr>
            </w:pPr>
            <w:r w:rsidRPr="2B7FFB25">
              <w:rPr>
                <w:rFonts w:ascii="Aptos" w:hAnsi="Aptos" w:eastAsia="Aptos" w:cs="Aptos"/>
                <w:color w:val="000000" w:themeColor="text1"/>
                <w:sz w:val="19"/>
                <w:szCs w:val="19"/>
                <w:lang w:val="en-ID"/>
              </w:rPr>
              <w:t>The study examines the impact of financial technology (Fintech) on the cost efficiency and productivity of China's banking industry.</w:t>
            </w:r>
          </w:p>
        </w:tc>
      </w:tr>
      <w:tr w:rsidRPr="00611F08" w:rsidR="00134D53" w:rsidTr="4F940BA9" w14:paraId="01B12C7A" w14:textId="77777777">
        <w:trPr>
          <w:trHeight w:val="284"/>
        </w:trPr>
        <w:tc>
          <w:tcPr>
            <w:tcW w:w="500" w:type="pct"/>
            <w:tcMar/>
          </w:tcPr>
          <w:p w:rsidRPr="009F48DA" w:rsidR="00134D53" w:rsidP="00BD1418" w:rsidRDefault="005E0A88" w14:paraId="74D42F0B" w14:textId="59669ECB">
            <w:pPr>
              <w:jc w:val="center"/>
              <w:rPr>
                <w:rFonts w:hint="eastAsia" w:cs="Calibri"/>
                <w:sz w:val="20"/>
                <w:szCs w:val="20"/>
                <w:lang w:eastAsia="zh-CN"/>
              </w:rPr>
            </w:pPr>
            <w:r>
              <w:rPr>
                <w:rFonts w:cs="Calibri"/>
                <w:sz w:val="20"/>
                <w:szCs w:val="20"/>
                <w:lang w:eastAsia="zh-CN"/>
              </w:rPr>
              <w:t>40</w:t>
            </w:r>
          </w:p>
        </w:tc>
        <w:tc>
          <w:tcPr>
            <w:tcW w:w="1101" w:type="pct"/>
            <w:tcMar/>
          </w:tcPr>
          <w:p w:rsidRPr="00C61C2E" w:rsidR="00134D53" w:rsidP="00BD1418" w:rsidRDefault="00134D53" w14:paraId="00807A6C" w14:textId="101AF275">
            <w:pPr>
              <w:jc w:val="center"/>
              <w:rPr>
                <w:rFonts w:hint="eastAsia" w:cs="Calibri"/>
                <w:sz w:val="20"/>
                <w:szCs w:val="20"/>
                <w:lang w:eastAsia="zh-CN"/>
              </w:rPr>
            </w:pPr>
            <w:r w:rsidRPr="009F48DA">
              <w:rPr>
                <w:rFonts w:cs="Calibri"/>
                <w:sz w:val="20"/>
                <w:szCs w:val="20"/>
                <w:lang w:eastAsia="zh-CN"/>
              </w:rPr>
              <w:t xml:space="preserve">Zhu, Li and Liang </w:t>
            </w:r>
            <w:r>
              <w:rPr>
                <w:rFonts w:cs="Calibri"/>
                <w:sz w:val="20"/>
                <w:szCs w:val="20"/>
                <w:lang w:eastAsia="zh-CN"/>
              </w:rPr>
              <w:t>(</w:t>
            </w:r>
            <w:r w:rsidRPr="009F48DA">
              <w:rPr>
                <w:rFonts w:cs="Calibri"/>
                <w:sz w:val="20"/>
                <w:szCs w:val="20"/>
                <w:lang w:eastAsia="zh-CN"/>
              </w:rPr>
              <w:t>2018)</w:t>
            </w:r>
          </w:p>
        </w:tc>
        <w:tc>
          <w:tcPr>
            <w:tcW w:w="3399" w:type="pct"/>
            <w:tcMar/>
          </w:tcPr>
          <w:p w:rsidR="00134D53" w:rsidP="00BD1418" w:rsidRDefault="00134D53" w14:paraId="5BE52B0B" w14:textId="77777777">
            <w:pPr>
              <w:jc w:val="center"/>
              <w:rPr>
                <w:rFonts w:hint="eastAsia" w:cs="Calibri"/>
                <w:sz w:val="20"/>
                <w:szCs w:val="20"/>
              </w:rPr>
            </w:pPr>
            <w:r>
              <w:rPr>
                <w:rFonts w:cs="Calibri"/>
                <w:sz w:val="20"/>
                <w:szCs w:val="20"/>
              </w:rPr>
              <w:t>I</w:t>
            </w:r>
            <w:r w:rsidRPr="00576AEC">
              <w:rPr>
                <w:rFonts w:cs="Calibri"/>
                <w:sz w:val="20"/>
                <w:szCs w:val="20"/>
              </w:rPr>
              <w:t>mproving the efficiency measurement of Chinese commercial banks using a two-stage Slack-Based Measure (SBM) model with a leader-follower structure.</w:t>
            </w:r>
          </w:p>
        </w:tc>
      </w:tr>
      <w:tr w:rsidR="2B7FFB25" w:rsidTr="4F940BA9" w14:paraId="2E5E42F9" w14:textId="77777777">
        <w:trPr>
          <w:trHeight w:val="284"/>
        </w:trPr>
        <w:tc>
          <w:tcPr>
            <w:tcW w:w="899" w:type="dxa"/>
            <w:tcMar/>
          </w:tcPr>
          <w:p w:rsidR="4A284C41" w:rsidP="2B7FFB25" w:rsidRDefault="4A284C41" w14:paraId="4FC4DCDD" w14:textId="3701F6B9">
            <w:pPr>
              <w:jc w:val="center"/>
              <w:rPr>
                <w:rFonts w:hint="eastAsia" w:cs="Calibri"/>
                <w:sz w:val="20"/>
                <w:szCs w:val="20"/>
                <w:lang w:eastAsia="zh-CN"/>
              </w:rPr>
            </w:pPr>
            <w:r w:rsidRPr="2B7FFB25">
              <w:rPr>
                <w:rFonts w:cs="Calibri"/>
                <w:sz w:val="20"/>
                <w:szCs w:val="20"/>
                <w:lang w:eastAsia="zh-CN"/>
              </w:rPr>
              <w:t>43</w:t>
            </w:r>
          </w:p>
        </w:tc>
        <w:tc>
          <w:tcPr>
            <w:tcW w:w="1981" w:type="dxa"/>
            <w:tcMar/>
          </w:tcPr>
          <w:p w:rsidR="4A284C41" w:rsidP="2B7FFB25" w:rsidRDefault="4A284C41" w14:paraId="6131898A" w14:textId="65FB0BC4">
            <w:pPr>
              <w:jc w:val="center"/>
              <w:rPr>
                <w:rFonts w:hint="eastAsia"/>
              </w:rPr>
            </w:pPr>
            <w:r w:rsidRPr="2B7FFB25">
              <w:rPr>
                <w:rFonts w:ascii="Aptos" w:hAnsi="Aptos" w:eastAsia="Aptos" w:cs="Aptos"/>
                <w:color w:val="000000" w:themeColor="text1"/>
                <w:sz w:val="19"/>
                <w:szCs w:val="19"/>
              </w:rPr>
              <w:t>Rasoul Rezvanian, Rima Truk Ariss, Sayed M. Mehdian, (2010)</w:t>
            </w:r>
          </w:p>
        </w:tc>
        <w:tc>
          <w:tcPr>
            <w:tcW w:w="6115" w:type="dxa"/>
            <w:tcMar/>
          </w:tcPr>
          <w:p w:rsidR="4A284C41" w:rsidP="2B7FFB25" w:rsidRDefault="4A284C41" w14:paraId="3BC27249" w14:textId="23353D4A">
            <w:pPr>
              <w:jc w:val="center"/>
              <w:rPr>
                <w:rFonts w:hint="eastAsia"/>
              </w:rPr>
            </w:pPr>
            <w:r w:rsidRPr="2B7FFB25">
              <w:rPr>
                <w:rFonts w:ascii="Aptos" w:hAnsi="Aptos" w:eastAsia="Aptos" w:cs="Aptos"/>
                <w:color w:val="000000" w:themeColor="text1"/>
                <w:sz w:val="19"/>
                <w:szCs w:val="19"/>
              </w:rPr>
              <w:t>Examines cost efficiency, technological progress, and productivity growth in Chinese banking, focusing on the period before and after China's WTO accession. Investigates how these factors are influenced by WTO accession and banking sector reforms.</w:t>
            </w:r>
          </w:p>
        </w:tc>
      </w:tr>
      <w:tr w:rsidRPr="00611F08" w:rsidR="00134D53" w:rsidTr="4F940BA9" w14:paraId="71726AF2" w14:textId="77777777">
        <w:trPr>
          <w:trHeight w:val="284"/>
        </w:trPr>
        <w:tc>
          <w:tcPr>
            <w:tcW w:w="500" w:type="pct"/>
            <w:tcMar/>
          </w:tcPr>
          <w:p w:rsidRPr="00386881" w:rsidR="00134D53" w:rsidP="00BD1418" w:rsidRDefault="005E0A88" w14:paraId="31FB8328" w14:textId="3DE6B8EE">
            <w:pPr>
              <w:jc w:val="center"/>
              <w:rPr>
                <w:rFonts w:hint="eastAsia" w:cs="Calibri"/>
                <w:sz w:val="20"/>
                <w:szCs w:val="20"/>
                <w:lang w:eastAsia="zh-CN"/>
              </w:rPr>
            </w:pPr>
            <w:r>
              <w:rPr>
                <w:rFonts w:cs="Calibri"/>
                <w:sz w:val="20"/>
                <w:szCs w:val="20"/>
                <w:lang w:eastAsia="zh-CN"/>
              </w:rPr>
              <w:t>45</w:t>
            </w:r>
          </w:p>
        </w:tc>
        <w:tc>
          <w:tcPr>
            <w:tcW w:w="1101" w:type="pct"/>
            <w:tcMar/>
          </w:tcPr>
          <w:p w:rsidRPr="009F48DA" w:rsidR="00134D53" w:rsidP="00BD1418" w:rsidRDefault="00134D53" w14:paraId="0503FD58" w14:textId="7CF3D9E8">
            <w:pPr>
              <w:jc w:val="center"/>
              <w:rPr>
                <w:rFonts w:hint="eastAsia" w:cs="Calibri"/>
                <w:sz w:val="20"/>
                <w:szCs w:val="20"/>
                <w:lang w:eastAsia="zh-CN"/>
              </w:rPr>
            </w:pPr>
            <w:r w:rsidRPr="00386881">
              <w:rPr>
                <w:rFonts w:cs="Calibri"/>
                <w:sz w:val="20"/>
                <w:szCs w:val="20"/>
                <w:lang w:eastAsia="zh-CN"/>
              </w:rPr>
              <w:t xml:space="preserve">Wu et al. </w:t>
            </w:r>
            <w:r>
              <w:rPr>
                <w:rFonts w:cs="Calibri"/>
                <w:sz w:val="20"/>
                <w:szCs w:val="20"/>
                <w:lang w:eastAsia="zh-CN"/>
              </w:rPr>
              <w:t>(</w:t>
            </w:r>
            <w:r w:rsidRPr="00386881">
              <w:rPr>
                <w:rFonts w:cs="Calibri"/>
                <w:sz w:val="20"/>
                <w:szCs w:val="20"/>
                <w:lang w:eastAsia="zh-CN"/>
              </w:rPr>
              <w:t>2023)</w:t>
            </w:r>
          </w:p>
        </w:tc>
        <w:tc>
          <w:tcPr>
            <w:tcW w:w="3399" w:type="pct"/>
            <w:tcMar/>
          </w:tcPr>
          <w:p w:rsidR="00134D53" w:rsidP="00BD1418" w:rsidRDefault="00134D53" w14:paraId="051AD538" w14:textId="77777777">
            <w:pPr>
              <w:jc w:val="center"/>
              <w:rPr>
                <w:rFonts w:hint="eastAsia" w:cs="Calibri"/>
                <w:sz w:val="20"/>
                <w:szCs w:val="20"/>
              </w:rPr>
            </w:pPr>
            <w:r w:rsidRPr="000F1F72">
              <w:rPr>
                <w:rFonts w:cs="Calibri"/>
                <w:sz w:val="20"/>
                <w:szCs w:val="20"/>
              </w:rPr>
              <w:t>Investigates how interest rate liberalization impacts the efficiency of Chinese commercial banks</w:t>
            </w:r>
            <w:r>
              <w:rPr>
                <w:rFonts w:cs="Calibri"/>
                <w:sz w:val="20"/>
                <w:szCs w:val="20"/>
              </w:rPr>
              <w:t>.</w:t>
            </w:r>
          </w:p>
        </w:tc>
      </w:tr>
      <w:tr w:rsidR="2B7FFB25" w:rsidTr="4F940BA9" w14:paraId="24C7EDAD" w14:textId="77777777">
        <w:trPr>
          <w:trHeight w:val="284"/>
        </w:trPr>
        <w:tc>
          <w:tcPr>
            <w:tcW w:w="899" w:type="dxa"/>
            <w:tcMar/>
          </w:tcPr>
          <w:p w:rsidR="07D57B36" w:rsidP="2B7FFB25" w:rsidRDefault="07D57B36" w14:paraId="08F08271" w14:textId="5B2D6B87">
            <w:pPr>
              <w:jc w:val="center"/>
              <w:rPr>
                <w:rFonts w:hint="eastAsia" w:cs="Calibri"/>
                <w:sz w:val="20"/>
                <w:szCs w:val="20"/>
                <w:lang w:eastAsia="zh-CN"/>
              </w:rPr>
            </w:pPr>
            <w:r w:rsidRPr="2B7FFB25">
              <w:rPr>
                <w:rFonts w:cs="Calibri"/>
                <w:sz w:val="20"/>
                <w:szCs w:val="20"/>
                <w:lang w:eastAsia="zh-CN"/>
              </w:rPr>
              <w:t>1</w:t>
            </w:r>
          </w:p>
        </w:tc>
        <w:tc>
          <w:tcPr>
            <w:tcW w:w="1981" w:type="dxa"/>
            <w:tcMar/>
          </w:tcPr>
          <w:p w:rsidR="2B7FFB25" w:rsidP="2B7FFB25" w:rsidRDefault="2B7FFB25" w14:paraId="5F6F96F4" w14:textId="42E0D7A6">
            <w:pPr>
              <w:spacing w:line="259" w:lineRule="auto"/>
              <w:jc w:val="center"/>
              <w:rPr>
                <w:rFonts w:hint="eastAsia" w:cs="Calibri"/>
                <w:sz w:val="20"/>
                <w:szCs w:val="20"/>
                <w:lang w:eastAsia="zh-CN"/>
              </w:rPr>
            </w:pPr>
            <w:r w:rsidRPr="2B7FFB25">
              <w:rPr>
                <w:rFonts w:cs="Calibri"/>
                <w:sz w:val="20"/>
                <w:szCs w:val="20"/>
                <w:lang w:eastAsia="zh-CN"/>
              </w:rPr>
              <w:t>Necmi K. Avkiran (2011)</w:t>
            </w:r>
          </w:p>
        </w:tc>
        <w:tc>
          <w:tcPr>
            <w:tcW w:w="6115" w:type="dxa"/>
            <w:tcMar/>
          </w:tcPr>
          <w:p w:rsidR="2B7FFB25" w:rsidP="2B7FFB25" w:rsidRDefault="2B7FFB25" w14:paraId="574D00FB" w14:textId="3524D25A">
            <w:pPr>
              <w:spacing w:line="259" w:lineRule="auto"/>
              <w:jc w:val="center"/>
              <w:rPr>
                <w:rFonts w:hint="eastAsia" w:cs="Calibri"/>
                <w:sz w:val="20"/>
                <w:szCs w:val="20"/>
                <w:lang w:eastAsia="zh-CN"/>
              </w:rPr>
            </w:pPr>
            <w:r w:rsidRPr="2B7FFB25">
              <w:rPr>
                <w:rFonts w:cs="Calibri"/>
                <w:sz w:val="20"/>
                <w:szCs w:val="20"/>
                <w:lang w:eastAsia="zh-CN"/>
              </w:rPr>
              <w:t>Investigating to what extent bank DEA super-efficiency estimates are associated with key financial ratios to help selecting financial ratio benchmarks objectively.</w:t>
            </w:r>
          </w:p>
        </w:tc>
      </w:tr>
      <w:tr w:rsidR="2B7FFB25" w:rsidTr="4F940BA9" w14:paraId="2A768503" w14:textId="77777777">
        <w:trPr>
          <w:trHeight w:val="284"/>
        </w:trPr>
        <w:tc>
          <w:tcPr>
            <w:tcW w:w="899" w:type="dxa"/>
            <w:tcMar/>
          </w:tcPr>
          <w:p w:rsidR="5A4D0E37" w:rsidP="2B7FFB25" w:rsidRDefault="5A4D0E37" w14:paraId="7B6F0B30" w14:textId="275A64CF">
            <w:pPr>
              <w:jc w:val="center"/>
              <w:rPr>
                <w:rFonts w:hint="eastAsia" w:cs="Calibri"/>
                <w:sz w:val="20"/>
                <w:szCs w:val="20"/>
                <w:lang w:eastAsia="zh-CN"/>
              </w:rPr>
            </w:pPr>
            <w:r w:rsidRPr="2B7FFB25">
              <w:rPr>
                <w:rFonts w:cs="Calibri"/>
                <w:sz w:val="20"/>
                <w:szCs w:val="20"/>
                <w:lang w:eastAsia="zh-CN"/>
              </w:rPr>
              <w:t>6</w:t>
            </w:r>
          </w:p>
        </w:tc>
        <w:tc>
          <w:tcPr>
            <w:tcW w:w="1981" w:type="dxa"/>
            <w:tcMar/>
          </w:tcPr>
          <w:p w:rsidR="2B7FFB25" w:rsidP="2B7FFB25" w:rsidRDefault="2B7FFB25" w14:paraId="612B56A4" w14:textId="0CC6E7C7">
            <w:pPr>
              <w:spacing w:line="259" w:lineRule="auto"/>
              <w:jc w:val="center"/>
              <w:rPr>
                <w:rFonts w:hint="eastAsia" w:cs="Calibri"/>
                <w:sz w:val="20"/>
                <w:szCs w:val="20"/>
                <w:lang w:eastAsia="zh-CN"/>
              </w:rPr>
            </w:pPr>
            <w:r w:rsidRPr="2B7FFB25">
              <w:rPr>
                <w:rFonts w:cs="Calibri"/>
                <w:sz w:val="20"/>
                <w:szCs w:val="20"/>
                <w:lang w:eastAsia="zh-CN"/>
              </w:rPr>
              <w:t>Tan, 2024; Wänke, 2024; Antunes, 2024; Emrouznejad, 2024</w:t>
            </w:r>
          </w:p>
        </w:tc>
        <w:tc>
          <w:tcPr>
            <w:tcW w:w="6115" w:type="dxa"/>
            <w:tcMar/>
          </w:tcPr>
          <w:p w:rsidR="2B7FFB25" w:rsidP="2B7FFB25" w:rsidRDefault="2B7FFB25" w14:paraId="4C0D43DA" w14:textId="7A32BF44">
            <w:pPr>
              <w:spacing w:line="259" w:lineRule="auto"/>
              <w:jc w:val="center"/>
              <w:rPr>
                <w:rFonts w:hint="eastAsia" w:cs="Calibri"/>
                <w:sz w:val="20"/>
                <w:szCs w:val="20"/>
                <w:lang w:eastAsia="zh-CN"/>
              </w:rPr>
            </w:pPr>
            <w:r w:rsidRPr="2B7FFB25">
              <w:rPr>
                <w:rFonts w:cs="Calibri"/>
                <w:sz w:val="20"/>
                <w:szCs w:val="20"/>
                <w:lang w:eastAsia="zh-CN"/>
              </w:rPr>
              <w:t>Investigating the performance in the banking industry, research on Chinese banking efciency is rather focused on discussing rankings to the detriment of unveiling its productive structure in light of banking competition</w:t>
            </w:r>
          </w:p>
        </w:tc>
      </w:tr>
      <w:tr w:rsidR="2B7FFB25" w:rsidTr="4F940BA9" w14:paraId="1632212D" w14:textId="77777777">
        <w:trPr>
          <w:trHeight w:val="284"/>
        </w:trPr>
        <w:tc>
          <w:tcPr>
            <w:tcW w:w="899" w:type="dxa"/>
            <w:tcMar/>
          </w:tcPr>
          <w:p w:rsidR="2ED1B2E1" w:rsidP="2B7FFB25" w:rsidRDefault="2ED1B2E1" w14:paraId="5BD371E5" w14:textId="38D62509">
            <w:pPr>
              <w:jc w:val="center"/>
              <w:rPr>
                <w:rFonts w:hint="eastAsia" w:cs="Calibri"/>
                <w:sz w:val="20"/>
                <w:szCs w:val="20"/>
                <w:lang w:eastAsia="zh-CN"/>
              </w:rPr>
            </w:pPr>
            <w:r w:rsidRPr="2B7FFB25">
              <w:rPr>
                <w:rFonts w:cs="Calibri"/>
                <w:sz w:val="20"/>
                <w:szCs w:val="20"/>
                <w:lang w:eastAsia="zh-CN"/>
              </w:rPr>
              <w:t>11</w:t>
            </w:r>
          </w:p>
        </w:tc>
        <w:tc>
          <w:tcPr>
            <w:tcW w:w="1981" w:type="dxa"/>
            <w:tcMar/>
          </w:tcPr>
          <w:p w:rsidR="2B7FFB25" w:rsidP="2B7FFB25" w:rsidRDefault="2B7FFB25" w14:paraId="2F1D6DED" w14:textId="6331C3E8">
            <w:pPr>
              <w:spacing w:line="259" w:lineRule="auto"/>
              <w:jc w:val="center"/>
              <w:rPr>
                <w:rFonts w:hint="eastAsia" w:cs="Calibri"/>
                <w:sz w:val="20"/>
                <w:szCs w:val="20"/>
                <w:lang w:eastAsia="zh-CN"/>
              </w:rPr>
            </w:pPr>
            <w:r w:rsidRPr="2B7FFB25">
              <w:rPr>
                <w:rFonts w:cs="Calibri"/>
                <w:sz w:val="20"/>
                <w:szCs w:val="20"/>
                <w:lang w:eastAsia="zh-CN"/>
              </w:rPr>
              <w:t>(An, Chen, Liang &amp; Wu, 2015)</w:t>
            </w:r>
          </w:p>
        </w:tc>
        <w:tc>
          <w:tcPr>
            <w:tcW w:w="6115" w:type="dxa"/>
            <w:tcMar/>
          </w:tcPr>
          <w:p w:rsidR="2B7FFB25" w:rsidP="2B7FFB25" w:rsidRDefault="2B7FFB25" w14:paraId="3B6164AA" w14:textId="2B93AC63">
            <w:pPr>
              <w:spacing w:line="259" w:lineRule="auto"/>
              <w:jc w:val="center"/>
              <w:rPr>
                <w:rFonts w:hint="eastAsia" w:cs="Calibri"/>
                <w:sz w:val="20"/>
                <w:szCs w:val="20"/>
                <w:lang w:eastAsia="zh-CN"/>
              </w:rPr>
            </w:pPr>
            <w:r w:rsidRPr="2B7FFB25">
              <w:rPr>
                <w:rFonts w:cs="Calibri"/>
                <w:sz w:val="20"/>
                <w:szCs w:val="20"/>
                <w:lang w:eastAsia="zh-CN"/>
              </w:rPr>
              <w:t>measure the efficiency of Chinese commercial banks, considering undesirable outputs within a two-stage operational process</w:t>
            </w:r>
          </w:p>
        </w:tc>
      </w:tr>
      <w:tr w:rsidR="2B7FFB25" w:rsidTr="4F940BA9" w14:paraId="47F4E675" w14:textId="77777777">
        <w:trPr>
          <w:trHeight w:val="284"/>
        </w:trPr>
        <w:tc>
          <w:tcPr>
            <w:tcW w:w="899" w:type="dxa"/>
            <w:tcMar/>
          </w:tcPr>
          <w:p w:rsidR="01D0163D" w:rsidP="2B7FFB25" w:rsidRDefault="01D0163D" w14:paraId="5B77C3D0" w14:textId="38447D46">
            <w:pPr>
              <w:jc w:val="center"/>
              <w:rPr>
                <w:rFonts w:hint="eastAsia" w:cs="Calibri"/>
                <w:sz w:val="20"/>
                <w:szCs w:val="20"/>
                <w:lang w:eastAsia="zh-CN"/>
              </w:rPr>
            </w:pPr>
            <w:r w:rsidRPr="2B7FFB25">
              <w:rPr>
                <w:rFonts w:cs="Calibri"/>
                <w:sz w:val="20"/>
                <w:szCs w:val="20"/>
                <w:lang w:eastAsia="zh-CN"/>
              </w:rPr>
              <w:t>16</w:t>
            </w:r>
          </w:p>
        </w:tc>
        <w:tc>
          <w:tcPr>
            <w:tcW w:w="1981" w:type="dxa"/>
            <w:tcMar/>
          </w:tcPr>
          <w:p w:rsidR="2B7FFB25" w:rsidP="2B7FFB25" w:rsidRDefault="2B7FFB25" w14:paraId="555B8D2B" w14:textId="38459D39">
            <w:pPr>
              <w:spacing w:line="259" w:lineRule="auto"/>
              <w:jc w:val="center"/>
              <w:rPr>
                <w:rFonts w:hint="eastAsia" w:cs="Calibri"/>
                <w:sz w:val="20"/>
                <w:szCs w:val="20"/>
                <w:lang w:eastAsia="zh-CN"/>
              </w:rPr>
            </w:pPr>
            <w:r w:rsidRPr="2B7FFB25">
              <w:rPr>
                <w:rFonts w:cs="Calibri"/>
                <w:sz w:val="20"/>
                <w:szCs w:val="20"/>
                <w:lang w:eastAsia="zh-CN"/>
              </w:rPr>
              <w:t>Hirofumi Fukuyamaa , Yong Tan (2022)</w:t>
            </w:r>
          </w:p>
        </w:tc>
        <w:tc>
          <w:tcPr>
            <w:tcW w:w="6115" w:type="dxa"/>
            <w:tcMar/>
          </w:tcPr>
          <w:p w:rsidR="2B7FFB25" w:rsidP="2B7FFB25" w:rsidRDefault="2B7FFB25" w14:paraId="18530734" w14:textId="4E586CCB">
            <w:pPr>
              <w:spacing w:line="259" w:lineRule="auto"/>
              <w:jc w:val="center"/>
              <w:rPr>
                <w:rFonts w:hint="eastAsia" w:cs="Calibri"/>
                <w:sz w:val="20"/>
                <w:szCs w:val="20"/>
                <w:lang w:eastAsia="zh-CN"/>
              </w:rPr>
            </w:pPr>
            <w:r w:rsidRPr="2B7FFB25">
              <w:rPr>
                <w:rFonts w:cs="Calibri"/>
                <w:sz w:val="20"/>
                <w:szCs w:val="20"/>
                <w:lang w:eastAsia="zh-CN"/>
              </w:rPr>
              <w:t>evaluating bank efficiency including strategic disposability and undesirable outputs in Chinese banks</w:t>
            </w:r>
          </w:p>
        </w:tc>
      </w:tr>
      <w:tr w:rsidR="2B7FFB25" w:rsidTr="4F940BA9" w14:paraId="5FBDB4CB" w14:textId="77777777">
        <w:trPr>
          <w:trHeight w:val="284"/>
        </w:trPr>
        <w:tc>
          <w:tcPr>
            <w:tcW w:w="899" w:type="dxa"/>
            <w:tcMar/>
          </w:tcPr>
          <w:p w:rsidR="5155E557" w:rsidP="2B7FFB25" w:rsidRDefault="5155E557" w14:paraId="59E1294B" w14:textId="3E747C6B">
            <w:pPr>
              <w:jc w:val="center"/>
              <w:rPr>
                <w:rFonts w:hint="eastAsia" w:cs="Calibri"/>
                <w:sz w:val="20"/>
                <w:szCs w:val="20"/>
                <w:lang w:eastAsia="zh-CN"/>
              </w:rPr>
            </w:pPr>
            <w:r w:rsidRPr="2B7FFB25">
              <w:rPr>
                <w:rFonts w:cs="Calibri"/>
                <w:sz w:val="20"/>
                <w:szCs w:val="20"/>
                <w:lang w:eastAsia="zh-CN"/>
              </w:rPr>
              <w:t>21</w:t>
            </w:r>
          </w:p>
        </w:tc>
        <w:tc>
          <w:tcPr>
            <w:tcW w:w="1981" w:type="dxa"/>
            <w:tcMar/>
          </w:tcPr>
          <w:p w:rsidR="2B7FFB25" w:rsidP="2B7FFB25" w:rsidRDefault="2B7FFB25" w14:paraId="557AD16C" w14:textId="54281C30">
            <w:pPr>
              <w:spacing w:line="259" w:lineRule="auto"/>
              <w:jc w:val="center"/>
              <w:rPr>
                <w:rFonts w:hint="eastAsia" w:cs="Calibri"/>
                <w:sz w:val="20"/>
                <w:szCs w:val="20"/>
                <w:lang w:eastAsia="zh-CN"/>
              </w:rPr>
            </w:pPr>
            <w:r w:rsidRPr="2B7FFB25">
              <w:rPr>
                <w:rFonts w:cs="Calibri"/>
                <w:sz w:val="20"/>
                <w:szCs w:val="20"/>
                <w:lang w:eastAsia="zh-CN"/>
              </w:rPr>
              <w:t>Hirofumi Fukuyamaa , Roman Matousek (2017)</w:t>
            </w:r>
          </w:p>
        </w:tc>
        <w:tc>
          <w:tcPr>
            <w:tcW w:w="6115" w:type="dxa"/>
            <w:tcMar/>
          </w:tcPr>
          <w:p w:rsidR="2B7FFB25" w:rsidP="2B7FFB25" w:rsidRDefault="2B7FFB25" w14:paraId="2EE550E5" w14:textId="384267B5">
            <w:pPr>
              <w:spacing w:line="259" w:lineRule="auto"/>
              <w:jc w:val="center"/>
              <w:rPr>
                <w:rFonts w:hint="eastAsia" w:cs="Calibri"/>
                <w:sz w:val="20"/>
                <w:szCs w:val="20"/>
                <w:lang w:eastAsia="zh-CN"/>
              </w:rPr>
            </w:pPr>
            <w:r w:rsidRPr="2B7FFB25">
              <w:rPr>
                <w:rFonts w:cs="Calibri"/>
                <w:sz w:val="20"/>
                <w:szCs w:val="20"/>
                <w:lang w:eastAsia="zh-CN"/>
              </w:rPr>
              <w:t>It focuses on evaluating network revenue performance and behavioral differences between types of regional banks in Japan, particularly how banks can adjust inputs/outputs to maximize revenue and the optimal level of non-performing loans (NPLs)</w:t>
            </w:r>
          </w:p>
        </w:tc>
      </w:tr>
      <w:tr w:rsidR="2B7FFB25" w:rsidTr="4F940BA9" w14:paraId="7444BF32" w14:textId="77777777">
        <w:trPr>
          <w:trHeight w:val="284"/>
        </w:trPr>
        <w:tc>
          <w:tcPr>
            <w:tcW w:w="899" w:type="dxa"/>
            <w:tcMar/>
          </w:tcPr>
          <w:p w:rsidR="2A80B9FD" w:rsidP="2B7FFB25" w:rsidRDefault="2A80B9FD" w14:paraId="6A65411D" w14:textId="5A37F5DF">
            <w:pPr>
              <w:jc w:val="center"/>
              <w:rPr>
                <w:rFonts w:hint="eastAsia" w:cs="Calibri"/>
                <w:sz w:val="20"/>
                <w:szCs w:val="20"/>
                <w:lang w:eastAsia="zh-CN"/>
              </w:rPr>
            </w:pPr>
            <w:r w:rsidRPr="2B7FFB25">
              <w:rPr>
                <w:rFonts w:cs="Calibri"/>
                <w:sz w:val="20"/>
                <w:szCs w:val="20"/>
                <w:lang w:eastAsia="zh-CN"/>
              </w:rPr>
              <w:t>26</w:t>
            </w:r>
          </w:p>
        </w:tc>
        <w:tc>
          <w:tcPr>
            <w:tcW w:w="1981" w:type="dxa"/>
            <w:tcMar/>
          </w:tcPr>
          <w:p w:rsidR="2B7FFB25" w:rsidP="2B7FFB25" w:rsidRDefault="2B7FFB25" w14:paraId="4C05DB17" w14:textId="37664DEF">
            <w:pPr>
              <w:spacing w:line="259" w:lineRule="auto"/>
              <w:jc w:val="center"/>
              <w:rPr>
                <w:rFonts w:hint="eastAsia" w:cs="Calibri"/>
                <w:sz w:val="20"/>
                <w:szCs w:val="20"/>
                <w:lang w:eastAsia="zh-CN"/>
              </w:rPr>
            </w:pPr>
            <w:r w:rsidRPr="2B7FFB25">
              <w:rPr>
                <w:rFonts w:cs="Calibri"/>
                <w:sz w:val="20"/>
                <w:szCs w:val="20"/>
                <w:lang w:eastAsia="zh-CN"/>
              </w:rPr>
              <w:t>Kent Matthews a , Zhiguo Xiao (2020)</w:t>
            </w:r>
          </w:p>
        </w:tc>
        <w:tc>
          <w:tcPr>
            <w:tcW w:w="6115" w:type="dxa"/>
            <w:tcMar/>
          </w:tcPr>
          <w:p w:rsidR="2B7FFB25" w:rsidP="2B7FFB25" w:rsidRDefault="2B7FFB25" w14:paraId="630983EA" w14:textId="3C1478A4">
            <w:pPr>
              <w:spacing w:line="259" w:lineRule="auto"/>
              <w:jc w:val="center"/>
              <w:rPr>
                <w:rFonts w:hint="eastAsia" w:cs="Calibri"/>
                <w:sz w:val="20"/>
                <w:szCs w:val="20"/>
                <w:lang w:eastAsia="zh-CN"/>
              </w:rPr>
            </w:pPr>
            <w:r w:rsidRPr="2B7FFB25">
              <w:rPr>
                <w:rFonts w:cs="Calibri"/>
                <w:sz w:val="20"/>
                <w:szCs w:val="20"/>
                <w:lang w:eastAsia="zh-CN"/>
              </w:rPr>
              <w:t>it aims to measure cost inefficiency of Chinese banks using the familiar non-parametric method of Data-Envelopment-Analysis (DEA) by bootstrapping methods to provide estimates that lend themselves to statistical inference.</w:t>
            </w:r>
          </w:p>
          <w:p w:rsidR="2B7FFB25" w:rsidP="2B7FFB25" w:rsidRDefault="2B7FFB25" w14:paraId="5AFC6DED" w14:textId="2E598E6F">
            <w:pPr>
              <w:spacing w:line="259" w:lineRule="auto"/>
              <w:jc w:val="center"/>
              <w:rPr>
                <w:rFonts w:hint="eastAsia" w:cs="Calibri"/>
                <w:sz w:val="20"/>
                <w:szCs w:val="20"/>
                <w:lang w:eastAsia="zh-CN"/>
              </w:rPr>
            </w:pPr>
            <w:r w:rsidRPr="2B7FFB25">
              <w:rPr>
                <w:rFonts w:cs="Calibri"/>
                <w:sz w:val="20"/>
                <w:szCs w:val="20"/>
                <w:lang w:eastAsia="zh-CN"/>
              </w:rPr>
              <w:t>it decomposes the measure of cost inefficiency into its constituent parts of technical inefficiency and allocative inefficiency</w:t>
            </w:r>
          </w:p>
          <w:p w:rsidR="2B7FFB25" w:rsidP="2B7FFB25" w:rsidRDefault="2B7FFB25" w14:paraId="0F7F92D1" w14:textId="6B02BECC">
            <w:pPr>
              <w:spacing w:line="259" w:lineRule="auto"/>
              <w:jc w:val="center"/>
              <w:rPr>
                <w:rFonts w:hint="eastAsia" w:cs="Calibri"/>
                <w:sz w:val="20"/>
                <w:szCs w:val="20"/>
                <w:lang w:eastAsia="zh-CN"/>
              </w:rPr>
            </w:pPr>
            <w:r w:rsidRPr="2B7FFB25">
              <w:rPr>
                <w:rFonts w:cs="Calibri"/>
                <w:sz w:val="20"/>
                <w:szCs w:val="20"/>
                <w:lang w:eastAsia="zh-CN"/>
              </w:rPr>
              <w:t xml:space="preserve">the bootstrap estimates of inefficiency are used to test various hypotheses regarding </w:t>
            </w:r>
            <w:r w:rsidRPr="139B3724" w:rsidR="346E7479">
              <w:rPr>
                <w:rFonts w:cs="Calibri"/>
                <w:sz w:val="20"/>
                <w:szCs w:val="20"/>
                <w:lang w:eastAsia="zh-CN"/>
              </w:rPr>
              <w:t>H</w:t>
            </w:r>
            <w:r w:rsidRPr="139B3724">
              <w:rPr>
                <w:rFonts w:cs="Calibri"/>
                <w:sz w:val="20"/>
                <w:szCs w:val="20"/>
                <w:lang w:eastAsia="zh-CN"/>
              </w:rPr>
              <w:t>the</w:t>
            </w:r>
            <w:r w:rsidRPr="2B7FFB25">
              <w:rPr>
                <w:rFonts w:cs="Calibri"/>
                <w:sz w:val="20"/>
                <w:szCs w:val="20"/>
                <w:lang w:eastAsia="zh-CN"/>
              </w:rPr>
              <w:t xml:space="preserve"> levels, trends and convergence in technical inefficiency and allocative inefficiency</w:t>
            </w:r>
          </w:p>
        </w:tc>
      </w:tr>
      <w:tr w:rsidR="2B7FFB25" w:rsidTr="4F940BA9" w14:paraId="70016E1F" w14:textId="77777777">
        <w:trPr>
          <w:trHeight w:val="284"/>
        </w:trPr>
        <w:tc>
          <w:tcPr>
            <w:tcW w:w="899" w:type="dxa"/>
            <w:tcMar/>
          </w:tcPr>
          <w:p w:rsidR="11E525F4" w:rsidP="2B7FFB25" w:rsidRDefault="11E525F4" w14:paraId="188BAB50" w14:textId="0BF7029E">
            <w:pPr>
              <w:jc w:val="center"/>
              <w:rPr>
                <w:rFonts w:hint="eastAsia" w:cs="Calibri"/>
                <w:sz w:val="20"/>
                <w:szCs w:val="20"/>
                <w:lang w:eastAsia="zh-CN"/>
              </w:rPr>
            </w:pPr>
            <w:r w:rsidRPr="2B7FFB25">
              <w:rPr>
                <w:rFonts w:cs="Calibri"/>
                <w:sz w:val="20"/>
                <w:szCs w:val="20"/>
                <w:lang w:eastAsia="zh-CN"/>
              </w:rPr>
              <w:t>31</w:t>
            </w:r>
          </w:p>
        </w:tc>
        <w:tc>
          <w:tcPr>
            <w:tcW w:w="1981" w:type="dxa"/>
            <w:tcMar/>
          </w:tcPr>
          <w:p w:rsidR="2B7FFB25" w:rsidP="2B7FFB25" w:rsidRDefault="2B7FFB25" w14:paraId="6D701CB1" w14:textId="1527A00D">
            <w:pPr>
              <w:spacing w:line="259" w:lineRule="auto"/>
              <w:jc w:val="center"/>
              <w:rPr>
                <w:rFonts w:hint="eastAsia" w:cs="Calibri"/>
                <w:sz w:val="20"/>
                <w:szCs w:val="20"/>
                <w:lang w:eastAsia="zh-CN"/>
              </w:rPr>
            </w:pPr>
            <w:r w:rsidRPr="2B7FFB25">
              <w:rPr>
                <w:rFonts w:cs="Calibri"/>
                <w:sz w:val="20"/>
                <w:szCs w:val="20"/>
                <w:lang w:eastAsia="zh-CN"/>
              </w:rPr>
              <w:t>Fukuyama, Tsionas, Tan (2023)</w:t>
            </w:r>
          </w:p>
        </w:tc>
        <w:tc>
          <w:tcPr>
            <w:tcW w:w="6115" w:type="dxa"/>
            <w:tcMar/>
          </w:tcPr>
          <w:p w:rsidR="2B7FFB25" w:rsidP="2B7FFB25" w:rsidRDefault="2B7FFB25" w14:paraId="0F0AB12C" w14:textId="72FD335D">
            <w:pPr>
              <w:spacing w:line="259" w:lineRule="auto"/>
              <w:jc w:val="center"/>
              <w:rPr>
                <w:rFonts w:hint="eastAsia" w:cs="Calibri"/>
                <w:sz w:val="20"/>
                <w:szCs w:val="20"/>
                <w:lang w:eastAsia="zh-CN"/>
              </w:rPr>
            </w:pPr>
            <w:r w:rsidRPr="2B7FFB25">
              <w:rPr>
                <w:rFonts w:cs="Calibri"/>
                <w:sz w:val="20"/>
                <w:szCs w:val="20"/>
                <w:lang w:eastAsia="zh-CN"/>
              </w:rPr>
              <w:t xml:space="preserve">The study aims to contribute to the fields of empirical banking and operational research in banking by proposing a two-staged </w:t>
            </w:r>
            <w:r w:rsidRPr="00136C8B">
              <w:rPr>
                <w:rFonts w:cs="Calibri"/>
                <w:sz w:val="18"/>
                <w:szCs w:val="18"/>
                <w:lang w:eastAsia="zh-CN"/>
              </w:rPr>
              <w:t>dynamic</w:t>
            </w:r>
            <w:r w:rsidRPr="2B7FFB25">
              <w:rPr>
                <w:rFonts w:cs="Calibri"/>
                <w:sz w:val="20"/>
                <w:szCs w:val="20"/>
                <w:lang w:eastAsia="zh-CN"/>
              </w:rPr>
              <w:t xml:space="preserve"> Data Envelopment Analysis (DEA) model. This model specifically considers the role of loan loss reserves in the banking production process, treating them as a carryover variable.</w:t>
            </w:r>
          </w:p>
        </w:tc>
      </w:tr>
      <w:tr w:rsidR="2B7FFB25" w:rsidTr="4F940BA9" w14:paraId="59051E62" w14:textId="77777777">
        <w:trPr>
          <w:trHeight w:val="284"/>
        </w:trPr>
        <w:tc>
          <w:tcPr>
            <w:tcW w:w="899" w:type="dxa"/>
            <w:tcMar/>
          </w:tcPr>
          <w:p w:rsidR="195BFDDD" w:rsidP="2B7FFB25" w:rsidRDefault="195BFDDD" w14:paraId="27922D76" w14:textId="3FFB19EA">
            <w:pPr>
              <w:jc w:val="center"/>
              <w:rPr>
                <w:rFonts w:hint="eastAsia" w:cs="Calibri"/>
                <w:sz w:val="20"/>
                <w:szCs w:val="20"/>
                <w:lang w:eastAsia="zh-CN"/>
              </w:rPr>
            </w:pPr>
            <w:r w:rsidRPr="2B7FFB25">
              <w:rPr>
                <w:rFonts w:cs="Calibri"/>
                <w:sz w:val="20"/>
                <w:szCs w:val="20"/>
                <w:lang w:eastAsia="zh-CN"/>
              </w:rPr>
              <w:t>36</w:t>
            </w:r>
          </w:p>
        </w:tc>
        <w:tc>
          <w:tcPr>
            <w:tcW w:w="1981" w:type="dxa"/>
            <w:tcMar/>
          </w:tcPr>
          <w:p w:rsidR="2B7FFB25" w:rsidP="2B7FFB25" w:rsidRDefault="2B7FFB25" w14:paraId="63A7FCCD" w14:textId="64C43B7D">
            <w:pPr>
              <w:spacing w:line="259" w:lineRule="auto"/>
              <w:jc w:val="center"/>
              <w:rPr>
                <w:rFonts w:hint="eastAsia" w:cs="Calibri"/>
                <w:sz w:val="20"/>
                <w:szCs w:val="20"/>
                <w:lang w:eastAsia="zh-CN"/>
              </w:rPr>
            </w:pPr>
            <w:r w:rsidRPr="2B7FFB25">
              <w:rPr>
                <w:rFonts w:cs="Calibri"/>
                <w:sz w:val="20"/>
                <w:szCs w:val="20"/>
                <w:lang w:eastAsia="zh-CN"/>
              </w:rPr>
              <w:t>Necmi K. Avkiran, Hiroshi Morita (2010)</w:t>
            </w:r>
          </w:p>
        </w:tc>
        <w:tc>
          <w:tcPr>
            <w:tcW w:w="6115" w:type="dxa"/>
            <w:tcMar/>
          </w:tcPr>
          <w:p w:rsidR="2B7FFB25" w:rsidP="2B7FFB25" w:rsidRDefault="2B7FFB25" w14:paraId="15267399" w14:textId="10299162">
            <w:pPr>
              <w:spacing w:line="259" w:lineRule="auto"/>
              <w:jc w:val="center"/>
              <w:rPr>
                <w:rFonts w:hint="eastAsia" w:cs="Calibri"/>
                <w:sz w:val="20"/>
                <w:szCs w:val="20"/>
                <w:lang w:eastAsia="zh-CN"/>
              </w:rPr>
            </w:pPr>
            <w:r w:rsidRPr="2B7FFB25">
              <w:rPr>
                <w:rFonts w:cs="Calibri"/>
                <w:sz w:val="20"/>
                <w:szCs w:val="20"/>
                <w:lang w:eastAsia="zh-CN"/>
              </w:rPr>
              <w:t>To capture the interactions among different perceptions on a common set of performance measures</w:t>
            </w:r>
          </w:p>
        </w:tc>
      </w:tr>
      <w:tr w:rsidR="2B7FFB25" w:rsidTr="4F940BA9" w14:paraId="4F1FBA3A" w14:textId="77777777">
        <w:trPr>
          <w:trHeight w:val="284"/>
        </w:trPr>
        <w:tc>
          <w:tcPr>
            <w:tcW w:w="899" w:type="dxa"/>
            <w:tcMar/>
          </w:tcPr>
          <w:p w:rsidR="5D324B0F" w:rsidP="2B7FFB25" w:rsidRDefault="5D324B0F" w14:paraId="11C5C6CF" w14:textId="0F960152">
            <w:pPr>
              <w:jc w:val="center"/>
              <w:rPr>
                <w:rFonts w:hint="eastAsia" w:cs="Calibri"/>
                <w:sz w:val="20"/>
                <w:szCs w:val="20"/>
                <w:lang w:eastAsia="zh-CN"/>
              </w:rPr>
            </w:pPr>
            <w:r w:rsidRPr="2B7FFB25">
              <w:rPr>
                <w:rFonts w:cs="Calibri"/>
                <w:sz w:val="20"/>
                <w:szCs w:val="20"/>
                <w:lang w:eastAsia="zh-CN"/>
              </w:rPr>
              <w:t>41</w:t>
            </w:r>
          </w:p>
        </w:tc>
        <w:tc>
          <w:tcPr>
            <w:tcW w:w="1981" w:type="dxa"/>
            <w:tcMar/>
          </w:tcPr>
          <w:p w:rsidR="2B7FFB25" w:rsidP="2B7FFB25" w:rsidRDefault="2B7FFB25" w14:paraId="0D3B88C9" w14:textId="15E917AE">
            <w:pPr>
              <w:spacing w:line="259" w:lineRule="auto"/>
              <w:jc w:val="center"/>
              <w:rPr>
                <w:rFonts w:hint="eastAsia" w:cs="Calibri"/>
                <w:sz w:val="20"/>
                <w:szCs w:val="20"/>
                <w:lang w:eastAsia="zh-CN"/>
              </w:rPr>
            </w:pPr>
            <w:r w:rsidRPr="2B7FFB25">
              <w:rPr>
                <w:rFonts w:cs="Calibri"/>
                <w:sz w:val="20"/>
                <w:szCs w:val="20"/>
                <w:lang w:eastAsia="zh-CN"/>
              </w:rPr>
              <w:t>Guangcheng Xu and Zhixiang Zhou (2020)</w:t>
            </w:r>
          </w:p>
        </w:tc>
        <w:tc>
          <w:tcPr>
            <w:tcW w:w="6115" w:type="dxa"/>
            <w:tcMar/>
          </w:tcPr>
          <w:p w:rsidR="2B7FFB25" w:rsidP="2B7FFB25" w:rsidRDefault="2B7FFB25" w14:paraId="29E1E3BA" w14:textId="6B53613F">
            <w:pPr>
              <w:spacing w:line="259" w:lineRule="auto"/>
              <w:jc w:val="center"/>
              <w:rPr>
                <w:rFonts w:hint="eastAsia" w:cs="Calibri"/>
                <w:sz w:val="20"/>
                <w:szCs w:val="20"/>
                <w:lang w:eastAsia="zh-CN"/>
              </w:rPr>
            </w:pPr>
            <w:r w:rsidRPr="2B7FFB25">
              <w:rPr>
                <w:rFonts w:cs="Calibri"/>
                <w:sz w:val="20"/>
                <w:szCs w:val="20"/>
                <w:lang w:eastAsia="zh-CN"/>
              </w:rPr>
              <w:t>The purpose of this paper is to evaluate Chinese commercial banks efficiency based on different non-performing loans in the process.</w:t>
            </w:r>
          </w:p>
        </w:tc>
      </w:tr>
      <w:tr w:rsidR="2B7FFB25" w:rsidTr="4F940BA9" w14:paraId="7948A539" w14:textId="77777777">
        <w:trPr>
          <w:trHeight w:val="284"/>
        </w:trPr>
        <w:tc>
          <w:tcPr>
            <w:tcW w:w="899" w:type="dxa"/>
            <w:tcMar/>
          </w:tcPr>
          <w:p w:rsidR="6E382828" w:rsidP="2B7FFB25" w:rsidRDefault="6E382828" w14:paraId="1B7579A5" w14:textId="75483B72">
            <w:pPr>
              <w:jc w:val="center"/>
              <w:rPr>
                <w:rFonts w:hint="eastAsia" w:cs="Calibri"/>
                <w:sz w:val="20"/>
                <w:szCs w:val="20"/>
                <w:lang w:eastAsia="zh-CN"/>
              </w:rPr>
            </w:pPr>
            <w:r w:rsidRPr="2B7FFB25">
              <w:rPr>
                <w:rFonts w:cs="Calibri"/>
                <w:sz w:val="20"/>
                <w:szCs w:val="20"/>
                <w:lang w:eastAsia="zh-CN"/>
              </w:rPr>
              <w:t>7</w:t>
            </w:r>
          </w:p>
        </w:tc>
        <w:tc>
          <w:tcPr>
            <w:tcW w:w="1981" w:type="dxa"/>
            <w:tcMar/>
          </w:tcPr>
          <w:p w:rsidR="2B7FFB25" w:rsidP="2B7FFB25" w:rsidRDefault="2B7FFB25" w14:paraId="178E669A" w14:textId="306E268E">
            <w:pPr>
              <w:jc w:val="center"/>
              <w:rPr>
                <w:rFonts w:hint="eastAsia"/>
              </w:rPr>
            </w:pPr>
            <w:r w:rsidRPr="2B7FFB25">
              <w:rPr>
                <w:rFonts w:ascii="Aptos" w:hAnsi="Aptos" w:eastAsia="Aptos" w:cs="Aptos"/>
                <w:sz w:val="20"/>
                <w:szCs w:val="20"/>
              </w:rPr>
              <w:t>Matthews, et al. (2010)</w:t>
            </w:r>
          </w:p>
        </w:tc>
        <w:tc>
          <w:tcPr>
            <w:tcW w:w="6115" w:type="dxa"/>
            <w:tcMar/>
          </w:tcPr>
          <w:p w:rsidR="2B7FFB25" w:rsidP="2B7FFB25" w:rsidRDefault="2B7FFB25" w14:paraId="158DCCAB" w14:textId="483F86A7">
            <w:pPr>
              <w:jc w:val="center"/>
              <w:rPr>
                <w:rFonts w:hint="eastAsia"/>
              </w:rPr>
            </w:pPr>
            <w:r w:rsidRPr="2B7FFB25">
              <w:rPr>
                <w:rFonts w:ascii="Aptos" w:hAnsi="Aptos" w:eastAsia="Aptos" w:cs="Aptos"/>
                <w:sz w:val="20"/>
                <w:szCs w:val="20"/>
              </w:rPr>
              <w:t>To examine the productivity growth of the nationwide banks of China and a sample of city commercial, banks for the ten years to 2007</w:t>
            </w:r>
          </w:p>
        </w:tc>
      </w:tr>
      <w:tr w:rsidR="2B7FFB25" w:rsidTr="4F940BA9" w14:paraId="0631EAF3" w14:textId="77777777">
        <w:trPr>
          <w:trHeight w:val="284"/>
        </w:trPr>
        <w:tc>
          <w:tcPr>
            <w:tcW w:w="899" w:type="dxa"/>
            <w:tcMar/>
          </w:tcPr>
          <w:p w:rsidR="2D613F7C" w:rsidP="2B7FFB25" w:rsidRDefault="2D613F7C" w14:paraId="4232B773" w14:textId="584F9138">
            <w:pPr>
              <w:jc w:val="center"/>
              <w:rPr>
                <w:rFonts w:hint="eastAsia" w:cs="Calibri"/>
                <w:sz w:val="20"/>
                <w:szCs w:val="20"/>
                <w:lang w:eastAsia="zh-CN"/>
              </w:rPr>
            </w:pPr>
            <w:r w:rsidRPr="2B7FFB25">
              <w:rPr>
                <w:rFonts w:cs="Calibri"/>
                <w:sz w:val="20"/>
                <w:szCs w:val="20"/>
                <w:lang w:eastAsia="zh-CN"/>
              </w:rPr>
              <w:t>27</w:t>
            </w:r>
          </w:p>
        </w:tc>
        <w:tc>
          <w:tcPr>
            <w:tcW w:w="1981" w:type="dxa"/>
            <w:tcMar/>
          </w:tcPr>
          <w:p w:rsidR="2B7FFB25" w:rsidP="2B7FFB25" w:rsidRDefault="2B7FFB25" w14:paraId="4FA202AD" w14:textId="764B76CD">
            <w:pPr>
              <w:jc w:val="center"/>
              <w:rPr>
                <w:rFonts w:hint="eastAsia"/>
              </w:rPr>
            </w:pPr>
            <w:r w:rsidRPr="2B7FFB25">
              <w:rPr>
                <w:rFonts w:ascii="Aptos" w:hAnsi="Aptos" w:eastAsia="Aptos" w:cs="Aptos"/>
                <w:sz w:val="20"/>
                <w:szCs w:val="20"/>
                <w:lang w:val="en-US"/>
              </w:rPr>
              <w:t>Hou, et al. (2014)</w:t>
            </w:r>
          </w:p>
        </w:tc>
        <w:tc>
          <w:tcPr>
            <w:tcW w:w="6115" w:type="dxa"/>
            <w:tcMar/>
          </w:tcPr>
          <w:p w:rsidR="2B7FFB25" w:rsidP="2B7FFB25" w:rsidRDefault="2B7FFB25" w14:paraId="681D6E61" w14:textId="42A1F975">
            <w:pPr>
              <w:jc w:val="center"/>
              <w:rPr>
                <w:rFonts w:hint="eastAsia"/>
              </w:rPr>
            </w:pPr>
            <w:r w:rsidRPr="2B7FFB25">
              <w:rPr>
                <w:rFonts w:ascii="Aptos" w:hAnsi="Aptos" w:eastAsia="Aptos" w:cs="Aptos"/>
                <w:sz w:val="20"/>
                <w:szCs w:val="20"/>
              </w:rPr>
              <w:t>investigate the impact of market structure and risk taking on the efficiency of Chinese commercial banks</w:t>
            </w:r>
          </w:p>
        </w:tc>
      </w:tr>
      <w:tr w:rsidR="2B7FFB25" w:rsidTr="4F940BA9" w14:paraId="15A80D0D" w14:textId="77777777">
        <w:trPr>
          <w:trHeight w:val="284"/>
        </w:trPr>
        <w:tc>
          <w:tcPr>
            <w:tcW w:w="899" w:type="dxa"/>
            <w:tcMar/>
          </w:tcPr>
          <w:p w:rsidR="7240BBFE" w:rsidP="2B7FFB25" w:rsidRDefault="7240BBFE" w14:paraId="645EE0C7" w14:textId="0D5FEFEC">
            <w:pPr>
              <w:jc w:val="center"/>
              <w:rPr>
                <w:rFonts w:hint="eastAsia" w:cs="Calibri"/>
                <w:sz w:val="20"/>
                <w:szCs w:val="20"/>
                <w:lang w:eastAsia="zh-CN"/>
              </w:rPr>
            </w:pPr>
            <w:r w:rsidRPr="2B7FFB25">
              <w:rPr>
                <w:rFonts w:cs="Calibri"/>
                <w:sz w:val="20"/>
                <w:szCs w:val="20"/>
                <w:lang w:eastAsia="zh-CN"/>
              </w:rPr>
              <w:t>32</w:t>
            </w:r>
          </w:p>
        </w:tc>
        <w:tc>
          <w:tcPr>
            <w:tcW w:w="1981" w:type="dxa"/>
            <w:tcMar/>
          </w:tcPr>
          <w:p w:rsidR="2B7FFB25" w:rsidP="2B7FFB25" w:rsidRDefault="2B7FFB25" w14:paraId="21CFED77" w14:textId="3BF4D9AF">
            <w:pPr>
              <w:jc w:val="center"/>
              <w:rPr>
                <w:rFonts w:hint="eastAsia"/>
              </w:rPr>
            </w:pPr>
            <w:r w:rsidRPr="2B7FFB25">
              <w:rPr>
                <w:rFonts w:ascii="Aptos" w:hAnsi="Aptos" w:eastAsia="Aptos" w:cs="Aptos"/>
                <w:sz w:val="20"/>
                <w:szCs w:val="20"/>
              </w:rPr>
              <w:t>Fukuyama, et al. (2021)</w:t>
            </w:r>
          </w:p>
        </w:tc>
        <w:tc>
          <w:tcPr>
            <w:tcW w:w="6115" w:type="dxa"/>
            <w:tcMar/>
          </w:tcPr>
          <w:p w:rsidR="2B7FFB25" w:rsidP="2B7FFB25" w:rsidRDefault="2B7FFB25" w14:paraId="6D0EBDB5" w14:textId="437DE39C">
            <w:pPr>
              <w:jc w:val="center"/>
              <w:rPr>
                <w:rFonts w:hint="eastAsia"/>
              </w:rPr>
            </w:pPr>
            <w:r w:rsidRPr="2B7FFB25">
              <w:rPr>
                <w:rFonts w:ascii="Aptos" w:hAnsi="Aptos" w:eastAsia="Aptos" w:cs="Aptos"/>
                <w:sz w:val="20"/>
                <w:szCs w:val="20"/>
              </w:rPr>
              <w:t>This paper focuses on the use of loan loss reserves (LLRs) in the banking production process and considers it as a variable with a dual role.</w:t>
            </w:r>
          </w:p>
        </w:tc>
      </w:tr>
      <w:tr w:rsidR="2B7FFB25" w:rsidTr="4F940BA9" w14:paraId="05A37A38" w14:textId="77777777">
        <w:trPr>
          <w:trHeight w:val="284"/>
        </w:trPr>
        <w:tc>
          <w:tcPr>
            <w:tcW w:w="899" w:type="dxa"/>
            <w:tcMar/>
          </w:tcPr>
          <w:p w:rsidR="18787A99" w:rsidP="2B7FFB25" w:rsidRDefault="18787A99" w14:paraId="35A41754" w14:textId="4C8A35F8">
            <w:pPr>
              <w:jc w:val="center"/>
              <w:rPr>
                <w:rFonts w:hint="eastAsia" w:cs="Calibri"/>
                <w:sz w:val="20"/>
                <w:szCs w:val="20"/>
                <w:lang w:eastAsia="zh-CN"/>
              </w:rPr>
            </w:pPr>
            <w:r w:rsidRPr="2B7FFB25">
              <w:rPr>
                <w:rFonts w:cs="Calibri"/>
                <w:sz w:val="20"/>
                <w:szCs w:val="20"/>
                <w:lang w:eastAsia="zh-CN"/>
              </w:rPr>
              <w:t>22</w:t>
            </w:r>
          </w:p>
        </w:tc>
        <w:tc>
          <w:tcPr>
            <w:tcW w:w="1981" w:type="dxa"/>
            <w:tcMar/>
          </w:tcPr>
          <w:p w:rsidR="2B7FFB25" w:rsidP="2B7FFB25" w:rsidRDefault="2B7FFB25" w14:paraId="377A0BC8" w14:textId="6A7FA619">
            <w:pPr>
              <w:jc w:val="center"/>
              <w:rPr>
                <w:rFonts w:hint="eastAsia"/>
              </w:rPr>
            </w:pPr>
            <w:r w:rsidRPr="2B7FFB25">
              <w:rPr>
                <w:rFonts w:ascii="Aptos" w:hAnsi="Aptos" w:eastAsia="Aptos" w:cs="Aptos"/>
                <w:sz w:val="20"/>
                <w:szCs w:val="20"/>
              </w:rPr>
              <w:t>Fukuyama, et al. (2021)</w:t>
            </w:r>
          </w:p>
        </w:tc>
        <w:tc>
          <w:tcPr>
            <w:tcW w:w="6115" w:type="dxa"/>
            <w:tcMar/>
          </w:tcPr>
          <w:p w:rsidR="2B7FFB25" w:rsidP="2B7FFB25" w:rsidRDefault="2B7FFB25" w14:paraId="46A1709B" w14:textId="4BC3E79B">
            <w:pPr>
              <w:jc w:val="center"/>
              <w:rPr>
                <w:rFonts w:hint="eastAsia"/>
              </w:rPr>
            </w:pPr>
            <w:r w:rsidRPr="2B7FFB25">
              <w:rPr>
                <w:rFonts w:ascii="Aptos" w:hAnsi="Aptos" w:eastAsia="Aptos" w:cs="Aptos"/>
                <w:sz w:val="20"/>
                <w:szCs w:val="20"/>
              </w:rPr>
              <w:t xml:space="preserve"> Is corporate social responsibility (CSR) good for efficiency in the Chinese banking industry?</w:t>
            </w:r>
          </w:p>
        </w:tc>
      </w:tr>
      <w:tr w:rsidR="2B7FFB25" w:rsidTr="4F940BA9" w14:paraId="19BE7085" w14:textId="77777777">
        <w:trPr>
          <w:trHeight w:val="284"/>
        </w:trPr>
        <w:tc>
          <w:tcPr>
            <w:tcW w:w="899" w:type="dxa"/>
            <w:tcMar/>
          </w:tcPr>
          <w:p w:rsidR="562A64FE" w:rsidP="2B7FFB25" w:rsidRDefault="562A64FE" w14:paraId="6C7BB400" w14:textId="6D9A1F1B">
            <w:pPr>
              <w:jc w:val="center"/>
              <w:rPr>
                <w:rFonts w:hint="eastAsia" w:cs="Calibri"/>
                <w:sz w:val="20"/>
                <w:szCs w:val="20"/>
                <w:lang w:eastAsia="zh-CN"/>
              </w:rPr>
            </w:pPr>
            <w:r w:rsidRPr="2B7FFB25">
              <w:rPr>
                <w:rFonts w:cs="Calibri"/>
                <w:sz w:val="20"/>
                <w:szCs w:val="20"/>
                <w:lang w:eastAsia="zh-CN"/>
              </w:rPr>
              <w:t>17</w:t>
            </w:r>
          </w:p>
        </w:tc>
        <w:tc>
          <w:tcPr>
            <w:tcW w:w="1981" w:type="dxa"/>
            <w:tcMar/>
          </w:tcPr>
          <w:p w:rsidR="2B7FFB25" w:rsidP="2B7FFB25" w:rsidRDefault="2B7FFB25" w14:paraId="3519B042" w14:textId="6D7F78E9">
            <w:pPr>
              <w:jc w:val="center"/>
              <w:rPr>
                <w:rFonts w:hint="eastAsia"/>
              </w:rPr>
            </w:pPr>
            <w:r w:rsidRPr="2B7FFB25">
              <w:rPr>
                <w:rFonts w:ascii="Aptos" w:hAnsi="Aptos" w:eastAsia="Aptos" w:cs="Aptos"/>
                <w:sz w:val="20"/>
                <w:szCs w:val="20"/>
              </w:rPr>
              <w:t>Dong et al. (2016)</w:t>
            </w:r>
          </w:p>
        </w:tc>
        <w:tc>
          <w:tcPr>
            <w:tcW w:w="6115" w:type="dxa"/>
            <w:tcMar/>
          </w:tcPr>
          <w:p w:rsidR="2B7FFB25" w:rsidP="2B7FFB25" w:rsidRDefault="2B7FFB25" w14:paraId="55F5DAE0" w14:textId="78586413">
            <w:pPr>
              <w:jc w:val="center"/>
              <w:rPr>
                <w:rFonts w:hint="eastAsia"/>
              </w:rPr>
            </w:pPr>
            <w:r w:rsidRPr="2B7FFB25">
              <w:rPr>
                <w:rFonts w:ascii="Aptos" w:hAnsi="Aptos" w:eastAsia="Aptos" w:cs="Aptos"/>
                <w:sz w:val="20"/>
                <w:szCs w:val="20"/>
              </w:rPr>
              <w:t>To examine the cost and profit efficiency of four types of Chinese commercial banks over the period from 2002 to 2013.</w:t>
            </w:r>
          </w:p>
        </w:tc>
      </w:tr>
      <w:tr w:rsidR="2B7FFB25" w:rsidTr="4F940BA9" w14:paraId="07D0BC6A" w14:textId="77777777">
        <w:trPr>
          <w:trHeight w:val="284"/>
        </w:trPr>
        <w:tc>
          <w:tcPr>
            <w:tcW w:w="899" w:type="dxa"/>
            <w:tcMar/>
          </w:tcPr>
          <w:p w:rsidR="367E0B7D" w:rsidP="2B7FFB25" w:rsidRDefault="367E0B7D" w14:paraId="39AD13D5" w14:textId="350FF14F">
            <w:pPr>
              <w:jc w:val="center"/>
              <w:rPr>
                <w:rFonts w:hint="eastAsia" w:cs="Calibri"/>
                <w:sz w:val="20"/>
                <w:szCs w:val="20"/>
                <w:lang w:eastAsia="zh-CN"/>
              </w:rPr>
            </w:pPr>
            <w:r w:rsidRPr="2B7FFB25">
              <w:rPr>
                <w:rFonts w:cs="Calibri"/>
                <w:sz w:val="20"/>
                <w:szCs w:val="20"/>
                <w:lang w:eastAsia="zh-CN"/>
              </w:rPr>
              <w:t>12</w:t>
            </w:r>
          </w:p>
        </w:tc>
        <w:tc>
          <w:tcPr>
            <w:tcW w:w="1981" w:type="dxa"/>
            <w:tcMar/>
          </w:tcPr>
          <w:p w:rsidR="2B7FFB25" w:rsidP="2B7FFB25" w:rsidRDefault="2B7FFB25" w14:paraId="78B1112B" w14:textId="52B1BFD9">
            <w:pPr>
              <w:jc w:val="center"/>
              <w:rPr>
                <w:rFonts w:hint="eastAsia"/>
              </w:rPr>
            </w:pPr>
            <w:r w:rsidRPr="2B7FFB25">
              <w:rPr>
                <w:rFonts w:ascii="Aptos" w:hAnsi="Aptos" w:eastAsia="Aptos" w:cs="Aptos"/>
                <w:sz w:val="20"/>
                <w:szCs w:val="20"/>
              </w:rPr>
              <w:t>Luo et al. (2011)</w:t>
            </w:r>
          </w:p>
        </w:tc>
        <w:tc>
          <w:tcPr>
            <w:tcW w:w="6115" w:type="dxa"/>
            <w:tcMar/>
          </w:tcPr>
          <w:p w:rsidR="2B7FFB25" w:rsidP="2B7FFB25" w:rsidRDefault="2B7FFB25" w14:paraId="19C66B8D" w14:textId="29CA3B30">
            <w:pPr>
              <w:jc w:val="center"/>
              <w:rPr>
                <w:rFonts w:hint="eastAsia"/>
              </w:rPr>
            </w:pPr>
            <w:r w:rsidRPr="2B7FFB25">
              <w:rPr>
                <w:rFonts w:ascii="Aptos" w:hAnsi="Aptos" w:eastAsia="Aptos" w:cs="Aptos"/>
                <w:sz w:val="20"/>
                <w:szCs w:val="20"/>
              </w:rPr>
              <w:t>To evaluate the effectiveness of stock listing on Chinese commercial banks’ efficiency using two different frontier approaches.</w:t>
            </w:r>
          </w:p>
        </w:tc>
      </w:tr>
      <w:tr w:rsidR="2B7FFB25" w:rsidTr="4F940BA9" w14:paraId="51AB005E" w14:textId="77777777">
        <w:trPr>
          <w:trHeight w:val="284"/>
        </w:trPr>
        <w:tc>
          <w:tcPr>
            <w:tcW w:w="899" w:type="dxa"/>
            <w:tcMar/>
          </w:tcPr>
          <w:p w:rsidR="77D9264B" w:rsidP="2B7FFB25" w:rsidRDefault="77D9264B" w14:paraId="4C939E98" w14:textId="7FC87F23">
            <w:pPr>
              <w:jc w:val="center"/>
              <w:rPr>
                <w:rFonts w:hint="eastAsia" w:cs="Calibri"/>
                <w:sz w:val="20"/>
                <w:szCs w:val="20"/>
                <w:lang w:eastAsia="zh-CN"/>
              </w:rPr>
            </w:pPr>
            <w:r w:rsidRPr="2B7FFB25">
              <w:rPr>
                <w:rFonts w:cs="Calibri"/>
                <w:sz w:val="20"/>
                <w:szCs w:val="20"/>
                <w:lang w:eastAsia="zh-CN"/>
              </w:rPr>
              <w:t>2</w:t>
            </w:r>
          </w:p>
          <w:p w:rsidR="2B7FFB25" w:rsidP="2B7FFB25" w:rsidRDefault="2B7FFB25" w14:paraId="1B4752C5" w14:textId="7C20EA47">
            <w:pPr>
              <w:jc w:val="center"/>
              <w:rPr>
                <w:rFonts w:hint="eastAsia" w:cs="Calibri"/>
                <w:sz w:val="20"/>
                <w:szCs w:val="20"/>
                <w:lang w:eastAsia="zh-CN"/>
              </w:rPr>
            </w:pPr>
          </w:p>
        </w:tc>
        <w:tc>
          <w:tcPr>
            <w:tcW w:w="1981" w:type="dxa"/>
            <w:tcMar/>
          </w:tcPr>
          <w:p w:rsidR="2B7FFB25" w:rsidP="2B7FFB25" w:rsidRDefault="2B7FFB25" w14:paraId="1FA8B6B1" w14:textId="02938DE8">
            <w:pPr>
              <w:jc w:val="center"/>
              <w:rPr>
                <w:rFonts w:hint="eastAsia"/>
              </w:rPr>
            </w:pPr>
            <w:r w:rsidRPr="2B7FFB25">
              <w:rPr>
                <w:rFonts w:ascii="Aptos" w:hAnsi="Aptos" w:eastAsia="Aptos" w:cs="Aptos"/>
                <w:sz w:val="20"/>
                <w:szCs w:val="20"/>
              </w:rPr>
              <w:t>Antunes et al. (2022)</w:t>
            </w:r>
          </w:p>
        </w:tc>
        <w:tc>
          <w:tcPr>
            <w:tcW w:w="6115" w:type="dxa"/>
            <w:tcMar/>
          </w:tcPr>
          <w:p w:rsidR="2B7FFB25" w:rsidP="2B7FFB25" w:rsidRDefault="2B7FFB25" w14:paraId="48540F6A" w14:textId="02A71606">
            <w:pPr>
              <w:jc w:val="center"/>
              <w:rPr>
                <w:rFonts w:hint="eastAsia"/>
              </w:rPr>
            </w:pPr>
            <w:r w:rsidRPr="2B7FFB25">
              <w:rPr>
                <w:rFonts w:ascii="Aptos" w:hAnsi="Aptos" w:eastAsia="Aptos" w:cs="Aptos"/>
                <w:sz w:val="20"/>
                <w:szCs w:val="20"/>
              </w:rPr>
              <w:t>To evaluate the efficiency of 39 Chinese commercial banks over the period 2010–2018. Also, in the second stage, investigates</w:t>
            </w:r>
          </w:p>
          <w:p w:rsidR="2B7FFB25" w:rsidP="2B7FFB25" w:rsidRDefault="2B7FFB25" w14:paraId="71D16975" w14:textId="5D0C1A45">
            <w:pPr>
              <w:jc w:val="center"/>
              <w:rPr>
                <w:rFonts w:hint="eastAsia"/>
              </w:rPr>
            </w:pPr>
            <w:r w:rsidRPr="2B7FFB25">
              <w:rPr>
                <w:rFonts w:ascii="Aptos" w:hAnsi="Aptos" w:eastAsia="Aptos" w:cs="Aptos"/>
                <w:sz w:val="20"/>
                <w:szCs w:val="20"/>
              </w:rPr>
              <w:t>the inter-relationships between efficiency and some bank-specific variables (i.e. bank profitability, bank size, expenses management, traditional business and non-traditional business) under the Robust Endogenous Neural Network Analysis.</w:t>
            </w:r>
          </w:p>
        </w:tc>
      </w:tr>
      <w:tr w:rsidR="2B7FFB25" w:rsidTr="4F940BA9" w14:paraId="28A7A33A" w14:textId="77777777">
        <w:trPr>
          <w:trHeight w:val="284"/>
        </w:trPr>
        <w:tc>
          <w:tcPr>
            <w:tcW w:w="899" w:type="dxa"/>
            <w:tcMar/>
          </w:tcPr>
          <w:p w:rsidR="48AC5D0F" w:rsidP="2B7FFB25" w:rsidRDefault="48AC5D0F" w14:paraId="33B5ECFC" w14:textId="059C9C80">
            <w:pPr>
              <w:jc w:val="center"/>
              <w:rPr>
                <w:rFonts w:hint="eastAsia" w:cs="Calibri"/>
                <w:sz w:val="20"/>
                <w:szCs w:val="20"/>
                <w:lang w:eastAsia="zh-CN"/>
              </w:rPr>
            </w:pPr>
            <w:r w:rsidRPr="2B7FFB25">
              <w:rPr>
                <w:rFonts w:cs="Calibri"/>
                <w:sz w:val="20"/>
                <w:szCs w:val="20"/>
                <w:lang w:eastAsia="zh-CN"/>
              </w:rPr>
              <w:t>46</w:t>
            </w:r>
          </w:p>
        </w:tc>
        <w:tc>
          <w:tcPr>
            <w:tcW w:w="1981" w:type="dxa"/>
            <w:tcMar/>
          </w:tcPr>
          <w:p w:rsidR="2B7FFB25" w:rsidP="2B7FFB25" w:rsidRDefault="2B7FFB25" w14:paraId="2835FF9E" w14:textId="3E972786">
            <w:pPr>
              <w:jc w:val="center"/>
              <w:rPr>
                <w:rFonts w:hint="eastAsia"/>
              </w:rPr>
            </w:pPr>
            <w:r w:rsidRPr="2B7FFB25">
              <w:rPr>
                <w:rFonts w:ascii="Aptos" w:hAnsi="Aptos" w:eastAsia="Aptos" w:cs="Aptos"/>
                <w:sz w:val="20"/>
                <w:szCs w:val="20"/>
              </w:rPr>
              <w:t>Bingquan et al. (2019)</w:t>
            </w:r>
          </w:p>
        </w:tc>
        <w:tc>
          <w:tcPr>
            <w:tcW w:w="6115" w:type="dxa"/>
            <w:tcMar/>
          </w:tcPr>
          <w:p w:rsidR="2B7FFB25" w:rsidP="2B7FFB25" w:rsidRDefault="2B7FFB25" w14:paraId="029CA806" w14:textId="37005E7C">
            <w:pPr>
              <w:jc w:val="center"/>
              <w:rPr>
                <w:rFonts w:hint="eastAsia"/>
              </w:rPr>
            </w:pPr>
            <w:r w:rsidRPr="2B7FFB25">
              <w:rPr>
                <w:rFonts w:ascii="Aptos" w:hAnsi="Aptos" w:eastAsia="Aptos" w:cs="Aptos"/>
                <w:sz w:val="20"/>
                <w:szCs w:val="20"/>
              </w:rPr>
              <w:t>To address the relationship of Chinese urban commercial banks’ output loans around neighbouring regions and include the effect of the regional market environment on bank performance.</w:t>
            </w:r>
          </w:p>
        </w:tc>
      </w:tr>
      <w:tr w:rsidR="2B7FFB25" w:rsidTr="4F940BA9" w14:paraId="561441E9" w14:textId="77777777">
        <w:trPr>
          <w:trHeight w:val="284"/>
        </w:trPr>
        <w:tc>
          <w:tcPr>
            <w:tcW w:w="899" w:type="dxa"/>
            <w:tcMar/>
          </w:tcPr>
          <w:p w:rsidR="7EB17803" w:rsidP="2B7FFB25" w:rsidRDefault="7EB17803" w14:paraId="764D36FE" w14:textId="682078A4">
            <w:pPr>
              <w:jc w:val="center"/>
              <w:rPr>
                <w:rFonts w:hint="eastAsia" w:cs="Calibri"/>
                <w:sz w:val="20"/>
                <w:szCs w:val="20"/>
                <w:lang w:eastAsia="zh-CN"/>
              </w:rPr>
            </w:pPr>
            <w:r w:rsidRPr="2B7FFB25">
              <w:rPr>
                <w:rFonts w:cs="Calibri"/>
                <w:sz w:val="20"/>
                <w:szCs w:val="20"/>
                <w:lang w:eastAsia="zh-CN"/>
              </w:rPr>
              <w:t>42</w:t>
            </w:r>
          </w:p>
        </w:tc>
        <w:tc>
          <w:tcPr>
            <w:tcW w:w="1981" w:type="dxa"/>
            <w:tcMar/>
          </w:tcPr>
          <w:p w:rsidR="2B7FFB25" w:rsidP="2B7FFB25" w:rsidRDefault="2B7FFB25" w14:paraId="20D8CEEF" w14:textId="2775EF05">
            <w:pPr>
              <w:jc w:val="center"/>
              <w:rPr>
                <w:rFonts w:hint="eastAsia"/>
              </w:rPr>
            </w:pPr>
            <w:r w:rsidRPr="2B7FFB25">
              <w:rPr>
                <w:rFonts w:ascii="Aptos" w:hAnsi="Aptos" w:eastAsia="Aptos" w:cs="Aptos"/>
                <w:sz w:val="20"/>
                <w:szCs w:val="20"/>
              </w:rPr>
              <w:t xml:space="preserve">Luo </w:t>
            </w:r>
            <w:r w:rsidRPr="2B7FFB25">
              <w:rPr>
                <w:rFonts w:ascii="DengXian" w:hAnsi="DengXian" w:eastAsia="DengXian" w:cs="DengXian"/>
                <w:sz w:val="20"/>
                <w:szCs w:val="20"/>
              </w:rPr>
              <w:t>et al. (2010)</w:t>
            </w:r>
          </w:p>
        </w:tc>
        <w:tc>
          <w:tcPr>
            <w:tcW w:w="6115" w:type="dxa"/>
            <w:tcMar/>
          </w:tcPr>
          <w:p w:rsidR="2B7FFB25" w:rsidP="2B7FFB25" w:rsidRDefault="2B7FFB25" w14:paraId="231D1765" w14:textId="14FC7887">
            <w:pPr>
              <w:jc w:val="center"/>
              <w:rPr>
                <w:rFonts w:hint="eastAsia"/>
              </w:rPr>
            </w:pPr>
            <w:r w:rsidRPr="2B7FFB25">
              <w:rPr>
                <w:rFonts w:ascii="Aptos" w:hAnsi="Aptos" w:eastAsia="Aptos" w:cs="Aptos"/>
                <w:sz w:val="20"/>
                <w:szCs w:val="20"/>
              </w:rPr>
              <w:t>The most significant reform before the crisis was ownership diversification, aiming to improve corporate governance and efficiency. This article will study whether this reform has really improved bank efficiency.</w:t>
            </w:r>
          </w:p>
        </w:tc>
      </w:tr>
      <w:tr w:rsidR="4F940BA9" w:rsidTr="4F940BA9" w14:paraId="6FEED7F5">
        <w:trPr>
          <w:trHeight w:val="284"/>
        </w:trPr>
        <w:tc>
          <w:tcPr>
            <w:tcW w:w="899" w:type="dxa"/>
            <w:tcMar/>
          </w:tcPr>
          <w:p w:rsidR="4F940BA9" w:rsidP="4F940BA9" w:rsidRDefault="4F940BA9" w14:paraId="56949882" w14:textId="5F9C48CE">
            <w:pPr>
              <w:pStyle w:val="Normal"/>
              <w:jc w:val="center"/>
              <w:rPr>
                <w:rFonts w:cs="Calibri"/>
                <w:sz w:val="20"/>
                <w:szCs w:val="20"/>
                <w:lang w:eastAsia="zh-CN"/>
              </w:rPr>
            </w:pPr>
          </w:p>
        </w:tc>
        <w:tc>
          <w:tcPr>
            <w:tcW w:w="1981" w:type="dxa"/>
            <w:tcMar/>
          </w:tcPr>
          <w:p w:rsidR="4F940BA9" w:rsidP="4F940BA9" w:rsidRDefault="4F940BA9" w14:paraId="7D8E7444" w14:textId="16E6B6D6">
            <w:pPr>
              <w:pStyle w:val="Normal"/>
              <w:jc w:val="center"/>
              <w:rPr>
                <w:rFonts w:ascii="Aptos" w:hAnsi="Aptos" w:eastAsia="Aptos" w:cs="Aptos"/>
                <w:sz w:val="20"/>
                <w:szCs w:val="20"/>
              </w:rPr>
            </w:pPr>
          </w:p>
        </w:tc>
        <w:tc>
          <w:tcPr>
            <w:tcW w:w="6115" w:type="dxa"/>
            <w:tcMar/>
          </w:tcPr>
          <w:p w:rsidR="4F940BA9" w:rsidP="4F940BA9" w:rsidRDefault="4F940BA9" w14:paraId="3C6255BA" w14:textId="6B1B6241">
            <w:pPr>
              <w:pStyle w:val="Normal"/>
              <w:jc w:val="center"/>
              <w:rPr>
                <w:rFonts w:ascii="Aptos" w:hAnsi="Aptos" w:eastAsia="Aptos" w:cs="Aptos"/>
                <w:sz w:val="20"/>
                <w:szCs w:val="20"/>
              </w:rPr>
            </w:pPr>
          </w:p>
        </w:tc>
      </w:tr>
      <w:tr w:rsidR="4CC55613" w:rsidTr="4F940BA9" w14:paraId="2A6613D5" w14:textId="77777777">
        <w:trPr>
          <w:trHeight w:val="284"/>
        </w:trPr>
        <w:tc>
          <w:tcPr>
            <w:tcW w:w="899" w:type="dxa"/>
            <w:tcMar/>
          </w:tcPr>
          <w:p w:rsidR="4CC55613" w:rsidP="4CC55613" w:rsidRDefault="4CC55613" w14:paraId="214BFBA8" w14:textId="527ADA06">
            <w:pPr>
              <w:jc w:val="center"/>
              <w:rPr>
                <w:rFonts w:cs="Calibri"/>
                <w:sz w:val="20"/>
                <w:szCs w:val="20"/>
                <w:lang w:eastAsia="zh-CN"/>
              </w:rPr>
            </w:pPr>
            <w:r w:rsidRPr="4F940BA9" w:rsidR="08DBA5D2">
              <w:rPr>
                <w:rFonts w:cs="Calibri"/>
                <w:sz w:val="20"/>
                <w:szCs w:val="20"/>
                <w:lang w:eastAsia="zh-CN"/>
              </w:rPr>
              <w:t>4</w:t>
            </w:r>
          </w:p>
        </w:tc>
        <w:tc>
          <w:tcPr>
            <w:tcW w:w="1981" w:type="dxa"/>
            <w:tcMar/>
          </w:tcPr>
          <w:p w:rsidR="4CC55613" w:rsidP="4F940BA9" w:rsidRDefault="4CC55613" w14:paraId="1B95097A" w14:textId="131894C3">
            <w:pPr>
              <w:pStyle w:val="Normal"/>
              <w:jc w:val="center"/>
              <w:rPr>
                <w:rFonts w:ascii="Aptos" w:hAnsi="Aptos" w:eastAsia="Aptos" w:cs="Aptos"/>
                <w:noProof w:val="0"/>
                <w:sz w:val="20"/>
                <w:szCs w:val="20"/>
                <w:lang w:val="en-GB"/>
              </w:rPr>
            </w:pPr>
            <w:r w:rsidRPr="4F940BA9" w:rsidR="08DBA5D2">
              <w:rPr>
                <w:rFonts w:ascii="Calibri" w:hAnsi="Calibri" w:eastAsia="Calibri" w:cs="Calibri"/>
                <w:noProof w:val="0"/>
                <w:sz w:val="19"/>
                <w:szCs w:val="19"/>
                <w:lang w:val="en-GB"/>
              </w:rPr>
              <w:t xml:space="preserve">Wang et al. (2014) </w:t>
            </w:r>
          </w:p>
        </w:tc>
        <w:tc>
          <w:tcPr>
            <w:tcW w:w="6115" w:type="dxa"/>
            <w:tcMar/>
          </w:tcPr>
          <w:p w:rsidR="4CC55613" w:rsidP="4F940BA9" w:rsidRDefault="4CC55613" w14:paraId="001331F3" w14:textId="436F0DF1">
            <w:pPr>
              <w:pStyle w:val="Normal"/>
              <w:jc w:val="center"/>
              <w:rPr>
                <w:rFonts w:ascii="Aptos" w:hAnsi="Aptos" w:eastAsia="Aptos" w:cs="Aptos"/>
                <w:noProof w:val="0"/>
                <w:sz w:val="20"/>
                <w:szCs w:val="20"/>
                <w:lang w:val="en-GB"/>
              </w:rPr>
            </w:pPr>
            <w:r w:rsidRPr="4F940BA9" w:rsidR="08DBA5D2">
              <w:rPr>
                <w:rFonts w:ascii="Calibri" w:hAnsi="Calibri" w:eastAsia="Calibri" w:cs="Calibri"/>
                <w:noProof w:val="0"/>
                <w:sz w:val="22"/>
                <w:szCs w:val="22"/>
                <w:lang w:val="en-GB"/>
              </w:rPr>
              <w:t xml:space="preserve">evaluate the level </w:t>
            </w:r>
            <w:r w:rsidRPr="4F940BA9" w:rsidR="08DBA5D2">
              <w:rPr>
                <w:rFonts w:ascii="Calibri" w:hAnsi="Calibri" w:eastAsia="Calibri" w:cs="Calibri"/>
                <w:noProof w:val="0"/>
                <w:sz w:val="22"/>
                <w:szCs w:val="22"/>
                <w:lang w:val="en-GB"/>
              </w:rPr>
              <w:t>of efficiency</w:t>
            </w:r>
            <w:r w:rsidRPr="4F940BA9" w:rsidR="08DBA5D2">
              <w:rPr>
                <w:rFonts w:ascii="Calibri" w:hAnsi="Calibri" w:eastAsia="Calibri" w:cs="Calibri"/>
                <w:noProof w:val="0"/>
                <w:sz w:val="22"/>
                <w:szCs w:val="22"/>
                <w:lang w:val="en-GB"/>
              </w:rPr>
              <w:t xml:space="preserve"> of the Chinese commercial banking system and </w:t>
            </w:r>
            <w:r w:rsidRPr="4F940BA9" w:rsidR="08DBA5D2">
              <w:rPr>
                <w:rFonts w:ascii="Calibri" w:hAnsi="Calibri" w:eastAsia="Calibri" w:cs="Calibri"/>
                <w:noProof w:val="0"/>
                <w:sz w:val="22"/>
                <w:szCs w:val="22"/>
                <w:lang w:val="en-GB"/>
              </w:rPr>
              <w:t>identify</w:t>
            </w:r>
            <w:r w:rsidRPr="4F940BA9" w:rsidR="08DBA5D2">
              <w:rPr>
                <w:rFonts w:ascii="Calibri" w:hAnsi="Calibri" w:eastAsia="Calibri" w:cs="Calibri"/>
                <w:noProof w:val="0"/>
                <w:sz w:val="22"/>
                <w:szCs w:val="22"/>
                <w:lang w:val="en-GB"/>
              </w:rPr>
              <w:t xml:space="preserve"> the sources of inefficiency\ </w:t>
            </w:r>
            <w:r w:rsidRPr="4F940BA9" w:rsidR="08DBA5D2">
              <w:rPr>
                <w:rFonts w:ascii="Segoe UI" w:hAnsi="Segoe UI" w:eastAsia="Segoe UI" w:cs="Segoe UI"/>
                <w:noProof w:val="0"/>
                <w:sz w:val="21"/>
                <w:szCs w:val="21"/>
                <w:lang w:val="en-GB"/>
              </w:rPr>
              <w:t>How has the efficiency of the Chinese commercial banking system changed over time\ What are the implications of the findings for the improvement of the Chinese commercial banking system</w:t>
            </w:r>
          </w:p>
        </w:tc>
      </w:tr>
      <w:tr w:rsidR="3A8A7029" w:rsidTr="4F940BA9" w14:paraId="0E00B3A3" w14:textId="77777777">
        <w:trPr>
          <w:trHeight w:val="284"/>
        </w:trPr>
        <w:tc>
          <w:tcPr>
            <w:tcW w:w="899" w:type="dxa"/>
            <w:tcMar/>
          </w:tcPr>
          <w:p w:rsidR="3A8A7029" w:rsidP="3A8A7029" w:rsidRDefault="3A8A7029" w14:paraId="6977F967" w14:textId="5CDE21FC">
            <w:pPr>
              <w:jc w:val="center"/>
              <w:rPr>
                <w:rFonts w:cs="Calibri"/>
                <w:sz w:val="20"/>
                <w:szCs w:val="20"/>
                <w:lang w:eastAsia="zh-CN"/>
              </w:rPr>
            </w:pPr>
            <w:r w:rsidRPr="4F940BA9" w:rsidR="08DBA5D2">
              <w:rPr>
                <w:rFonts w:cs="Calibri"/>
                <w:sz w:val="20"/>
                <w:szCs w:val="20"/>
                <w:lang w:eastAsia="zh-CN"/>
              </w:rPr>
              <w:t>14</w:t>
            </w:r>
          </w:p>
        </w:tc>
        <w:tc>
          <w:tcPr>
            <w:tcW w:w="1981" w:type="dxa"/>
            <w:tcMar/>
          </w:tcPr>
          <w:p w:rsidR="3A8A7029" w:rsidP="4F940BA9" w:rsidRDefault="3A8A7029" w14:paraId="76ACDD48" w14:textId="005EDC2C">
            <w:pPr>
              <w:pStyle w:val="Normal"/>
              <w:jc w:val="center"/>
              <w:rPr>
                <w:rFonts w:ascii="Aptos" w:hAnsi="Aptos" w:eastAsia="Aptos" w:cs="Aptos"/>
                <w:noProof w:val="0"/>
                <w:sz w:val="20"/>
                <w:szCs w:val="20"/>
                <w:lang w:val="en-GB"/>
              </w:rPr>
            </w:pPr>
            <w:r w:rsidRPr="4F940BA9" w:rsidR="08DBA5D2">
              <w:rPr>
                <w:rFonts w:ascii="Arial" w:hAnsi="Arial" w:eastAsia="Arial" w:cs="Arial"/>
                <w:noProof w:val="0"/>
                <w:color w:val="222222"/>
                <w:sz w:val="19"/>
                <w:szCs w:val="19"/>
                <w:lang w:val="en-GB"/>
              </w:rPr>
              <w:t>Fukuyama, H., Tsionas, M. and Tan, Y.,</w:t>
            </w:r>
            <w:r w:rsidRPr="4F940BA9" w:rsidR="08DBA5D2">
              <w:rPr>
                <w:rFonts w:ascii="Calibri" w:hAnsi="Calibri" w:eastAsia="Calibri" w:cs="Calibri"/>
                <w:noProof w:val="0"/>
                <w:sz w:val="19"/>
                <w:szCs w:val="19"/>
                <w:lang w:val="en-GB"/>
              </w:rPr>
              <w:t xml:space="preserve"> (2023)</w:t>
            </w:r>
          </w:p>
        </w:tc>
        <w:tc>
          <w:tcPr>
            <w:tcW w:w="6115" w:type="dxa"/>
            <w:tcMar/>
          </w:tcPr>
          <w:p w:rsidR="3A8A7029" w:rsidP="4F940BA9" w:rsidRDefault="3A8A7029" w14:paraId="73D249A0" w14:textId="71643BD5">
            <w:pPr>
              <w:pStyle w:val="Normal"/>
              <w:jc w:val="center"/>
              <w:rPr>
                <w:rFonts w:ascii="Aptos" w:hAnsi="Aptos" w:eastAsia="Aptos" w:cs="Aptos"/>
                <w:noProof w:val="0"/>
                <w:sz w:val="20"/>
                <w:szCs w:val="20"/>
                <w:lang w:val="en-GB"/>
              </w:rPr>
            </w:pPr>
            <w:r w:rsidRPr="4F940BA9" w:rsidR="08DBA5D2">
              <w:rPr>
                <w:rFonts w:ascii="Calibri" w:hAnsi="Calibri" w:eastAsia="Calibri" w:cs="Calibri"/>
                <w:noProof w:val="0"/>
                <w:sz w:val="22"/>
                <w:szCs w:val="22"/>
                <w:lang w:val="en-GB"/>
              </w:rPr>
              <w:t xml:space="preserve">addresses the development and application of a dynamic network data envelopment analysis model to evaluate the relative efficiency of DMUs within the Chinese banking industry, considering the sequential structure, </w:t>
            </w:r>
            <w:r w:rsidRPr="4F940BA9" w:rsidR="08DBA5D2">
              <w:rPr>
                <w:rFonts w:ascii="Calibri" w:hAnsi="Calibri" w:eastAsia="Calibri" w:cs="Calibri"/>
                <w:noProof w:val="0"/>
                <w:sz w:val="22"/>
                <w:szCs w:val="22"/>
                <w:lang w:val="en-GB"/>
              </w:rPr>
              <w:t>behavioral</w:t>
            </w:r>
            <w:r w:rsidRPr="4F940BA9" w:rsidR="08DBA5D2">
              <w:rPr>
                <w:rFonts w:ascii="Calibri" w:hAnsi="Calibri" w:eastAsia="Calibri" w:cs="Calibri"/>
                <w:noProof w:val="0"/>
                <w:sz w:val="22"/>
                <w:szCs w:val="22"/>
                <w:lang w:val="en-GB"/>
              </w:rPr>
              <w:t xml:space="preserve">-causal analysis, and the impact of </w:t>
            </w:r>
            <w:r w:rsidRPr="4F940BA9" w:rsidR="08DBA5D2">
              <w:rPr>
                <w:rFonts w:ascii="Calibri" w:hAnsi="Calibri" w:eastAsia="Calibri" w:cs="Calibri"/>
                <w:noProof w:val="0"/>
                <w:sz w:val="22"/>
                <w:szCs w:val="22"/>
                <w:lang w:val="en-GB"/>
              </w:rPr>
              <w:t>different types</w:t>
            </w:r>
            <w:r w:rsidRPr="4F940BA9" w:rsidR="08DBA5D2">
              <w:rPr>
                <w:rFonts w:ascii="Calibri" w:hAnsi="Calibri" w:eastAsia="Calibri" w:cs="Calibri"/>
                <w:noProof w:val="0"/>
                <w:sz w:val="22"/>
                <w:szCs w:val="22"/>
                <w:lang w:val="en-GB"/>
              </w:rPr>
              <w:t xml:space="preserve"> of risk on bank profitability. </w:t>
            </w:r>
          </w:p>
        </w:tc>
      </w:tr>
      <w:tr w:rsidR="3A8A7029" w:rsidTr="4F940BA9" w14:paraId="066520E7" w14:textId="77777777">
        <w:trPr>
          <w:trHeight w:val="284"/>
        </w:trPr>
        <w:tc>
          <w:tcPr>
            <w:tcW w:w="899" w:type="dxa"/>
            <w:tcMar/>
          </w:tcPr>
          <w:p w:rsidR="3A8A7029" w:rsidP="3A8A7029" w:rsidRDefault="3A8A7029" w14:paraId="3D4CDAD6" w14:textId="17B57A1F">
            <w:pPr>
              <w:jc w:val="center"/>
              <w:rPr>
                <w:rFonts w:cs="Calibri"/>
                <w:sz w:val="20"/>
                <w:szCs w:val="20"/>
                <w:lang w:eastAsia="zh-CN"/>
              </w:rPr>
            </w:pPr>
            <w:r w:rsidRPr="4F940BA9" w:rsidR="08DBA5D2">
              <w:rPr>
                <w:rFonts w:cs="Calibri"/>
                <w:sz w:val="20"/>
                <w:szCs w:val="20"/>
                <w:lang w:eastAsia="zh-CN"/>
              </w:rPr>
              <w:t>19</w:t>
            </w:r>
          </w:p>
        </w:tc>
        <w:tc>
          <w:tcPr>
            <w:tcW w:w="1981" w:type="dxa"/>
            <w:tcMar/>
          </w:tcPr>
          <w:p w:rsidR="3A8A7029" w:rsidP="4F940BA9" w:rsidRDefault="3A8A7029" w14:paraId="399C8452" w14:textId="2CC98BC9">
            <w:pPr>
              <w:pStyle w:val="Normal"/>
              <w:jc w:val="center"/>
              <w:rPr>
                <w:rFonts w:ascii="Aptos" w:hAnsi="Aptos" w:eastAsia="Aptos" w:cs="Aptos"/>
                <w:noProof w:val="0"/>
                <w:sz w:val="20"/>
                <w:szCs w:val="20"/>
                <w:lang w:val="en-GB"/>
              </w:rPr>
            </w:pPr>
            <w:r w:rsidRPr="4F940BA9" w:rsidR="08DBA5D2">
              <w:rPr>
                <w:rFonts w:ascii="Arial" w:hAnsi="Arial" w:eastAsia="Arial" w:cs="Arial"/>
                <w:noProof w:val="0"/>
                <w:color w:val="222222"/>
                <w:sz w:val="19"/>
                <w:szCs w:val="19"/>
                <w:lang w:val="en-GB"/>
              </w:rPr>
              <w:t>Zhou, X.,(2019)</w:t>
            </w:r>
          </w:p>
        </w:tc>
        <w:tc>
          <w:tcPr>
            <w:tcW w:w="6115" w:type="dxa"/>
            <w:tcMar/>
          </w:tcPr>
          <w:p w:rsidR="3A8A7029" w:rsidP="4F940BA9" w:rsidRDefault="3A8A7029" w14:paraId="6B95A709" w14:textId="6B87E1CF">
            <w:pPr>
              <w:pStyle w:val="Normal"/>
              <w:jc w:val="center"/>
            </w:pPr>
            <w:r w:rsidRPr="4F940BA9" w:rsidR="08DBA5D2">
              <w:rPr>
                <w:rFonts w:ascii="Calibri" w:hAnsi="Calibri" w:eastAsia="Calibri" w:cs="Calibri"/>
                <w:noProof w:val="0"/>
                <w:sz w:val="22"/>
                <w:szCs w:val="22"/>
                <w:lang w:val="en-GB"/>
              </w:rPr>
              <w:t>addressed in the is the evaluation of banking system efficiency in the presence of uncertainty using a multi-period three-stage DEA model \ to address the challenge of evaluating the efficiency of banking systems while considering uncertainty, which is a critical issue in the banking industry</w:t>
            </w:r>
          </w:p>
        </w:tc>
      </w:tr>
      <w:tr w:rsidR="3A8A7029" w:rsidTr="4F940BA9" w14:paraId="0A135F31" w14:textId="77777777">
        <w:trPr>
          <w:trHeight w:val="284"/>
        </w:trPr>
        <w:tc>
          <w:tcPr>
            <w:tcW w:w="899" w:type="dxa"/>
            <w:tcMar/>
          </w:tcPr>
          <w:p w:rsidR="3A8A7029" w:rsidP="3A8A7029" w:rsidRDefault="3A8A7029" w14:paraId="5D26D7A1" w14:textId="682FEB63">
            <w:pPr>
              <w:jc w:val="center"/>
              <w:rPr>
                <w:rFonts w:cs="Calibri"/>
                <w:sz w:val="20"/>
                <w:szCs w:val="20"/>
                <w:lang w:eastAsia="zh-CN"/>
              </w:rPr>
            </w:pPr>
            <w:r w:rsidRPr="4F940BA9" w:rsidR="7E09D819">
              <w:rPr>
                <w:rFonts w:cs="Calibri"/>
                <w:sz w:val="20"/>
                <w:szCs w:val="20"/>
                <w:lang w:eastAsia="zh-CN"/>
              </w:rPr>
              <w:t>29</w:t>
            </w:r>
          </w:p>
        </w:tc>
        <w:tc>
          <w:tcPr>
            <w:tcW w:w="1981" w:type="dxa"/>
            <w:tcMar/>
          </w:tcPr>
          <w:p w:rsidR="3A8A7029" w:rsidP="4F940BA9" w:rsidRDefault="3A8A7029" w14:paraId="3057ECFF" w14:textId="3825A856">
            <w:pPr>
              <w:pStyle w:val="Normal"/>
              <w:jc w:val="center"/>
              <w:rPr>
                <w:rFonts w:ascii="Aptos" w:hAnsi="Aptos" w:eastAsia="Aptos" w:cs="Aptos"/>
                <w:noProof w:val="0"/>
                <w:sz w:val="20"/>
                <w:szCs w:val="20"/>
                <w:lang w:val="en-GB"/>
              </w:rPr>
            </w:pPr>
            <w:r w:rsidRPr="4F940BA9" w:rsidR="7E09D819">
              <w:rPr>
                <w:rFonts w:ascii="Arial" w:hAnsi="Arial" w:eastAsia="Arial" w:cs="Arial"/>
                <w:noProof w:val="0"/>
                <w:color w:val="222222"/>
                <w:sz w:val="19"/>
                <w:szCs w:val="19"/>
                <w:lang w:val="en-GB"/>
              </w:rPr>
              <w:t>Boussemart, J.P. (2019)</w:t>
            </w:r>
          </w:p>
        </w:tc>
        <w:tc>
          <w:tcPr>
            <w:tcW w:w="6115" w:type="dxa"/>
            <w:tcMar/>
          </w:tcPr>
          <w:p w:rsidR="3A8A7029" w:rsidP="4F940BA9" w:rsidRDefault="3A8A7029" w14:paraId="034E55A2" w14:textId="5F067275">
            <w:pPr>
              <w:pStyle w:val="Normal"/>
              <w:jc w:val="center"/>
              <w:rPr>
                <w:rFonts w:ascii="Aptos" w:hAnsi="Aptos" w:eastAsia="Aptos" w:cs="Aptos"/>
                <w:noProof w:val="0"/>
                <w:sz w:val="20"/>
                <w:szCs w:val="20"/>
                <w:lang w:val="en-GB"/>
              </w:rPr>
            </w:pPr>
            <w:r w:rsidRPr="4F940BA9" w:rsidR="7E09D819">
              <w:rPr>
                <w:rFonts w:ascii="Calibri" w:hAnsi="Calibri" w:eastAsia="Calibri" w:cs="Calibri"/>
                <w:noProof w:val="0"/>
                <w:sz w:val="22"/>
                <w:szCs w:val="22"/>
                <w:lang w:val="en-GB"/>
              </w:rPr>
              <w:t>investigates the concept of credit risk (in)efficiency and proposes a method to measure it jointly with the productive (in)efficiency of banks using a nonparametric Data Envelopment Analysis (DEA) model.</w:t>
            </w:r>
          </w:p>
        </w:tc>
      </w:tr>
      <w:tr w:rsidR="4F940BA9" w:rsidTr="4F940BA9" w14:paraId="7BBDDD22">
        <w:trPr>
          <w:trHeight w:val="284"/>
        </w:trPr>
        <w:tc>
          <w:tcPr>
            <w:tcW w:w="899" w:type="dxa"/>
            <w:tcMar/>
          </w:tcPr>
          <w:p w:rsidR="7E09D819" w:rsidP="4F940BA9" w:rsidRDefault="7E09D819" w14:paraId="7D4A41F8" w14:textId="7BE5847B">
            <w:pPr>
              <w:pStyle w:val="Normal"/>
              <w:jc w:val="center"/>
              <w:rPr>
                <w:rFonts w:cs="Calibri"/>
                <w:sz w:val="20"/>
                <w:szCs w:val="20"/>
                <w:lang w:eastAsia="zh-CN"/>
              </w:rPr>
            </w:pPr>
            <w:r w:rsidRPr="4F940BA9" w:rsidR="7E09D819">
              <w:rPr>
                <w:rFonts w:cs="Calibri"/>
                <w:sz w:val="20"/>
                <w:szCs w:val="20"/>
                <w:lang w:eastAsia="zh-CN"/>
              </w:rPr>
              <w:t>48</w:t>
            </w:r>
          </w:p>
        </w:tc>
        <w:tc>
          <w:tcPr>
            <w:tcW w:w="1981" w:type="dxa"/>
            <w:tcMar/>
          </w:tcPr>
          <w:p w:rsidR="7E09D819" w:rsidP="4F940BA9" w:rsidRDefault="7E09D819" w14:paraId="67837C85" w14:textId="6F6E8541">
            <w:pPr>
              <w:pStyle w:val="Normal"/>
              <w:jc w:val="center"/>
              <w:rPr>
                <w:rFonts w:ascii="Aptos" w:hAnsi="Aptos" w:eastAsia="Aptos" w:cs="Aptos"/>
                <w:noProof w:val="0"/>
                <w:sz w:val="20"/>
                <w:szCs w:val="20"/>
                <w:lang w:val="en-GB"/>
              </w:rPr>
            </w:pPr>
            <w:r w:rsidRPr="4F940BA9" w:rsidR="7E09D819">
              <w:rPr>
                <w:rFonts w:ascii="Calibri" w:hAnsi="Calibri" w:eastAsia="Calibri" w:cs="Calibri"/>
                <w:noProof w:val="0"/>
                <w:sz w:val="22"/>
                <w:szCs w:val="22"/>
                <w:lang w:val="en-GB"/>
              </w:rPr>
              <w:t xml:space="preserve">Yan Luo, </w:t>
            </w:r>
            <w:r w:rsidRPr="4F940BA9" w:rsidR="7E09D819">
              <w:rPr>
                <w:rFonts w:ascii="Calibri" w:hAnsi="Calibri" w:eastAsia="Calibri" w:cs="Calibri"/>
                <w:noProof w:val="0"/>
                <w:sz w:val="22"/>
                <w:szCs w:val="22"/>
                <w:lang w:val="en-GB"/>
              </w:rPr>
              <w:t>Gongbing</w:t>
            </w:r>
            <w:r w:rsidRPr="4F940BA9" w:rsidR="7E09D819">
              <w:rPr>
                <w:rFonts w:ascii="Calibri" w:hAnsi="Calibri" w:eastAsia="Calibri" w:cs="Calibri"/>
                <w:noProof w:val="0"/>
                <w:sz w:val="22"/>
                <w:szCs w:val="22"/>
                <w:lang w:val="en-GB"/>
              </w:rPr>
              <w:t xml:space="preserve"> Bi, Liang </w:t>
            </w:r>
            <w:r w:rsidRPr="4F940BA9" w:rsidR="7E09D819">
              <w:rPr>
                <w:rFonts w:ascii="Calibri" w:hAnsi="Calibri" w:eastAsia="Calibri" w:cs="Calibri"/>
                <w:noProof w:val="0"/>
                <w:sz w:val="22"/>
                <w:szCs w:val="22"/>
                <w:lang w:val="en-GB"/>
              </w:rPr>
              <w:t>Liang (</w:t>
            </w:r>
            <w:r w:rsidRPr="4F940BA9" w:rsidR="7E09D819">
              <w:rPr>
                <w:rFonts w:ascii="Calibri" w:hAnsi="Calibri" w:eastAsia="Calibri" w:cs="Calibri"/>
                <w:noProof w:val="0"/>
                <w:sz w:val="22"/>
                <w:szCs w:val="22"/>
                <w:lang w:val="en-GB"/>
              </w:rPr>
              <w:t>2012)</w:t>
            </w:r>
          </w:p>
        </w:tc>
        <w:tc>
          <w:tcPr>
            <w:tcW w:w="6115" w:type="dxa"/>
            <w:tcMar/>
          </w:tcPr>
          <w:p w:rsidR="7E09D819" w:rsidP="4F940BA9" w:rsidRDefault="7E09D819" w14:paraId="29CDF179" w14:textId="23E74E8F">
            <w:pPr>
              <w:pStyle w:val="Normal"/>
              <w:jc w:val="center"/>
            </w:pPr>
            <w:r w:rsidRPr="4F940BA9" w:rsidR="7E09D819">
              <w:rPr>
                <w:rFonts w:ascii="Calibri" w:hAnsi="Calibri" w:eastAsia="Calibri" w:cs="Calibri"/>
                <w:noProof w:val="0"/>
                <w:sz w:val="22"/>
                <w:szCs w:val="22"/>
                <w:lang w:val="en-GB"/>
              </w:rPr>
              <w:t>concerns selecting appropriate input and output indicators for DEA efficiency evaluation. It aims to address problems such as selection tools, correlation analysis, and classification of input versus output status</w:t>
            </w:r>
          </w:p>
        </w:tc>
      </w:tr>
      <w:tr w:rsidR="4F940BA9" w:rsidTr="4F940BA9" w14:paraId="033B22C5">
        <w:trPr>
          <w:trHeight w:val="284"/>
        </w:trPr>
        <w:tc>
          <w:tcPr>
            <w:tcW w:w="899" w:type="dxa"/>
            <w:tcMar/>
          </w:tcPr>
          <w:p w:rsidR="7E09D819" w:rsidP="4F940BA9" w:rsidRDefault="7E09D819" w14:paraId="15DCAF5E" w14:textId="784271F5">
            <w:pPr>
              <w:pStyle w:val="Normal"/>
              <w:jc w:val="center"/>
              <w:rPr>
                <w:rFonts w:cs="Calibri"/>
                <w:sz w:val="20"/>
                <w:szCs w:val="20"/>
                <w:lang w:eastAsia="zh-CN"/>
              </w:rPr>
            </w:pPr>
            <w:r w:rsidRPr="4F940BA9" w:rsidR="7E09D819">
              <w:rPr>
                <w:rFonts w:cs="Calibri"/>
                <w:sz w:val="20"/>
                <w:szCs w:val="20"/>
                <w:lang w:eastAsia="zh-CN"/>
              </w:rPr>
              <w:t>47</w:t>
            </w:r>
          </w:p>
        </w:tc>
        <w:tc>
          <w:tcPr>
            <w:tcW w:w="1981" w:type="dxa"/>
            <w:tcMar/>
          </w:tcPr>
          <w:p w:rsidR="7E09D819" w:rsidP="4F940BA9" w:rsidRDefault="7E09D819" w14:paraId="0F1358C6" w14:textId="658B884F">
            <w:pPr>
              <w:pStyle w:val="Normal"/>
              <w:jc w:val="center"/>
            </w:pPr>
            <w:r w:rsidRPr="4F940BA9" w:rsidR="7E09D819">
              <w:rPr>
                <w:rFonts w:ascii="Calibri" w:hAnsi="Calibri" w:eastAsia="Calibri" w:cs="Calibri"/>
                <w:noProof w:val="0"/>
                <w:sz w:val="21"/>
                <w:szCs w:val="21"/>
                <w:lang w:val="en-GB"/>
              </w:rPr>
              <w:t xml:space="preserve">Jorge </w:t>
            </w:r>
            <w:r w:rsidRPr="4F940BA9" w:rsidR="7E09D819">
              <w:rPr>
                <w:rFonts w:ascii="Calibri" w:hAnsi="Calibri" w:eastAsia="Calibri" w:cs="Calibri"/>
                <w:noProof w:val="0"/>
                <w:sz w:val="21"/>
                <w:szCs w:val="21"/>
                <w:lang w:val="en-GB"/>
              </w:rPr>
              <w:t>Antunesn (</w:t>
            </w:r>
            <w:r w:rsidRPr="4F940BA9" w:rsidR="7E09D819">
              <w:rPr>
                <w:rFonts w:ascii="Calibri" w:hAnsi="Calibri" w:eastAsia="Calibri" w:cs="Calibri"/>
                <w:noProof w:val="0"/>
                <w:sz w:val="21"/>
                <w:szCs w:val="21"/>
                <w:lang w:val="en-GB"/>
              </w:rPr>
              <w:t>2024)</w:t>
            </w:r>
          </w:p>
        </w:tc>
        <w:tc>
          <w:tcPr>
            <w:tcW w:w="6115" w:type="dxa"/>
            <w:tcMar/>
          </w:tcPr>
          <w:p w:rsidR="7E09D819" w:rsidP="4F940BA9" w:rsidRDefault="7E09D819" w14:paraId="2DF63ECB" w14:textId="6887AEB0">
            <w:pPr>
              <w:pStyle w:val="Normal"/>
              <w:jc w:val="center"/>
              <w:rPr>
                <w:rFonts w:ascii="Aptos" w:hAnsi="Aptos" w:eastAsia="Aptos" w:cs="Aptos"/>
                <w:noProof w:val="0"/>
                <w:sz w:val="20"/>
                <w:szCs w:val="20"/>
                <w:lang w:val="en-GB"/>
              </w:rPr>
            </w:pPr>
            <w:r w:rsidRPr="4F940BA9" w:rsidR="7E09D819">
              <w:rPr>
                <w:rFonts w:ascii="Calibri" w:hAnsi="Calibri" w:eastAsia="Calibri" w:cs="Calibri"/>
                <w:noProof w:val="0"/>
                <w:sz w:val="22"/>
                <w:szCs w:val="22"/>
                <w:lang w:val="en-GB"/>
              </w:rPr>
              <w:t>estimates the cost efficiency of Chinese banks using an innovative Data Envelopment Analysis (DEA) model. Additionally, it explores the interrelationships between efficiency and other bank-specific variables using a Stochastic Structural Relationship Programming (SSRP) Model based on neural networks</w:t>
            </w:r>
          </w:p>
        </w:tc>
      </w:tr>
      <w:tr w:rsidR="4F940BA9" w:rsidTr="4F940BA9" w14:paraId="3F35ADBA">
        <w:trPr>
          <w:trHeight w:val="284"/>
        </w:trPr>
        <w:tc>
          <w:tcPr>
            <w:tcW w:w="899" w:type="dxa"/>
            <w:tcMar/>
          </w:tcPr>
          <w:p w:rsidR="7E09D819" w:rsidP="4F940BA9" w:rsidRDefault="7E09D819" w14:paraId="6EEA2368" w14:textId="0BBC3A20">
            <w:pPr>
              <w:pStyle w:val="Normal"/>
              <w:jc w:val="center"/>
              <w:rPr>
                <w:rFonts w:cs="Calibri"/>
                <w:sz w:val="20"/>
                <w:szCs w:val="20"/>
                <w:lang w:eastAsia="zh-CN"/>
              </w:rPr>
            </w:pPr>
            <w:r w:rsidRPr="4F940BA9" w:rsidR="7E09D819">
              <w:rPr>
                <w:rFonts w:cs="Calibri"/>
                <w:sz w:val="20"/>
                <w:szCs w:val="20"/>
                <w:lang w:eastAsia="zh-CN"/>
              </w:rPr>
              <w:t>34</w:t>
            </w:r>
          </w:p>
        </w:tc>
        <w:tc>
          <w:tcPr>
            <w:tcW w:w="1981" w:type="dxa"/>
            <w:tcMar/>
          </w:tcPr>
          <w:p w:rsidR="7E09D819" w:rsidP="4F940BA9" w:rsidRDefault="7E09D819" w14:paraId="356AE77B" w14:textId="594795DC">
            <w:pPr>
              <w:pStyle w:val="Normal"/>
              <w:jc w:val="center"/>
            </w:pPr>
            <w:r w:rsidRPr="4F940BA9" w:rsidR="7E09D819">
              <w:rPr>
                <w:rFonts w:ascii="Aptos" w:hAnsi="Aptos" w:eastAsia="Aptos" w:cs="Aptos"/>
                <w:noProof w:val="0"/>
                <w:sz w:val="24"/>
                <w:szCs w:val="24"/>
                <w:lang w:val="en-GB"/>
              </w:rPr>
              <w:t>Yongjun</w:t>
            </w:r>
            <w:r w:rsidRPr="4F940BA9" w:rsidR="7E09D819">
              <w:rPr>
                <w:rFonts w:ascii="Aptos" w:hAnsi="Aptos" w:eastAsia="Aptos" w:cs="Aptos"/>
                <w:noProof w:val="0"/>
                <w:sz w:val="24"/>
                <w:szCs w:val="24"/>
                <w:lang w:val="en-GB"/>
              </w:rPr>
              <w:t xml:space="preserve"> </w:t>
            </w:r>
            <w:r w:rsidRPr="4F940BA9" w:rsidR="7E09D819">
              <w:rPr>
                <w:rFonts w:ascii="Aptos" w:hAnsi="Aptos" w:eastAsia="Aptos" w:cs="Aptos"/>
                <w:noProof w:val="0"/>
                <w:sz w:val="24"/>
                <w:szCs w:val="24"/>
                <w:lang w:val="en-GB"/>
              </w:rPr>
              <w:t>Li (</w:t>
            </w:r>
            <w:r w:rsidRPr="4F940BA9" w:rsidR="7E09D819">
              <w:rPr>
                <w:rFonts w:ascii="Aptos" w:hAnsi="Aptos" w:eastAsia="Aptos" w:cs="Aptos"/>
                <w:noProof w:val="0"/>
                <w:sz w:val="24"/>
                <w:szCs w:val="24"/>
                <w:lang w:val="en-GB"/>
              </w:rPr>
              <w:t>2019)</w:t>
            </w:r>
          </w:p>
        </w:tc>
        <w:tc>
          <w:tcPr>
            <w:tcW w:w="6115" w:type="dxa"/>
            <w:tcMar/>
          </w:tcPr>
          <w:p w:rsidR="7E09D819" w:rsidP="4F940BA9" w:rsidRDefault="7E09D819" w14:paraId="23F119F2" w14:textId="62782FC7">
            <w:pPr>
              <w:pStyle w:val="Normal"/>
              <w:jc w:val="center"/>
              <w:rPr>
                <w:rFonts w:ascii="Aptos" w:hAnsi="Aptos" w:eastAsia="Aptos" w:cs="Aptos"/>
                <w:noProof w:val="0"/>
                <w:sz w:val="20"/>
                <w:szCs w:val="20"/>
                <w:lang w:val="en-GB"/>
              </w:rPr>
            </w:pPr>
            <w:r w:rsidRPr="4F940BA9" w:rsidR="7E09D819">
              <w:rPr>
                <w:rFonts w:ascii="Calibri" w:hAnsi="Calibri" w:eastAsia="Calibri" w:cs="Calibri"/>
                <w:noProof w:val="0"/>
                <w:sz w:val="22"/>
                <w:szCs w:val="22"/>
                <w:lang w:val="en-GB"/>
              </w:rPr>
              <w:t>extends the model proposed by Salo and Punkka (2011) to more common and practical applications that consider the two-stage production structure, and it calculates each Decision Making Unit’s (DMU) ranking interval for the overall system as well as for each subsystem/sub-stage</w:t>
            </w:r>
          </w:p>
        </w:tc>
      </w:tr>
      <w:tr w:rsidR="4F940BA9" w:rsidTr="4F940BA9" w14:paraId="724CEA8A">
        <w:trPr>
          <w:trHeight w:val="284"/>
        </w:trPr>
        <w:tc>
          <w:tcPr>
            <w:tcW w:w="899" w:type="dxa"/>
            <w:tcMar/>
          </w:tcPr>
          <w:p w:rsidR="7E09D819" w:rsidP="4F940BA9" w:rsidRDefault="7E09D819" w14:paraId="00199B01" w14:textId="30EB506F">
            <w:pPr>
              <w:pStyle w:val="Normal"/>
              <w:jc w:val="center"/>
              <w:rPr>
                <w:rFonts w:cs="Calibri"/>
                <w:sz w:val="20"/>
                <w:szCs w:val="20"/>
                <w:lang w:eastAsia="zh-CN"/>
              </w:rPr>
            </w:pPr>
            <w:r w:rsidRPr="4F940BA9" w:rsidR="7E09D819">
              <w:rPr>
                <w:rFonts w:cs="Calibri"/>
                <w:sz w:val="20"/>
                <w:szCs w:val="20"/>
                <w:lang w:eastAsia="zh-CN"/>
              </w:rPr>
              <w:t>39</w:t>
            </w:r>
          </w:p>
        </w:tc>
        <w:tc>
          <w:tcPr>
            <w:tcW w:w="1981" w:type="dxa"/>
            <w:tcMar/>
          </w:tcPr>
          <w:p w:rsidR="7E09D819" w:rsidP="4F940BA9" w:rsidRDefault="7E09D819" w14:paraId="68BD10D6" w14:textId="4E3A49F8">
            <w:pPr>
              <w:pStyle w:val="Normal"/>
              <w:jc w:val="center"/>
            </w:pPr>
            <w:r w:rsidRPr="4F940BA9" w:rsidR="7E09D819">
              <w:rPr>
                <w:rFonts w:ascii="Calibri" w:hAnsi="Calibri" w:eastAsia="Calibri" w:cs="Calibri"/>
                <w:noProof w:val="0"/>
                <w:sz w:val="22"/>
                <w:szCs w:val="22"/>
                <w:lang w:val="en-GB"/>
              </w:rPr>
              <w:t>Tai-Hsin Huang a, Chung-I Lin b,</w:t>
            </w:r>
            <w:r w:rsidRPr="4F940BA9" w:rsidR="7E09D819">
              <w:rPr>
                <w:rFonts w:ascii="Segoe UI Symbol" w:hAnsi="Segoe UI Symbol" w:eastAsia="Segoe UI Symbol" w:cs="Segoe UI Symbol"/>
                <w:noProof w:val="0"/>
                <w:sz w:val="22"/>
                <w:szCs w:val="22"/>
                <w:lang w:val="en-GB"/>
              </w:rPr>
              <w:t>⁎</w:t>
            </w:r>
            <w:r w:rsidRPr="4F940BA9" w:rsidR="7E09D819">
              <w:rPr>
                <w:rFonts w:ascii="Calibri" w:hAnsi="Calibri" w:eastAsia="Calibri" w:cs="Calibri"/>
                <w:noProof w:val="0"/>
                <w:sz w:val="22"/>
                <w:szCs w:val="22"/>
                <w:lang w:val="en-GB"/>
              </w:rPr>
              <w:t>, Kuan-Chen Chenc(2017)</w:t>
            </w:r>
          </w:p>
        </w:tc>
        <w:tc>
          <w:tcPr>
            <w:tcW w:w="6115" w:type="dxa"/>
            <w:tcMar/>
          </w:tcPr>
          <w:p w:rsidR="7E09D819" w:rsidP="4F940BA9" w:rsidRDefault="7E09D819" w14:paraId="169E0FB1" w14:textId="09C09BDA">
            <w:pPr>
              <w:pStyle w:val="Normal"/>
              <w:jc w:val="center"/>
              <w:rPr>
                <w:rFonts w:ascii="Aptos" w:hAnsi="Aptos" w:eastAsia="Aptos" w:cs="Aptos"/>
                <w:noProof w:val="0"/>
                <w:sz w:val="20"/>
                <w:szCs w:val="20"/>
                <w:lang w:val="en-GB"/>
              </w:rPr>
            </w:pPr>
            <w:r w:rsidRPr="4F940BA9" w:rsidR="7E09D819">
              <w:rPr>
                <w:rFonts w:ascii="Calibri" w:hAnsi="Calibri" w:eastAsia="Calibri" w:cs="Calibri"/>
                <w:noProof w:val="0"/>
                <w:sz w:val="22"/>
                <w:szCs w:val="22"/>
                <w:lang w:val="en-GB"/>
              </w:rPr>
              <w:t>The study seeks to understand how to measure the efficiency of Chinese commercial banks within a stochastic multistage production framework. It proposes a network data envelopment analysis (DEA) that characterizes the multistage network production processes and estimates the fractions of shared inputs used by each production stage</w:t>
            </w:r>
          </w:p>
        </w:tc>
      </w:tr>
      <w:tr w:rsidR="4F940BA9" w:rsidTr="4F940BA9" w14:paraId="608C4932">
        <w:trPr>
          <w:trHeight w:val="284"/>
        </w:trPr>
        <w:tc>
          <w:tcPr>
            <w:tcW w:w="899" w:type="dxa"/>
            <w:tcMar/>
          </w:tcPr>
          <w:p w:rsidR="723E06D9" w:rsidP="4F940BA9" w:rsidRDefault="723E06D9" w14:paraId="7D0F99F0" w14:textId="55AA6CAF">
            <w:pPr>
              <w:pStyle w:val="Normal"/>
              <w:jc w:val="center"/>
              <w:rPr>
                <w:rFonts w:cs="Calibri"/>
                <w:sz w:val="20"/>
                <w:szCs w:val="20"/>
                <w:highlight w:val="green"/>
                <w:lang w:eastAsia="zh-CN"/>
              </w:rPr>
            </w:pPr>
            <w:r w:rsidRPr="4F940BA9" w:rsidR="723E06D9">
              <w:rPr>
                <w:rFonts w:cs="Calibri"/>
                <w:sz w:val="20"/>
                <w:szCs w:val="20"/>
                <w:highlight w:val="green"/>
                <w:lang w:eastAsia="zh-CN"/>
              </w:rPr>
              <w:t>24</w:t>
            </w:r>
          </w:p>
          <w:p w:rsidR="723E06D9" w:rsidP="4F940BA9" w:rsidRDefault="723E06D9" w14:paraId="4EE94AC4" w14:textId="0C748EA2">
            <w:pPr>
              <w:pStyle w:val="Normal"/>
              <w:jc w:val="center"/>
              <w:rPr>
                <w:rFonts w:cs="Calibri"/>
                <w:sz w:val="20"/>
                <w:szCs w:val="20"/>
                <w:highlight w:val="green"/>
                <w:lang w:eastAsia="zh-CN"/>
              </w:rPr>
            </w:pPr>
            <w:r w:rsidRPr="4F940BA9" w:rsidR="723E06D9">
              <w:rPr>
                <w:rFonts w:cs="Calibri"/>
                <w:sz w:val="20"/>
                <w:szCs w:val="20"/>
                <w:highlight w:val="green"/>
                <w:lang w:eastAsia="zh-CN"/>
              </w:rPr>
              <w:t>(Iran)</w:t>
            </w:r>
          </w:p>
        </w:tc>
        <w:tc>
          <w:tcPr>
            <w:tcW w:w="1981" w:type="dxa"/>
            <w:tcMar/>
          </w:tcPr>
          <w:p w:rsidR="723E06D9" w:rsidP="4F940BA9" w:rsidRDefault="723E06D9" w14:paraId="13E30B23" w14:textId="6D5B548E">
            <w:pPr>
              <w:pStyle w:val="Normal"/>
              <w:jc w:val="center"/>
            </w:pPr>
            <w:r w:rsidRPr="4F940BA9" w:rsidR="723E06D9">
              <w:rPr>
                <w:rFonts w:ascii="Arial" w:hAnsi="Arial" w:eastAsia="Arial" w:cs="Arial"/>
                <w:noProof w:val="0"/>
                <w:color w:val="222222"/>
                <w:sz w:val="19"/>
                <w:szCs w:val="19"/>
                <w:highlight w:val="green"/>
                <w:lang w:val="en-GB"/>
              </w:rPr>
              <w:t>Shabani, P. and Akbarpour Shirazi, M., (2023)</w:t>
            </w:r>
          </w:p>
        </w:tc>
        <w:tc>
          <w:tcPr>
            <w:tcW w:w="6115" w:type="dxa"/>
            <w:tcMar/>
          </w:tcPr>
          <w:p w:rsidR="723E06D9" w:rsidP="4F940BA9" w:rsidRDefault="723E06D9" w14:paraId="778D8C37" w14:textId="4D7CDF09">
            <w:pPr>
              <w:pStyle w:val="Normal"/>
              <w:jc w:val="center"/>
              <w:rPr>
                <w:rFonts w:ascii="Aptos" w:hAnsi="Aptos" w:eastAsia="Aptos" w:cs="Aptos"/>
                <w:noProof w:val="0"/>
                <w:sz w:val="20"/>
                <w:szCs w:val="20"/>
                <w:lang w:val="en-GB"/>
              </w:rPr>
            </w:pPr>
            <w:r w:rsidRPr="4F940BA9" w:rsidR="723E06D9">
              <w:rPr>
                <w:rFonts w:ascii="Calibri" w:hAnsi="Calibri" w:eastAsia="Calibri" w:cs="Calibri"/>
                <w:noProof w:val="0"/>
                <w:sz w:val="22"/>
                <w:szCs w:val="22"/>
                <w:highlight w:val="green"/>
                <w:lang w:val="en-GB"/>
              </w:rPr>
              <w:t>development of a comprehensive network DEA model for the performance evaluation of commercial bank branches in dynamic competitive conditions, providing valuable insights for commercial banks to enhance their operational efficiency and overall performance in a dynamic and competitive environment</w:t>
            </w:r>
          </w:p>
        </w:tc>
      </w:tr>
      <w:tr w:rsidR="4F940BA9" w:rsidTr="4F940BA9" w14:paraId="26874D78">
        <w:trPr>
          <w:trHeight w:val="284"/>
        </w:trPr>
        <w:tc>
          <w:tcPr>
            <w:tcW w:w="899" w:type="dxa"/>
            <w:tcMar/>
          </w:tcPr>
          <w:p w:rsidR="6CDFD4B9" w:rsidP="4F940BA9" w:rsidRDefault="6CDFD4B9" w14:paraId="378C5490" w14:textId="55E33297">
            <w:pPr>
              <w:pStyle w:val="Normal"/>
              <w:jc w:val="center"/>
              <w:rPr>
                <w:rFonts w:cs="Calibri"/>
                <w:sz w:val="20"/>
                <w:szCs w:val="20"/>
                <w:highlight w:val="green"/>
                <w:lang w:eastAsia="zh-CN"/>
              </w:rPr>
            </w:pPr>
            <w:r w:rsidRPr="4F940BA9" w:rsidR="6CDFD4B9">
              <w:rPr>
                <w:rFonts w:cs="Calibri"/>
                <w:sz w:val="20"/>
                <w:szCs w:val="20"/>
                <w:highlight w:val="green"/>
                <w:lang w:eastAsia="zh-CN"/>
              </w:rPr>
              <w:t>49</w:t>
            </w:r>
          </w:p>
          <w:p w:rsidR="6CDFD4B9" w:rsidP="4F940BA9" w:rsidRDefault="6CDFD4B9" w14:paraId="62EABE87" w14:textId="2E6044F9">
            <w:pPr>
              <w:pStyle w:val="Normal"/>
              <w:jc w:val="center"/>
              <w:rPr>
                <w:rFonts w:cs="Calibri"/>
                <w:sz w:val="20"/>
                <w:szCs w:val="20"/>
                <w:highlight w:val="green"/>
                <w:lang w:eastAsia="zh-CN"/>
              </w:rPr>
            </w:pPr>
            <w:r w:rsidRPr="4F940BA9" w:rsidR="6CDFD4B9">
              <w:rPr>
                <w:rFonts w:cs="Calibri"/>
                <w:sz w:val="20"/>
                <w:szCs w:val="20"/>
                <w:highlight w:val="green"/>
                <w:lang w:eastAsia="zh-CN"/>
              </w:rPr>
              <w:t>(Taiwan)</w:t>
            </w:r>
          </w:p>
        </w:tc>
        <w:tc>
          <w:tcPr>
            <w:tcW w:w="1981" w:type="dxa"/>
            <w:tcMar/>
          </w:tcPr>
          <w:p w:rsidR="6CDFD4B9" w:rsidP="4F940BA9" w:rsidRDefault="6CDFD4B9" w14:paraId="31933DD1" w14:textId="430E16B9">
            <w:pPr>
              <w:pStyle w:val="Normal"/>
              <w:jc w:val="center"/>
              <w:rPr>
                <w:rFonts w:ascii="Aptos" w:hAnsi="Aptos" w:eastAsia="Aptos" w:cs="Aptos"/>
                <w:noProof w:val="0"/>
                <w:sz w:val="20"/>
                <w:szCs w:val="20"/>
                <w:lang w:val="en-GB"/>
              </w:rPr>
            </w:pPr>
            <w:r w:rsidRPr="4F940BA9" w:rsidR="6CDFD4B9">
              <w:rPr>
                <w:rFonts w:ascii="Arial" w:hAnsi="Arial" w:eastAsia="Arial" w:cs="Arial"/>
                <w:noProof w:val="0"/>
                <w:color w:val="222222"/>
                <w:sz w:val="19"/>
                <w:szCs w:val="19"/>
                <w:highlight w:val="green"/>
                <w:lang w:val="en-GB"/>
              </w:rPr>
              <w:t>Lin, T.T., Lee, C.C. and Chiu, T.F., (2009)</w:t>
            </w:r>
          </w:p>
        </w:tc>
        <w:tc>
          <w:tcPr>
            <w:tcW w:w="6115" w:type="dxa"/>
            <w:tcMar/>
          </w:tcPr>
          <w:p w:rsidR="6CDFD4B9" w:rsidP="4F940BA9" w:rsidRDefault="6CDFD4B9" w14:paraId="0CECA8B3" w14:textId="61798475">
            <w:pPr>
              <w:pStyle w:val="Normal"/>
              <w:jc w:val="center"/>
            </w:pPr>
            <w:r w:rsidRPr="4F940BA9" w:rsidR="6CDFD4B9">
              <w:rPr>
                <w:rFonts w:ascii="Calibri" w:hAnsi="Calibri" w:eastAsia="Calibri" w:cs="Calibri"/>
                <w:noProof w:val="0"/>
                <w:sz w:val="22"/>
                <w:szCs w:val="22"/>
                <w:highlight w:val="green"/>
                <w:lang w:val="en-GB"/>
              </w:rPr>
              <w:t>to objectively measure the operating efficiency of the bank's branches, providing an impartial and rational assessment of their performance. This could help in better resource configuration, meeting corporate operation objectives, and improving management decisions</w:t>
            </w:r>
          </w:p>
        </w:tc>
      </w:tr>
      <w:tr w:rsidR="4F940BA9" w:rsidTr="4F940BA9" w14:paraId="5EE77078">
        <w:trPr>
          <w:trHeight w:val="284"/>
        </w:trPr>
        <w:tc>
          <w:tcPr>
            <w:tcW w:w="899" w:type="dxa"/>
            <w:tcMar/>
          </w:tcPr>
          <w:p w:rsidR="6CDFD4B9" w:rsidP="4F940BA9" w:rsidRDefault="6CDFD4B9" w14:paraId="57FBF09E" w14:textId="7BE5A5C8">
            <w:pPr>
              <w:pStyle w:val="Normal"/>
              <w:jc w:val="center"/>
              <w:rPr>
                <w:rFonts w:cs="Calibri"/>
                <w:sz w:val="20"/>
                <w:szCs w:val="20"/>
                <w:highlight w:val="yellow"/>
                <w:lang w:eastAsia="zh-CN"/>
              </w:rPr>
            </w:pPr>
            <w:r w:rsidRPr="4F940BA9" w:rsidR="6CDFD4B9">
              <w:rPr>
                <w:rFonts w:cs="Calibri"/>
                <w:sz w:val="20"/>
                <w:szCs w:val="20"/>
                <w:highlight w:val="yellow"/>
                <w:lang w:eastAsia="zh-CN"/>
              </w:rPr>
              <w:t>50</w:t>
            </w:r>
          </w:p>
          <w:p w:rsidR="6CDFD4B9" w:rsidP="4F940BA9" w:rsidRDefault="6CDFD4B9" w14:paraId="1965A0A5" w14:textId="7D01E395">
            <w:pPr>
              <w:pStyle w:val="Normal"/>
              <w:jc w:val="center"/>
              <w:rPr>
                <w:rFonts w:cs="Calibri"/>
                <w:sz w:val="20"/>
                <w:szCs w:val="20"/>
                <w:highlight w:val="yellow"/>
                <w:lang w:eastAsia="zh-CN"/>
              </w:rPr>
            </w:pPr>
            <w:r w:rsidRPr="4F940BA9" w:rsidR="6CDFD4B9">
              <w:rPr>
                <w:rFonts w:cs="Calibri"/>
                <w:sz w:val="20"/>
                <w:szCs w:val="20"/>
                <w:highlight w:val="yellow"/>
                <w:lang w:eastAsia="zh-CN"/>
              </w:rPr>
              <w:t>(Literature Review paper)</w:t>
            </w:r>
          </w:p>
        </w:tc>
        <w:tc>
          <w:tcPr>
            <w:tcW w:w="1981" w:type="dxa"/>
            <w:tcMar/>
          </w:tcPr>
          <w:p w:rsidR="6CDFD4B9" w:rsidP="4F940BA9" w:rsidRDefault="6CDFD4B9" w14:paraId="144306B2" w14:textId="63D058EC">
            <w:pPr>
              <w:pStyle w:val="Normal"/>
              <w:jc w:val="center"/>
              <w:rPr>
                <w:rFonts w:ascii="Aptos" w:hAnsi="Aptos" w:eastAsia="Aptos" w:cs="Aptos"/>
                <w:noProof w:val="0"/>
                <w:sz w:val="20"/>
                <w:szCs w:val="20"/>
                <w:highlight w:val="yellow"/>
                <w:lang w:val="en-GB"/>
              </w:rPr>
            </w:pPr>
            <w:r w:rsidRPr="4F940BA9" w:rsidR="6CDFD4B9">
              <w:rPr>
                <w:rFonts w:ascii="Calibri" w:hAnsi="Calibri" w:eastAsia="Calibri" w:cs="Calibri"/>
                <w:noProof w:val="0"/>
                <w:sz w:val="22"/>
                <w:szCs w:val="22"/>
                <w:highlight w:val="yellow"/>
                <w:lang w:val="en-GB"/>
              </w:rPr>
              <w:t>Iago Cotrim Henriques (2020)</w:t>
            </w:r>
          </w:p>
          <w:p w:rsidR="4F940BA9" w:rsidP="4F940BA9" w:rsidRDefault="4F940BA9" w14:paraId="6A12A6BA" w14:textId="10B06993">
            <w:pPr>
              <w:pStyle w:val="Normal"/>
              <w:jc w:val="center"/>
              <w:rPr>
                <w:rFonts w:ascii="Aptos" w:hAnsi="Aptos" w:eastAsia="Aptos" w:cs="Aptos"/>
                <w:sz w:val="20"/>
                <w:szCs w:val="20"/>
              </w:rPr>
            </w:pPr>
          </w:p>
        </w:tc>
        <w:tc>
          <w:tcPr>
            <w:tcW w:w="6115" w:type="dxa"/>
            <w:tcMar/>
          </w:tcPr>
          <w:p w:rsidR="19C823AD" w:rsidP="4F940BA9" w:rsidRDefault="19C823AD" w14:paraId="183EC695" w14:textId="0ADCCB81">
            <w:pPr>
              <w:pStyle w:val="Normal"/>
              <w:jc w:val="center"/>
              <w:rPr>
                <w:rFonts w:ascii="Aptos" w:hAnsi="Aptos" w:eastAsia="Aptos" w:cs="Aptos"/>
                <w:noProof w:val="0"/>
                <w:sz w:val="20"/>
                <w:szCs w:val="20"/>
                <w:highlight w:val="yellow"/>
                <w:lang w:val="en-GB"/>
              </w:rPr>
            </w:pPr>
            <w:r w:rsidRPr="4F940BA9" w:rsidR="19C823AD">
              <w:rPr>
                <w:rFonts w:ascii="Calibri" w:hAnsi="Calibri" w:eastAsia="Calibri" w:cs="Calibri"/>
                <w:noProof w:val="0"/>
                <w:sz w:val="22"/>
                <w:szCs w:val="22"/>
                <w:highlight w:val="yellow"/>
                <w:lang w:val="en-GB"/>
              </w:rPr>
              <w:t xml:space="preserve">The study </w:t>
            </w:r>
            <w:r w:rsidRPr="4F940BA9" w:rsidR="19C823AD">
              <w:rPr>
                <w:rFonts w:ascii="Calibri" w:hAnsi="Calibri" w:eastAsia="Calibri" w:cs="Calibri"/>
                <w:noProof w:val="0"/>
                <w:sz w:val="22"/>
                <w:szCs w:val="22"/>
                <w:highlight w:val="yellow"/>
                <w:lang w:val="en-GB"/>
              </w:rPr>
              <w:t>seeks</w:t>
            </w:r>
            <w:r w:rsidRPr="4F940BA9" w:rsidR="19C823AD">
              <w:rPr>
                <w:rFonts w:ascii="Calibri" w:hAnsi="Calibri" w:eastAsia="Calibri" w:cs="Calibri"/>
                <w:noProof w:val="0"/>
                <w:sz w:val="22"/>
                <w:szCs w:val="22"/>
                <w:highlight w:val="yellow"/>
                <w:lang w:val="en-GB"/>
              </w:rPr>
              <w:t xml:space="preserve"> to conduct a systematic review of two-stage Data Envelopment Analysis (DEA) models in the banking industry, with a focus on terminological controversies and the current </w:t>
            </w:r>
            <w:r w:rsidRPr="4F940BA9" w:rsidR="19C823AD">
              <w:rPr>
                <w:rFonts w:ascii="Calibri" w:hAnsi="Calibri" w:eastAsia="Calibri" w:cs="Calibri"/>
                <w:noProof w:val="0"/>
                <w:sz w:val="22"/>
                <w:szCs w:val="22"/>
                <w:highlight w:val="yellow"/>
                <w:lang w:val="en-GB"/>
              </w:rPr>
              <w:t>state-of-the-art</w:t>
            </w:r>
            <w:r w:rsidRPr="4F940BA9" w:rsidR="19C823AD">
              <w:rPr>
                <w:rFonts w:ascii="Calibri" w:hAnsi="Calibri" w:eastAsia="Calibri" w:cs="Calibri"/>
                <w:noProof w:val="0"/>
                <w:sz w:val="22"/>
                <w:szCs w:val="22"/>
                <w:highlight w:val="yellow"/>
                <w:lang w:val="en-GB"/>
              </w:rPr>
              <w:t xml:space="preserve">, </w:t>
            </w:r>
            <w:r w:rsidRPr="4F940BA9" w:rsidR="19C823AD">
              <w:rPr>
                <w:rFonts w:ascii="Calibri" w:hAnsi="Calibri" w:eastAsia="Calibri" w:cs="Calibri"/>
                <w:noProof w:val="0"/>
                <w:sz w:val="22"/>
                <w:szCs w:val="22"/>
                <w:highlight w:val="yellow"/>
                <w:lang w:val="en-GB"/>
              </w:rPr>
              <w:t>identifying</w:t>
            </w:r>
            <w:r w:rsidRPr="4F940BA9" w:rsidR="19C823AD">
              <w:rPr>
                <w:rFonts w:ascii="Calibri" w:hAnsi="Calibri" w:eastAsia="Calibri" w:cs="Calibri"/>
                <w:noProof w:val="0"/>
                <w:sz w:val="22"/>
                <w:szCs w:val="22"/>
                <w:highlight w:val="yellow"/>
                <w:lang w:val="en-GB"/>
              </w:rPr>
              <w:t xml:space="preserve"> opportunities and challenges for future studies. It aims to clarify what is considered a two-stage DEA model in the literature and how this topic has been discussed over the years, especially in the banking sector</w:t>
            </w:r>
          </w:p>
          <w:p w:rsidR="4F940BA9" w:rsidP="4F940BA9" w:rsidRDefault="4F940BA9" w14:paraId="7CDBCA6E" w14:textId="5B2D2BD5">
            <w:pPr>
              <w:pStyle w:val="Normal"/>
              <w:jc w:val="center"/>
              <w:rPr>
                <w:rFonts w:ascii="Aptos" w:hAnsi="Aptos" w:eastAsia="Aptos" w:cs="Aptos"/>
                <w:sz w:val="20"/>
                <w:szCs w:val="20"/>
              </w:rPr>
            </w:pPr>
          </w:p>
        </w:tc>
      </w:tr>
    </w:tbl>
    <w:p w:rsidR="002101FF" w:rsidP="002101FF" w:rsidRDefault="002101FF" w14:paraId="4D7DBDE7" w14:textId="77777777">
      <w:pPr>
        <w:pStyle w:val="ListParagraph"/>
        <w:ind w:left="360"/>
        <w:jc w:val="both"/>
        <w:rPr>
          <w:rFonts w:ascii="Times New Roman" w:hAnsi="Times New Roman" w:cs="Times New Roman"/>
          <w:sz w:val="24"/>
          <w:szCs w:val="24"/>
        </w:rPr>
      </w:pPr>
    </w:p>
    <w:p w:rsidRPr="00CE5391" w:rsidR="002101FF" w:rsidP="002101FF" w:rsidRDefault="002101FF" w14:paraId="6BEB20C1" w14:textId="77777777">
      <w:pPr>
        <w:pStyle w:val="ListParagraph"/>
        <w:spacing w:after="0" w:line="240" w:lineRule="auto"/>
        <w:ind w:left="360"/>
        <w:jc w:val="both"/>
        <w:rPr>
          <w:rFonts w:ascii="Calibri" w:hAnsi="Calibri" w:eastAsia="Calibri" w:cs="Calibri"/>
          <w:sz w:val="20"/>
          <w:szCs w:val="20"/>
        </w:rPr>
      </w:pPr>
      <w:bookmarkStart w:name="_Hlk59749430" w:id="0"/>
      <w:r w:rsidRPr="00CE5391">
        <w:rPr>
          <w:rFonts w:ascii="Calibri" w:hAnsi="Calibri" w:eastAsia="Calibri" w:cs="Calibri"/>
          <w:b/>
          <w:bCs/>
          <w:sz w:val="20"/>
          <w:szCs w:val="20"/>
        </w:rPr>
        <w:t>Table 2:</w:t>
      </w:r>
      <w:r w:rsidRPr="00CE5391">
        <w:rPr>
          <w:rFonts w:ascii="Calibri" w:hAnsi="Calibri" w:eastAsia="Calibri" w:cs="Calibri"/>
          <w:sz w:val="20"/>
          <w:szCs w:val="20"/>
        </w:rPr>
        <w:t xml:space="preserve"> </w:t>
      </w:r>
      <w:r w:rsidRPr="00CE5391">
        <w:rPr>
          <w:rFonts w:ascii="Calibri" w:hAnsi="Calibri" w:eastAsia="Calibri" w:cs="Calibri"/>
          <w:sz w:val="20"/>
          <w:szCs w:val="20"/>
          <w:u w:val="single"/>
        </w:rPr>
        <w:t>Summary of the main contribution(s) of the paper</w:t>
      </w:r>
      <w:r w:rsidRPr="00CE5391">
        <w:rPr>
          <w:rFonts w:ascii="Calibri" w:hAnsi="Calibri" w:eastAsia="Calibri" w:cs="Calibri"/>
          <w:sz w:val="20"/>
          <w:szCs w:val="20"/>
        </w:rPr>
        <w:t xml:space="preserve"> (e.g., methodology, research question(s), application): what is the selling argument of the paper?</w:t>
      </w:r>
    </w:p>
    <w:tbl>
      <w:tblPr>
        <w:tblStyle w:val="TableGrid"/>
        <w:tblW w:w="9014" w:type="dxa"/>
        <w:tblInd w:w="355" w:type="dxa"/>
        <w:tblLook w:val="04A0" w:firstRow="1" w:lastRow="0" w:firstColumn="1" w:lastColumn="0" w:noHBand="0" w:noVBand="1"/>
      </w:tblPr>
      <w:tblGrid>
        <w:gridCol w:w="536"/>
        <w:gridCol w:w="1182"/>
        <w:gridCol w:w="3648"/>
        <w:gridCol w:w="3648"/>
      </w:tblGrid>
      <w:tr w:rsidRPr="00CE5391" w:rsidR="005E0A88" w:rsidTr="4F940BA9" w14:paraId="3B482F22" w14:textId="77777777">
        <w:trPr>
          <w:trHeight w:val="284"/>
        </w:trPr>
        <w:tc>
          <w:tcPr>
            <w:tcW w:w="536" w:type="dxa"/>
            <w:tcMar/>
          </w:tcPr>
          <w:p w:rsidRPr="00CE5391" w:rsidR="005E0A88" w:rsidP="00BD1418" w:rsidRDefault="005E0A88" w14:paraId="113230EC" w14:textId="6FC1EFCC">
            <w:pPr>
              <w:jc w:val="center"/>
              <w:rPr>
                <w:rFonts w:hint="eastAsia" w:cs="Calibri"/>
                <w:b/>
                <w:bCs/>
                <w:sz w:val="20"/>
                <w:szCs w:val="20"/>
              </w:rPr>
            </w:pPr>
            <w:r>
              <w:rPr>
                <w:rFonts w:cs="Calibri"/>
                <w:b/>
                <w:bCs/>
                <w:sz w:val="20"/>
                <w:szCs w:val="20"/>
              </w:rPr>
              <w:t>Paper #</w:t>
            </w:r>
          </w:p>
        </w:tc>
        <w:tc>
          <w:tcPr>
            <w:tcW w:w="1182" w:type="dxa"/>
            <w:tcMar/>
          </w:tcPr>
          <w:p w:rsidRPr="00CE5391" w:rsidR="005E0A88" w:rsidP="00BD1418" w:rsidRDefault="005E0A88" w14:paraId="36548426" w14:textId="661A1205">
            <w:pPr>
              <w:jc w:val="center"/>
              <w:rPr>
                <w:rFonts w:hint="eastAsia" w:cs="Calibri"/>
                <w:b/>
                <w:bCs/>
                <w:sz w:val="20"/>
                <w:szCs w:val="20"/>
              </w:rPr>
            </w:pPr>
            <w:r w:rsidRPr="00CE5391">
              <w:rPr>
                <w:rFonts w:cs="Calibri"/>
                <w:b/>
                <w:bCs/>
                <w:sz w:val="20"/>
                <w:szCs w:val="20"/>
              </w:rPr>
              <w:t>Reference</w:t>
            </w:r>
          </w:p>
        </w:tc>
        <w:tc>
          <w:tcPr>
            <w:tcW w:w="3648" w:type="dxa"/>
            <w:tcMar/>
          </w:tcPr>
          <w:p w:rsidRPr="00CE5391" w:rsidR="005E0A88" w:rsidP="00BD1418" w:rsidRDefault="005E0A88" w14:paraId="635E7F58" w14:textId="77777777">
            <w:pPr>
              <w:jc w:val="center"/>
              <w:rPr>
                <w:rFonts w:hint="eastAsia" w:cs="Calibri"/>
                <w:b/>
                <w:bCs/>
                <w:sz w:val="20"/>
                <w:szCs w:val="20"/>
              </w:rPr>
            </w:pPr>
            <w:r w:rsidRPr="00CE5391">
              <w:rPr>
                <w:rFonts w:cs="Calibri"/>
                <w:b/>
                <w:bCs/>
                <w:sz w:val="20"/>
                <w:szCs w:val="20"/>
              </w:rPr>
              <w:t>Main Contribution(s) of the Paper</w:t>
            </w:r>
          </w:p>
        </w:tc>
        <w:tc>
          <w:tcPr>
            <w:tcW w:w="3648" w:type="dxa"/>
            <w:tcMar/>
          </w:tcPr>
          <w:p w:rsidR="4F940BA9" w:rsidP="4F940BA9" w:rsidRDefault="4F940BA9" w14:paraId="3190569F" w14:textId="4EA352F7">
            <w:pPr>
              <w:pStyle w:val="Normal"/>
              <w:jc w:val="center"/>
              <w:rPr>
                <w:rFonts w:cs="Calibri"/>
                <w:b w:val="1"/>
                <w:bCs w:val="1"/>
                <w:sz w:val="20"/>
                <w:szCs w:val="20"/>
              </w:rPr>
            </w:pPr>
          </w:p>
        </w:tc>
      </w:tr>
      <w:tr w:rsidR="2B7FFB25" w:rsidTr="4F940BA9" w14:paraId="57A0B94B" w14:textId="77777777">
        <w:trPr>
          <w:trHeight w:val="284"/>
        </w:trPr>
        <w:tc>
          <w:tcPr>
            <w:tcW w:w="536" w:type="dxa"/>
            <w:tcMar/>
          </w:tcPr>
          <w:p w:rsidR="449DF716" w:rsidP="2B7FFB25" w:rsidRDefault="449DF716" w14:paraId="4976D112" w14:textId="446B781A">
            <w:pPr>
              <w:jc w:val="center"/>
              <w:rPr>
                <w:rFonts w:hint="eastAsia" w:cs="Calibri"/>
                <w:sz w:val="20"/>
                <w:szCs w:val="20"/>
                <w:lang w:eastAsia="zh-CN"/>
              </w:rPr>
            </w:pPr>
            <w:r w:rsidRPr="2B7FFB25">
              <w:rPr>
                <w:rFonts w:cs="Calibri"/>
                <w:sz w:val="20"/>
                <w:szCs w:val="20"/>
                <w:lang w:eastAsia="zh-CN"/>
              </w:rPr>
              <w:t>3</w:t>
            </w:r>
          </w:p>
        </w:tc>
        <w:tc>
          <w:tcPr>
            <w:tcW w:w="1182" w:type="dxa"/>
            <w:tcMar/>
          </w:tcPr>
          <w:p w:rsidR="449DF716" w:rsidP="2B7FFB25" w:rsidRDefault="449DF716" w14:paraId="68F3E1C6" w14:textId="7D67211B">
            <w:pPr>
              <w:jc w:val="center"/>
              <w:rPr>
                <w:rFonts w:hint="eastAsia"/>
              </w:rPr>
            </w:pPr>
            <w:r w:rsidRPr="2B7FFB25">
              <w:rPr>
                <w:rFonts w:ascii="Aptos" w:hAnsi="Aptos" w:eastAsia="Aptos" w:cs="Aptos"/>
                <w:color w:val="000000" w:themeColor="text1"/>
                <w:sz w:val="19"/>
                <w:szCs w:val="19"/>
              </w:rPr>
              <w:t>Xiaogang Chen, Michael Skully, and Kym Brown (2005)</w:t>
            </w:r>
          </w:p>
        </w:tc>
        <w:tc>
          <w:tcPr>
            <w:tcW w:w="3648" w:type="dxa"/>
            <w:tcMar/>
          </w:tcPr>
          <w:p w:rsidR="449DF716" w:rsidP="2B7FFB25" w:rsidRDefault="449DF716" w14:paraId="7006011F" w14:textId="206317BE">
            <w:pPr>
              <w:jc w:val="center"/>
              <w:rPr>
                <w:rFonts w:hint="eastAsia"/>
              </w:rPr>
            </w:pPr>
            <w:r w:rsidRPr="2B7FFB25">
              <w:rPr>
                <w:rFonts w:ascii="Aptos" w:hAnsi="Aptos" w:eastAsia="Aptos" w:cs="Aptos"/>
                <w:color w:val="000000" w:themeColor="text1"/>
                <w:sz w:val="19"/>
                <w:szCs w:val="19"/>
              </w:rPr>
              <w:t>the application of DEA for analysing bank efficiency in China's unique context, and an assessment of the impact of financial deregulation on banking efficiency</w:t>
            </w:r>
          </w:p>
        </w:tc>
        <w:tc>
          <w:tcPr>
            <w:tcW w:w="3648" w:type="dxa"/>
            <w:tcMar/>
          </w:tcPr>
          <w:p w:rsidR="4F940BA9" w:rsidP="4F940BA9" w:rsidRDefault="4F940BA9" w14:paraId="33F232BF" w14:textId="720E98C7">
            <w:pPr>
              <w:pStyle w:val="Normal"/>
              <w:jc w:val="center"/>
              <w:rPr>
                <w:rFonts w:ascii="Aptos" w:hAnsi="Aptos" w:eastAsia="Aptos" w:cs="Aptos"/>
                <w:color w:val="000000" w:themeColor="text1" w:themeTint="FF" w:themeShade="FF"/>
                <w:sz w:val="19"/>
                <w:szCs w:val="19"/>
              </w:rPr>
            </w:pPr>
          </w:p>
        </w:tc>
      </w:tr>
      <w:tr w:rsidR="2B7FFB25" w:rsidTr="4F940BA9" w14:paraId="3CA825F9" w14:textId="77777777">
        <w:trPr>
          <w:trHeight w:val="284"/>
        </w:trPr>
        <w:tc>
          <w:tcPr>
            <w:tcW w:w="536" w:type="dxa"/>
            <w:tcMar/>
          </w:tcPr>
          <w:p w:rsidR="2B7FFB25" w:rsidP="2B7FFB25" w:rsidRDefault="2B7FFB25" w14:paraId="1E1BA2FE" w14:textId="6C41FCAE">
            <w:pPr>
              <w:jc w:val="center"/>
              <w:rPr>
                <w:rFonts w:hint="eastAsia" w:cs="Calibri"/>
                <w:sz w:val="20"/>
                <w:szCs w:val="20"/>
                <w:lang w:eastAsia="zh-CN"/>
              </w:rPr>
            </w:pPr>
            <w:r w:rsidRPr="2B7FFB25">
              <w:rPr>
                <w:rFonts w:cs="Calibri"/>
                <w:sz w:val="20"/>
                <w:szCs w:val="20"/>
                <w:lang w:eastAsia="zh-CN"/>
              </w:rPr>
              <w:t>5</w:t>
            </w:r>
          </w:p>
        </w:tc>
        <w:tc>
          <w:tcPr>
            <w:tcW w:w="1182" w:type="dxa"/>
            <w:tcMar/>
          </w:tcPr>
          <w:p w:rsidR="2B7FFB25" w:rsidP="2B7FFB25" w:rsidRDefault="2B7FFB25" w14:paraId="4ED703B5" w14:textId="4D3618B6">
            <w:pPr>
              <w:jc w:val="center"/>
              <w:rPr>
                <w:rFonts w:hint="eastAsia" w:cs="Calibri"/>
                <w:sz w:val="20"/>
                <w:szCs w:val="20"/>
                <w:lang w:eastAsia="zh-CN"/>
              </w:rPr>
            </w:pPr>
            <w:r w:rsidRPr="2B7FFB25">
              <w:rPr>
                <w:rFonts w:cs="Calibri"/>
                <w:sz w:val="20"/>
                <w:szCs w:val="20"/>
                <w:lang w:eastAsia="zh-CN"/>
              </w:rPr>
              <w:t>Matthews (2013)</w:t>
            </w:r>
          </w:p>
        </w:tc>
        <w:tc>
          <w:tcPr>
            <w:tcW w:w="3648" w:type="dxa"/>
            <w:tcMar/>
          </w:tcPr>
          <w:p w:rsidR="2B7FFB25" w:rsidP="2B7FFB25" w:rsidRDefault="2B7FFB25" w14:paraId="4D5F9C51" w14:textId="77777777">
            <w:pPr>
              <w:jc w:val="center"/>
              <w:rPr>
                <w:rFonts w:hint="eastAsia" w:cs="Calibri"/>
                <w:sz w:val="20"/>
                <w:szCs w:val="20"/>
              </w:rPr>
            </w:pPr>
            <w:r w:rsidRPr="2B7FFB25">
              <w:rPr>
                <w:rFonts w:cs="Calibri"/>
                <w:sz w:val="20"/>
                <w:szCs w:val="20"/>
              </w:rPr>
              <w:t>Integration of risk management metrics into a Network DEA framework to evaluate the impact of risk management on bank income efficiency.</w:t>
            </w:r>
          </w:p>
        </w:tc>
        <w:tc>
          <w:tcPr>
            <w:tcW w:w="3648" w:type="dxa"/>
            <w:tcMar/>
          </w:tcPr>
          <w:p w:rsidR="4F940BA9" w:rsidP="4F940BA9" w:rsidRDefault="4F940BA9" w14:paraId="0348DF9A" w14:textId="3F73DE03">
            <w:pPr>
              <w:pStyle w:val="Normal"/>
              <w:jc w:val="center"/>
              <w:rPr>
                <w:rFonts w:cs="Calibri"/>
                <w:sz w:val="20"/>
                <w:szCs w:val="20"/>
              </w:rPr>
            </w:pPr>
          </w:p>
        </w:tc>
      </w:tr>
      <w:tr w:rsidR="2B7FFB25" w:rsidTr="4F940BA9" w14:paraId="1E90DB84" w14:textId="77777777">
        <w:trPr>
          <w:trHeight w:val="284"/>
        </w:trPr>
        <w:tc>
          <w:tcPr>
            <w:tcW w:w="536" w:type="dxa"/>
            <w:tcMar/>
          </w:tcPr>
          <w:p w:rsidR="3C825EFB" w:rsidP="2B7FFB25" w:rsidRDefault="3C825EFB" w14:paraId="3D6BB371" w14:textId="65A8D3C0">
            <w:pPr>
              <w:jc w:val="center"/>
              <w:rPr>
                <w:rFonts w:hint="eastAsia" w:cs="Calibri"/>
                <w:sz w:val="20"/>
                <w:szCs w:val="20"/>
                <w:lang w:eastAsia="zh-CN"/>
              </w:rPr>
            </w:pPr>
            <w:r w:rsidRPr="2B7FFB25">
              <w:rPr>
                <w:rFonts w:cs="Calibri"/>
                <w:sz w:val="20"/>
                <w:szCs w:val="20"/>
                <w:lang w:eastAsia="zh-CN"/>
              </w:rPr>
              <w:t>8</w:t>
            </w:r>
          </w:p>
        </w:tc>
        <w:tc>
          <w:tcPr>
            <w:tcW w:w="1182" w:type="dxa"/>
            <w:tcMar/>
          </w:tcPr>
          <w:p w:rsidR="3C825EFB" w:rsidP="2B7FFB25" w:rsidRDefault="3C825EFB" w14:paraId="5F5B7CB1" w14:textId="595FF46B">
            <w:pPr>
              <w:jc w:val="center"/>
              <w:rPr>
                <w:rFonts w:hint="eastAsia"/>
              </w:rPr>
            </w:pPr>
            <w:r w:rsidRPr="2B7FFB25">
              <w:rPr>
                <w:rFonts w:ascii="Aptos" w:hAnsi="Aptos" w:eastAsia="Aptos" w:cs="Aptos"/>
                <w:color w:val="000000" w:themeColor="text1"/>
                <w:sz w:val="19"/>
                <w:szCs w:val="19"/>
              </w:rPr>
              <w:t>Xiaohong Liu, Feng Yang, Jie Wu (2020)</w:t>
            </w:r>
          </w:p>
        </w:tc>
        <w:tc>
          <w:tcPr>
            <w:tcW w:w="3648" w:type="dxa"/>
            <w:tcMar/>
          </w:tcPr>
          <w:p w:rsidR="3C825EFB" w:rsidP="2B7FFB25" w:rsidRDefault="3C825EFB" w14:paraId="78A1C106" w14:textId="2369ED37">
            <w:pPr>
              <w:jc w:val="center"/>
              <w:rPr>
                <w:rFonts w:hint="eastAsia"/>
              </w:rPr>
            </w:pPr>
            <w:r w:rsidRPr="2B7FFB25">
              <w:rPr>
                <w:rFonts w:ascii="Aptos" w:hAnsi="Aptos" w:eastAsia="Aptos" w:cs="Aptos"/>
                <w:color w:val="000000" w:themeColor="text1"/>
                <w:sz w:val="19"/>
                <w:szCs w:val="19"/>
              </w:rPr>
              <w:t>Integration of the meta-frontier technique into DEA for assessing bank performance with technological heterogeneity, targeting intermediate outputs, and accounting for differences in operational technology among banks.</w:t>
            </w:r>
          </w:p>
        </w:tc>
        <w:tc>
          <w:tcPr>
            <w:tcW w:w="3648" w:type="dxa"/>
            <w:tcMar/>
          </w:tcPr>
          <w:p w:rsidR="4F940BA9" w:rsidP="4F940BA9" w:rsidRDefault="4F940BA9" w14:paraId="24994A46" w14:textId="6F487AE6">
            <w:pPr>
              <w:pStyle w:val="Normal"/>
              <w:jc w:val="center"/>
              <w:rPr>
                <w:rFonts w:ascii="Aptos" w:hAnsi="Aptos" w:eastAsia="Aptos" w:cs="Aptos"/>
                <w:color w:val="000000" w:themeColor="text1" w:themeTint="FF" w:themeShade="FF"/>
                <w:sz w:val="19"/>
                <w:szCs w:val="19"/>
              </w:rPr>
            </w:pPr>
          </w:p>
        </w:tc>
      </w:tr>
      <w:tr w:rsidRPr="00CE5391" w:rsidR="005E0A88" w:rsidTr="4F940BA9" w14:paraId="6A7289ED" w14:textId="77777777">
        <w:trPr>
          <w:trHeight w:val="284"/>
        </w:trPr>
        <w:tc>
          <w:tcPr>
            <w:tcW w:w="536" w:type="dxa"/>
            <w:tcMar/>
          </w:tcPr>
          <w:p w:rsidRPr="00611F08" w:rsidR="005E0A88" w:rsidP="005E0A88" w:rsidRDefault="005E0A88" w14:paraId="74D0EB3D" w14:textId="52285D6A">
            <w:pPr>
              <w:jc w:val="center"/>
              <w:rPr>
                <w:rFonts w:hint="eastAsia"/>
                <w:sz w:val="20"/>
                <w:szCs w:val="20"/>
              </w:rPr>
            </w:pPr>
            <w:r>
              <w:rPr>
                <w:sz w:val="20"/>
                <w:szCs w:val="20"/>
              </w:rPr>
              <w:t>10</w:t>
            </w:r>
          </w:p>
        </w:tc>
        <w:tc>
          <w:tcPr>
            <w:tcW w:w="1182" w:type="dxa"/>
            <w:tcMar/>
          </w:tcPr>
          <w:p w:rsidRPr="00CE5391" w:rsidR="005E0A88" w:rsidP="005E0A88" w:rsidRDefault="005E0A88" w14:paraId="5B44EEDC" w14:textId="633EA1C5">
            <w:pPr>
              <w:jc w:val="center"/>
              <w:rPr>
                <w:rFonts w:hint="eastAsia" w:cs="Calibri"/>
                <w:sz w:val="20"/>
                <w:szCs w:val="20"/>
                <w:lang w:eastAsia="zh-CN"/>
              </w:rPr>
            </w:pPr>
            <w:r w:rsidRPr="00611F08">
              <w:rPr>
                <w:sz w:val="20"/>
                <w:szCs w:val="20"/>
              </w:rPr>
              <w:t>Wilson and Zhao (2023)</w:t>
            </w:r>
          </w:p>
        </w:tc>
        <w:tc>
          <w:tcPr>
            <w:tcW w:w="3648" w:type="dxa"/>
            <w:tcMar/>
          </w:tcPr>
          <w:p w:rsidRPr="00CE5391" w:rsidR="005E0A88" w:rsidP="005E0A88" w:rsidRDefault="005E0A88" w14:paraId="7E8C6102" w14:textId="77777777">
            <w:pPr>
              <w:jc w:val="center"/>
              <w:rPr>
                <w:rFonts w:hint="eastAsia" w:cs="Calibri"/>
                <w:sz w:val="20"/>
                <w:szCs w:val="20"/>
              </w:rPr>
            </w:pPr>
            <w:r>
              <w:rPr>
                <w:rFonts w:cs="Calibri"/>
                <w:sz w:val="20"/>
                <w:szCs w:val="20"/>
              </w:rPr>
              <w:t>U</w:t>
            </w:r>
            <w:r w:rsidRPr="00952865">
              <w:rPr>
                <w:rFonts w:cs="Calibri"/>
                <w:sz w:val="20"/>
                <w:szCs w:val="20"/>
              </w:rPr>
              <w:t>nderstanding the impact of the global financial crisis and subsequent stimulus on Chinese banks' efficiency and productivity.</w:t>
            </w:r>
          </w:p>
        </w:tc>
        <w:tc>
          <w:tcPr>
            <w:tcW w:w="3648" w:type="dxa"/>
            <w:tcMar/>
          </w:tcPr>
          <w:p w:rsidR="4F940BA9" w:rsidP="4F940BA9" w:rsidRDefault="4F940BA9" w14:paraId="4C486601" w14:textId="3C751FA7">
            <w:pPr>
              <w:pStyle w:val="Normal"/>
              <w:jc w:val="center"/>
              <w:rPr>
                <w:rFonts w:cs="Calibri"/>
                <w:sz w:val="20"/>
                <w:szCs w:val="20"/>
              </w:rPr>
            </w:pPr>
          </w:p>
        </w:tc>
      </w:tr>
      <w:tr w:rsidR="2B7FFB25" w:rsidTr="4F940BA9" w14:paraId="1D67EED3" w14:textId="77777777">
        <w:trPr>
          <w:trHeight w:val="284"/>
        </w:trPr>
        <w:tc>
          <w:tcPr>
            <w:tcW w:w="536" w:type="dxa"/>
            <w:tcMar/>
          </w:tcPr>
          <w:p w:rsidR="369FFAB9" w:rsidP="2B7FFB25" w:rsidRDefault="369FFAB9" w14:paraId="622F0925" w14:textId="1AAFF8F0">
            <w:pPr>
              <w:jc w:val="center"/>
              <w:rPr>
                <w:rFonts w:hint="eastAsia"/>
                <w:sz w:val="20"/>
                <w:szCs w:val="20"/>
              </w:rPr>
            </w:pPr>
            <w:r w:rsidRPr="2B7FFB25">
              <w:rPr>
                <w:sz w:val="20"/>
                <w:szCs w:val="20"/>
              </w:rPr>
              <w:t>13</w:t>
            </w:r>
          </w:p>
        </w:tc>
        <w:tc>
          <w:tcPr>
            <w:tcW w:w="1182" w:type="dxa"/>
            <w:tcMar/>
          </w:tcPr>
          <w:p w:rsidR="369FFAB9" w:rsidP="2B7FFB25" w:rsidRDefault="369FFAB9" w14:paraId="03B1380A" w14:textId="0CA942E9">
            <w:pPr>
              <w:jc w:val="center"/>
              <w:rPr>
                <w:rFonts w:hint="eastAsia"/>
              </w:rPr>
            </w:pPr>
            <w:r w:rsidRPr="2B7FFB25">
              <w:rPr>
                <w:rFonts w:ascii="Aptos" w:hAnsi="Aptos" w:eastAsia="Aptos" w:cs="Aptos"/>
                <w:color w:val="000000" w:themeColor="text1"/>
                <w:sz w:val="19"/>
                <w:szCs w:val="19"/>
              </w:rPr>
              <w:t>Xiao Shi, Libo Wang, Ali Emrouznejad (2023)</w:t>
            </w:r>
          </w:p>
        </w:tc>
        <w:tc>
          <w:tcPr>
            <w:tcW w:w="3648" w:type="dxa"/>
            <w:tcMar/>
          </w:tcPr>
          <w:p w:rsidR="369FFAB9" w:rsidP="2B7FFB25" w:rsidRDefault="369FFAB9" w14:paraId="2624605D" w14:textId="1DACB333">
            <w:pPr>
              <w:jc w:val="center"/>
              <w:rPr>
                <w:rFonts w:hint="eastAsia"/>
              </w:rPr>
            </w:pPr>
            <w:r w:rsidRPr="2B7FFB25">
              <w:rPr>
                <w:rFonts w:ascii="Aptos" w:hAnsi="Aptos" w:eastAsia="Aptos" w:cs="Aptos"/>
                <w:color w:val="000000" w:themeColor="text1"/>
                <w:sz w:val="19"/>
                <w:szCs w:val="19"/>
              </w:rPr>
              <w:t>the development of an improved slacks-based DEA model that integrates undesirable outputs using a by-production framework. This model provides a more accurate assessment of bank efficiency</w:t>
            </w:r>
          </w:p>
        </w:tc>
        <w:tc>
          <w:tcPr>
            <w:tcW w:w="3648" w:type="dxa"/>
            <w:tcMar/>
          </w:tcPr>
          <w:p w:rsidR="4F940BA9" w:rsidP="4F940BA9" w:rsidRDefault="4F940BA9" w14:paraId="26E17DBF" w14:textId="0C3790DF">
            <w:pPr>
              <w:pStyle w:val="Normal"/>
              <w:jc w:val="center"/>
              <w:rPr>
                <w:rFonts w:ascii="Aptos" w:hAnsi="Aptos" w:eastAsia="Aptos" w:cs="Aptos"/>
                <w:color w:val="000000" w:themeColor="text1" w:themeTint="FF" w:themeShade="FF"/>
                <w:sz w:val="19"/>
                <w:szCs w:val="19"/>
              </w:rPr>
            </w:pPr>
          </w:p>
        </w:tc>
      </w:tr>
      <w:tr w:rsidR="2B7FFB25" w:rsidTr="4F940BA9" w14:paraId="6739FF3A" w14:textId="77777777">
        <w:trPr>
          <w:trHeight w:val="284"/>
        </w:trPr>
        <w:tc>
          <w:tcPr>
            <w:tcW w:w="536" w:type="dxa"/>
            <w:tcMar/>
          </w:tcPr>
          <w:p w:rsidR="2B7FFB25" w:rsidP="2B7FFB25" w:rsidRDefault="2B7FFB25" w14:paraId="652B6862" w14:textId="3A878AE2">
            <w:pPr>
              <w:jc w:val="center"/>
              <w:rPr>
                <w:rFonts w:hint="eastAsia" w:cs="Calibri"/>
                <w:sz w:val="20"/>
                <w:szCs w:val="20"/>
                <w:lang w:eastAsia="zh-CN"/>
              </w:rPr>
            </w:pPr>
            <w:r w:rsidRPr="2B7FFB25">
              <w:rPr>
                <w:rFonts w:cs="Calibri"/>
                <w:sz w:val="20"/>
                <w:szCs w:val="20"/>
                <w:lang w:eastAsia="zh-CN"/>
              </w:rPr>
              <w:t>15</w:t>
            </w:r>
          </w:p>
        </w:tc>
        <w:tc>
          <w:tcPr>
            <w:tcW w:w="1182" w:type="dxa"/>
            <w:tcMar/>
          </w:tcPr>
          <w:p w:rsidR="2B7FFB25" w:rsidP="2B7FFB25" w:rsidRDefault="2B7FFB25" w14:paraId="052725C2" w14:textId="57EE4B33">
            <w:pPr>
              <w:jc w:val="center"/>
              <w:rPr>
                <w:rFonts w:hint="eastAsia" w:cs="Calibri"/>
                <w:sz w:val="20"/>
                <w:szCs w:val="20"/>
                <w:lang w:eastAsia="zh-CN"/>
              </w:rPr>
            </w:pPr>
            <w:r w:rsidRPr="2B7FFB25">
              <w:rPr>
                <w:rFonts w:cs="Calibri"/>
                <w:sz w:val="20"/>
                <w:szCs w:val="20"/>
                <w:lang w:eastAsia="zh-CN"/>
              </w:rPr>
              <w:t>Asmild and Matthews (2012)</w:t>
            </w:r>
          </w:p>
        </w:tc>
        <w:tc>
          <w:tcPr>
            <w:tcW w:w="3648" w:type="dxa"/>
            <w:tcMar/>
          </w:tcPr>
          <w:p w:rsidR="2B7FFB25" w:rsidP="2B7FFB25" w:rsidRDefault="2B7FFB25" w14:paraId="47B6905A" w14:textId="77777777">
            <w:pPr>
              <w:jc w:val="center"/>
              <w:rPr>
                <w:rFonts w:hint="eastAsia" w:cs="Calibri"/>
                <w:sz w:val="20"/>
                <w:szCs w:val="20"/>
              </w:rPr>
            </w:pPr>
            <w:r w:rsidRPr="2B7FFB25">
              <w:rPr>
                <w:rFonts w:cs="Calibri"/>
                <w:sz w:val="20"/>
                <w:szCs w:val="20"/>
              </w:rPr>
              <w:t>Applying multi-directional efficiency analysis (MEA) to investigate not only the levels of efficiency in Chinese banks but also the patterns of inefficiencies across different types of banks</w:t>
            </w:r>
          </w:p>
        </w:tc>
        <w:tc>
          <w:tcPr>
            <w:tcW w:w="3648" w:type="dxa"/>
            <w:tcMar/>
          </w:tcPr>
          <w:p w:rsidR="4F940BA9" w:rsidP="4F940BA9" w:rsidRDefault="4F940BA9" w14:paraId="3B86513F" w14:textId="3B380951">
            <w:pPr>
              <w:pStyle w:val="Normal"/>
              <w:jc w:val="center"/>
              <w:rPr>
                <w:rFonts w:cs="Calibri"/>
                <w:sz w:val="20"/>
                <w:szCs w:val="20"/>
              </w:rPr>
            </w:pPr>
          </w:p>
        </w:tc>
      </w:tr>
      <w:tr w:rsidR="2B7FFB25" w:rsidTr="4F940BA9" w14:paraId="7607B43C" w14:textId="77777777">
        <w:trPr>
          <w:trHeight w:val="284"/>
        </w:trPr>
        <w:tc>
          <w:tcPr>
            <w:tcW w:w="536" w:type="dxa"/>
            <w:tcMar/>
          </w:tcPr>
          <w:p w:rsidR="4A5B1C12" w:rsidP="2B7FFB25" w:rsidRDefault="4A5B1C12" w14:paraId="4283A0BC" w14:textId="18C5F542">
            <w:pPr>
              <w:jc w:val="center"/>
              <w:rPr>
                <w:rFonts w:hint="eastAsia" w:cs="Calibri"/>
                <w:sz w:val="20"/>
                <w:szCs w:val="20"/>
                <w:lang w:eastAsia="zh-CN"/>
              </w:rPr>
            </w:pPr>
            <w:r w:rsidRPr="2B7FFB25">
              <w:rPr>
                <w:rFonts w:cs="Calibri"/>
                <w:sz w:val="20"/>
                <w:szCs w:val="20"/>
                <w:lang w:eastAsia="zh-CN"/>
              </w:rPr>
              <w:t>18</w:t>
            </w:r>
          </w:p>
        </w:tc>
        <w:tc>
          <w:tcPr>
            <w:tcW w:w="1182" w:type="dxa"/>
            <w:tcMar/>
          </w:tcPr>
          <w:p w:rsidR="4A5B1C12" w:rsidP="2B7FFB25" w:rsidRDefault="4A5B1C12" w14:paraId="4BB91ED2" w14:textId="4D845D26">
            <w:pPr>
              <w:jc w:val="center"/>
              <w:rPr>
                <w:rFonts w:hint="eastAsia"/>
              </w:rPr>
            </w:pPr>
            <w:r w:rsidRPr="2B7FFB25">
              <w:rPr>
                <w:rFonts w:ascii="Aptos" w:hAnsi="Aptos" w:eastAsia="Aptos" w:cs="Aptos"/>
                <w:color w:val="374151"/>
                <w:sz w:val="19"/>
                <w:szCs w:val="19"/>
              </w:rPr>
              <w:t>Kai Du, Andrew C. Worthington, Valentin Zelenyuk (2018)</w:t>
            </w:r>
          </w:p>
        </w:tc>
        <w:tc>
          <w:tcPr>
            <w:tcW w:w="3648" w:type="dxa"/>
            <w:tcMar/>
          </w:tcPr>
          <w:p w:rsidR="4A5B1C12" w:rsidP="2B7FFB25" w:rsidRDefault="4A5B1C12" w14:paraId="5E998840" w14:textId="2052D0AB">
            <w:pPr>
              <w:jc w:val="center"/>
              <w:rPr>
                <w:rFonts w:hint="eastAsia"/>
              </w:rPr>
            </w:pPr>
            <w:r w:rsidRPr="2B7FFB25">
              <w:rPr>
                <w:rFonts w:ascii="Aptos" w:hAnsi="Aptos" w:eastAsia="Aptos" w:cs="Aptos"/>
                <w:color w:val="000000" w:themeColor="text1"/>
                <w:sz w:val="19"/>
                <w:szCs w:val="19"/>
              </w:rPr>
              <w:t>Development of a dynamic version of the two-stage DEA approach with truncated regression and double-bootstrapping, applied to Chinese banking data, examining the impact of asset portfolio diversification on bank efficiency.</w:t>
            </w:r>
          </w:p>
        </w:tc>
        <w:tc>
          <w:tcPr>
            <w:tcW w:w="3648" w:type="dxa"/>
            <w:tcMar/>
          </w:tcPr>
          <w:p w:rsidR="4F940BA9" w:rsidP="4F940BA9" w:rsidRDefault="4F940BA9" w14:paraId="37D07FA1" w14:textId="39817BA4">
            <w:pPr>
              <w:pStyle w:val="Normal"/>
              <w:jc w:val="center"/>
              <w:rPr>
                <w:rFonts w:ascii="Aptos" w:hAnsi="Aptos" w:eastAsia="Aptos" w:cs="Aptos"/>
                <w:color w:val="000000" w:themeColor="text1" w:themeTint="FF" w:themeShade="FF"/>
                <w:sz w:val="19"/>
                <w:szCs w:val="19"/>
              </w:rPr>
            </w:pPr>
          </w:p>
        </w:tc>
      </w:tr>
      <w:tr w:rsidRPr="00CE5391" w:rsidR="005E0A88" w:rsidTr="4F940BA9" w14:paraId="2B9C4724" w14:textId="77777777">
        <w:trPr>
          <w:trHeight w:val="284"/>
        </w:trPr>
        <w:tc>
          <w:tcPr>
            <w:tcW w:w="536" w:type="dxa"/>
            <w:tcMar/>
          </w:tcPr>
          <w:p w:rsidRPr="009B153E" w:rsidR="005E0A88" w:rsidP="005E0A88" w:rsidRDefault="005E0A88" w14:paraId="28ECAAAB" w14:textId="719495C1">
            <w:pPr>
              <w:jc w:val="center"/>
              <w:rPr>
                <w:rFonts w:hint="eastAsia" w:cs="Calibri"/>
                <w:sz w:val="20"/>
                <w:szCs w:val="20"/>
                <w:lang w:eastAsia="zh-CN"/>
              </w:rPr>
            </w:pPr>
            <w:r>
              <w:rPr>
                <w:rFonts w:cs="Calibri"/>
                <w:sz w:val="20"/>
                <w:szCs w:val="20"/>
                <w:lang w:eastAsia="zh-CN"/>
              </w:rPr>
              <w:t>20</w:t>
            </w:r>
          </w:p>
        </w:tc>
        <w:tc>
          <w:tcPr>
            <w:tcW w:w="1182" w:type="dxa"/>
            <w:tcMar/>
          </w:tcPr>
          <w:p w:rsidRPr="00CE5391" w:rsidR="005E0A88" w:rsidP="005E0A88" w:rsidRDefault="005E0A88" w14:paraId="47224135" w14:textId="6130D1C7">
            <w:pPr>
              <w:jc w:val="center"/>
              <w:rPr>
                <w:rFonts w:hint="eastAsia" w:cs="Calibri"/>
                <w:sz w:val="20"/>
                <w:szCs w:val="20"/>
                <w:lang w:eastAsia="zh-CN"/>
              </w:rPr>
            </w:pPr>
            <w:r w:rsidRPr="009B153E">
              <w:rPr>
                <w:rFonts w:cs="Calibri"/>
                <w:sz w:val="20"/>
                <w:szCs w:val="20"/>
                <w:lang w:eastAsia="zh-CN"/>
              </w:rPr>
              <w:t>Dong et al., (2014)</w:t>
            </w:r>
          </w:p>
        </w:tc>
        <w:tc>
          <w:tcPr>
            <w:tcW w:w="3648" w:type="dxa"/>
            <w:tcMar/>
          </w:tcPr>
          <w:p w:rsidRPr="00CE5391" w:rsidR="005E0A88" w:rsidP="005E0A88" w:rsidRDefault="005E0A88" w14:paraId="082C6E9E" w14:textId="77777777">
            <w:pPr>
              <w:jc w:val="center"/>
              <w:rPr>
                <w:rFonts w:hint="eastAsia" w:cs="Calibri"/>
                <w:sz w:val="20"/>
                <w:szCs w:val="20"/>
              </w:rPr>
            </w:pPr>
            <w:r>
              <w:rPr>
                <w:rFonts w:cs="Calibri"/>
                <w:sz w:val="20"/>
                <w:szCs w:val="20"/>
              </w:rPr>
              <w:t>E</w:t>
            </w:r>
            <w:r w:rsidRPr="002D2D54">
              <w:rPr>
                <w:rFonts w:cs="Calibri"/>
                <w:sz w:val="20"/>
                <w:szCs w:val="20"/>
              </w:rPr>
              <w:t xml:space="preserve">fficiency analysis in </w:t>
            </w:r>
            <w:r>
              <w:rPr>
                <w:rFonts w:cs="Calibri"/>
                <w:sz w:val="20"/>
                <w:szCs w:val="20"/>
              </w:rPr>
              <w:t xml:space="preserve">Chinese </w:t>
            </w:r>
            <w:r w:rsidRPr="002D2D54">
              <w:rPr>
                <w:rFonts w:cs="Calibri"/>
                <w:sz w:val="20"/>
                <w:szCs w:val="20"/>
              </w:rPr>
              <w:t>banking by comparing SFA and DEA methods. It assesses the consistency of efficiency scores between these approaches and provides insights into the most suitable methods for banking efficiency analysis.</w:t>
            </w:r>
          </w:p>
        </w:tc>
        <w:tc>
          <w:tcPr>
            <w:tcW w:w="3648" w:type="dxa"/>
            <w:tcMar/>
          </w:tcPr>
          <w:p w:rsidR="4F940BA9" w:rsidP="4F940BA9" w:rsidRDefault="4F940BA9" w14:paraId="1CB13C7F" w14:textId="01365710">
            <w:pPr>
              <w:pStyle w:val="Normal"/>
              <w:jc w:val="center"/>
              <w:rPr>
                <w:rFonts w:cs="Calibri"/>
                <w:sz w:val="20"/>
                <w:szCs w:val="20"/>
              </w:rPr>
            </w:pPr>
          </w:p>
        </w:tc>
      </w:tr>
      <w:tr w:rsidR="2B7FFB25" w:rsidTr="4F940BA9" w14:paraId="302C47BD" w14:textId="77777777">
        <w:trPr>
          <w:trHeight w:val="284"/>
        </w:trPr>
        <w:tc>
          <w:tcPr>
            <w:tcW w:w="536" w:type="dxa"/>
            <w:tcMar/>
          </w:tcPr>
          <w:p w:rsidR="5F1C5902" w:rsidP="2B7FFB25" w:rsidRDefault="5F1C5902" w14:paraId="2A00B73C" w14:textId="58547515">
            <w:pPr>
              <w:jc w:val="center"/>
              <w:rPr>
                <w:rFonts w:hint="eastAsia" w:cs="Calibri"/>
                <w:sz w:val="20"/>
                <w:szCs w:val="20"/>
                <w:lang w:eastAsia="zh-CN"/>
              </w:rPr>
            </w:pPr>
            <w:r w:rsidRPr="2B7FFB25">
              <w:rPr>
                <w:rFonts w:cs="Calibri"/>
                <w:sz w:val="20"/>
                <w:szCs w:val="20"/>
                <w:lang w:eastAsia="zh-CN"/>
              </w:rPr>
              <w:t>23</w:t>
            </w:r>
          </w:p>
        </w:tc>
        <w:tc>
          <w:tcPr>
            <w:tcW w:w="1182" w:type="dxa"/>
            <w:tcMar/>
          </w:tcPr>
          <w:p w:rsidR="5F1C5902" w:rsidP="2B7FFB25" w:rsidRDefault="5F1C5902" w14:paraId="251DEC64" w14:textId="109E9259">
            <w:pPr>
              <w:jc w:val="center"/>
              <w:rPr>
                <w:rFonts w:hint="eastAsia"/>
              </w:rPr>
            </w:pPr>
            <w:r w:rsidRPr="2B7FFB25">
              <w:rPr>
                <w:rFonts w:ascii="Aptos" w:hAnsi="Aptos" w:eastAsia="Aptos" w:cs="Aptos"/>
                <w:color w:val="000000" w:themeColor="text1"/>
                <w:sz w:val="19"/>
                <w:szCs w:val="19"/>
              </w:rPr>
              <w:t>James R. Barth, Chen Lin, Yue Ma, Jesús Seade, Frank M. Song (2013)</w:t>
            </w:r>
          </w:p>
        </w:tc>
        <w:tc>
          <w:tcPr>
            <w:tcW w:w="3648" w:type="dxa"/>
            <w:tcMar/>
          </w:tcPr>
          <w:p w:rsidR="5F1C5902" w:rsidP="2B7FFB25" w:rsidRDefault="5F1C5902" w14:paraId="1C456E2A" w14:textId="71FEF090">
            <w:pPr>
              <w:jc w:val="center"/>
              <w:rPr>
                <w:rFonts w:hint="eastAsia"/>
              </w:rPr>
            </w:pPr>
            <w:r w:rsidRPr="2B7FFB25">
              <w:rPr>
                <w:rFonts w:ascii="Aptos" w:hAnsi="Aptos" w:eastAsia="Aptos" w:cs="Aptos"/>
                <w:color w:val="000000" w:themeColor="text1"/>
                <w:sz w:val="19"/>
                <w:szCs w:val="19"/>
              </w:rPr>
              <w:t>Provides empirical evidence on the relationship between bank efficiency and various aspects of bank regulation, supervision, and monitoring. Highlights how different regulatory environments affect bank operations.</w:t>
            </w:r>
          </w:p>
        </w:tc>
        <w:tc>
          <w:tcPr>
            <w:tcW w:w="3648" w:type="dxa"/>
            <w:tcMar/>
          </w:tcPr>
          <w:p w:rsidR="4F940BA9" w:rsidP="4F940BA9" w:rsidRDefault="4F940BA9" w14:paraId="4ECB7C62" w14:textId="05FDEBCB">
            <w:pPr>
              <w:pStyle w:val="Normal"/>
              <w:jc w:val="center"/>
              <w:rPr>
                <w:rFonts w:ascii="Aptos" w:hAnsi="Aptos" w:eastAsia="Aptos" w:cs="Aptos"/>
                <w:color w:val="000000" w:themeColor="text1" w:themeTint="FF" w:themeShade="FF"/>
                <w:sz w:val="19"/>
                <w:szCs w:val="19"/>
              </w:rPr>
            </w:pPr>
          </w:p>
        </w:tc>
      </w:tr>
      <w:tr w:rsidRPr="00CE5391" w:rsidR="005E0A88" w:rsidTr="4F940BA9" w14:paraId="265C0437" w14:textId="77777777">
        <w:trPr>
          <w:trHeight w:val="284"/>
        </w:trPr>
        <w:tc>
          <w:tcPr>
            <w:tcW w:w="536" w:type="dxa"/>
            <w:tcMar/>
          </w:tcPr>
          <w:p w:rsidRPr="00E9480F" w:rsidR="005E0A88" w:rsidP="005E0A88" w:rsidRDefault="005E0A88" w14:paraId="6A65319B" w14:textId="7CE7DAB0">
            <w:pPr>
              <w:jc w:val="center"/>
              <w:rPr>
                <w:rFonts w:hint="eastAsia" w:cs="Calibri"/>
                <w:sz w:val="20"/>
                <w:szCs w:val="20"/>
                <w:lang w:eastAsia="zh-CN"/>
              </w:rPr>
            </w:pPr>
            <w:r>
              <w:rPr>
                <w:rFonts w:cs="Calibri"/>
                <w:sz w:val="20"/>
                <w:szCs w:val="20"/>
                <w:lang w:eastAsia="zh-CN"/>
              </w:rPr>
              <w:t>25</w:t>
            </w:r>
          </w:p>
        </w:tc>
        <w:tc>
          <w:tcPr>
            <w:tcW w:w="1182" w:type="dxa"/>
            <w:tcMar/>
          </w:tcPr>
          <w:p w:rsidRPr="00E751D5" w:rsidR="005E0A88" w:rsidP="005E0A88" w:rsidRDefault="005E0A88" w14:paraId="69B693ED" w14:textId="17A32F95">
            <w:pPr>
              <w:jc w:val="center"/>
              <w:rPr>
                <w:rFonts w:hint="eastAsia" w:cs="Calibri"/>
                <w:sz w:val="20"/>
                <w:szCs w:val="20"/>
                <w:lang w:eastAsia="zh-CN"/>
              </w:rPr>
            </w:pPr>
            <w:r w:rsidRPr="00E9480F">
              <w:rPr>
                <w:rFonts w:cs="Calibri"/>
                <w:sz w:val="20"/>
                <w:szCs w:val="20"/>
                <w:lang w:eastAsia="zh-CN"/>
              </w:rPr>
              <w:t>Xie et al.</w:t>
            </w:r>
            <w:r>
              <w:rPr>
                <w:rFonts w:cs="Calibri"/>
                <w:sz w:val="20"/>
                <w:szCs w:val="20"/>
                <w:lang w:eastAsia="zh-CN"/>
              </w:rPr>
              <w:t xml:space="preserve"> (</w:t>
            </w:r>
            <w:r w:rsidRPr="00E9480F">
              <w:rPr>
                <w:rFonts w:cs="Calibri"/>
                <w:sz w:val="20"/>
                <w:szCs w:val="20"/>
                <w:lang w:eastAsia="zh-CN"/>
              </w:rPr>
              <w:t>2022)</w:t>
            </w:r>
          </w:p>
        </w:tc>
        <w:tc>
          <w:tcPr>
            <w:tcW w:w="3648" w:type="dxa"/>
            <w:tcMar/>
          </w:tcPr>
          <w:p w:rsidR="005E0A88" w:rsidP="005E0A88" w:rsidRDefault="005E0A88" w14:paraId="1C55E5C2" w14:textId="77777777">
            <w:pPr>
              <w:jc w:val="center"/>
              <w:rPr>
                <w:rFonts w:hint="eastAsia" w:cs="Calibri"/>
                <w:sz w:val="20"/>
                <w:szCs w:val="20"/>
              </w:rPr>
            </w:pPr>
            <w:r>
              <w:rPr>
                <w:rFonts w:cs="Calibri"/>
                <w:sz w:val="20"/>
                <w:szCs w:val="20"/>
              </w:rPr>
              <w:t>D</w:t>
            </w:r>
            <w:r w:rsidRPr="009455F3">
              <w:rPr>
                <w:rFonts w:cs="Calibri"/>
                <w:sz w:val="20"/>
                <w:szCs w:val="20"/>
              </w:rPr>
              <w:t>evelopment and application of a multi-period leader-follower DEA model that incorporates undesirable outputs, providing a more accurate efficiency evaluation of commercial banks.</w:t>
            </w:r>
          </w:p>
        </w:tc>
        <w:tc>
          <w:tcPr>
            <w:tcW w:w="3648" w:type="dxa"/>
            <w:tcMar/>
          </w:tcPr>
          <w:p w:rsidR="4F940BA9" w:rsidP="4F940BA9" w:rsidRDefault="4F940BA9" w14:paraId="465906BB" w14:textId="0E1479AE">
            <w:pPr>
              <w:pStyle w:val="Normal"/>
              <w:jc w:val="center"/>
              <w:rPr>
                <w:rFonts w:cs="Calibri"/>
                <w:sz w:val="20"/>
                <w:szCs w:val="20"/>
              </w:rPr>
            </w:pPr>
          </w:p>
        </w:tc>
      </w:tr>
      <w:tr w:rsidR="2B7FFB25" w:rsidTr="4F940BA9" w14:paraId="074B45E2" w14:textId="77777777">
        <w:trPr>
          <w:trHeight w:val="284"/>
        </w:trPr>
        <w:tc>
          <w:tcPr>
            <w:tcW w:w="536" w:type="dxa"/>
            <w:tcMar/>
          </w:tcPr>
          <w:p w:rsidR="175AA7D0" w:rsidP="2B7FFB25" w:rsidRDefault="175AA7D0" w14:paraId="5C6937E1" w14:textId="6732EE0E">
            <w:pPr>
              <w:jc w:val="center"/>
              <w:rPr>
                <w:rFonts w:hint="eastAsia" w:cs="Calibri"/>
                <w:sz w:val="20"/>
                <w:szCs w:val="20"/>
                <w:lang w:eastAsia="zh-CN"/>
              </w:rPr>
            </w:pPr>
            <w:r w:rsidRPr="2B7FFB25">
              <w:rPr>
                <w:rFonts w:cs="Calibri"/>
                <w:sz w:val="20"/>
                <w:szCs w:val="20"/>
                <w:lang w:eastAsia="zh-CN"/>
              </w:rPr>
              <w:t>28</w:t>
            </w:r>
          </w:p>
        </w:tc>
        <w:tc>
          <w:tcPr>
            <w:tcW w:w="1182" w:type="dxa"/>
            <w:tcMar/>
          </w:tcPr>
          <w:p w:rsidR="175AA7D0" w:rsidP="2B7FFB25" w:rsidRDefault="175AA7D0" w14:paraId="61000D36" w14:textId="690670E5">
            <w:pPr>
              <w:jc w:val="center"/>
              <w:rPr>
                <w:rFonts w:hint="eastAsia"/>
              </w:rPr>
            </w:pPr>
            <w:r w:rsidRPr="2B7FFB25">
              <w:rPr>
                <w:rFonts w:ascii="Aptos" w:hAnsi="Aptos" w:eastAsia="Aptos" w:cs="Aptos"/>
                <w:color w:val="000000" w:themeColor="text1"/>
                <w:sz w:val="19"/>
                <w:szCs w:val="19"/>
              </w:rPr>
              <w:t>Mohamed Ariff and Luc Can (2008)</w:t>
            </w:r>
          </w:p>
        </w:tc>
        <w:tc>
          <w:tcPr>
            <w:tcW w:w="3648" w:type="dxa"/>
            <w:tcMar/>
          </w:tcPr>
          <w:p w:rsidR="175AA7D0" w:rsidP="2B7FFB25" w:rsidRDefault="175AA7D0" w14:paraId="0FDBB08A" w14:textId="7B88EBC7">
            <w:pPr>
              <w:jc w:val="center"/>
              <w:rPr>
                <w:rFonts w:hint="eastAsia"/>
              </w:rPr>
            </w:pPr>
            <w:r w:rsidRPr="2B7FFB25">
              <w:rPr>
                <w:rFonts w:ascii="Aptos" w:hAnsi="Aptos" w:eastAsia="Aptos" w:cs="Aptos"/>
                <w:color w:val="000000" w:themeColor="text1"/>
                <w:sz w:val="19"/>
                <w:szCs w:val="19"/>
              </w:rPr>
              <w:t>Introduces a non-parametric approach to analyze both cost and profit efficiency in Chinese banks and examines the influence of key factors on these efficiencies.</w:t>
            </w:r>
          </w:p>
        </w:tc>
        <w:tc>
          <w:tcPr>
            <w:tcW w:w="3648" w:type="dxa"/>
            <w:tcMar/>
          </w:tcPr>
          <w:p w:rsidR="4F940BA9" w:rsidP="4F940BA9" w:rsidRDefault="4F940BA9" w14:paraId="2BB710C2" w14:textId="55CDF676">
            <w:pPr>
              <w:pStyle w:val="Normal"/>
              <w:jc w:val="center"/>
              <w:rPr>
                <w:rFonts w:ascii="Aptos" w:hAnsi="Aptos" w:eastAsia="Aptos" w:cs="Aptos"/>
                <w:color w:val="000000" w:themeColor="text1" w:themeTint="FF" w:themeShade="FF"/>
                <w:sz w:val="19"/>
                <w:szCs w:val="19"/>
              </w:rPr>
            </w:pPr>
          </w:p>
        </w:tc>
      </w:tr>
      <w:tr w:rsidRPr="00CE5391" w:rsidR="005E0A88" w:rsidTr="4F940BA9" w14:paraId="31C72242" w14:textId="77777777">
        <w:trPr>
          <w:trHeight w:val="284"/>
        </w:trPr>
        <w:tc>
          <w:tcPr>
            <w:tcW w:w="536" w:type="dxa"/>
            <w:tcMar/>
          </w:tcPr>
          <w:p w:rsidRPr="00ED5776" w:rsidR="005E0A88" w:rsidP="005E0A88" w:rsidRDefault="005E0A88" w14:paraId="4655AA86" w14:textId="65BD82ED">
            <w:pPr>
              <w:jc w:val="center"/>
              <w:rPr>
                <w:rFonts w:hint="eastAsia" w:cs="Calibri"/>
                <w:sz w:val="20"/>
                <w:szCs w:val="20"/>
                <w:lang w:eastAsia="zh-CN"/>
              </w:rPr>
            </w:pPr>
            <w:r>
              <w:rPr>
                <w:rFonts w:cs="Calibri"/>
                <w:sz w:val="20"/>
                <w:szCs w:val="20"/>
                <w:lang w:eastAsia="zh-CN"/>
              </w:rPr>
              <w:t>30</w:t>
            </w:r>
          </w:p>
        </w:tc>
        <w:tc>
          <w:tcPr>
            <w:tcW w:w="1182" w:type="dxa"/>
            <w:tcMar/>
          </w:tcPr>
          <w:p w:rsidRPr="00E9480F" w:rsidR="005E0A88" w:rsidP="005E0A88" w:rsidRDefault="005E0A88" w14:paraId="331A896C" w14:textId="0D3506E1">
            <w:pPr>
              <w:jc w:val="center"/>
              <w:rPr>
                <w:rFonts w:hint="eastAsia" w:cs="Calibri"/>
                <w:sz w:val="20"/>
                <w:szCs w:val="20"/>
                <w:lang w:eastAsia="zh-CN"/>
              </w:rPr>
            </w:pPr>
            <w:r w:rsidRPr="00ED5776">
              <w:rPr>
                <w:rFonts w:cs="Calibri"/>
                <w:sz w:val="20"/>
                <w:szCs w:val="20"/>
                <w:lang w:eastAsia="zh-CN"/>
              </w:rPr>
              <w:t xml:space="preserve">Fukuyama and Tan </w:t>
            </w:r>
            <w:r>
              <w:rPr>
                <w:rFonts w:cs="Calibri"/>
                <w:sz w:val="20"/>
                <w:szCs w:val="20"/>
                <w:lang w:eastAsia="zh-CN"/>
              </w:rPr>
              <w:t>(</w:t>
            </w:r>
            <w:r w:rsidRPr="00ED5776">
              <w:rPr>
                <w:rFonts w:cs="Calibri"/>
                <w:sz w:val="20"/>
                <w:szCs w:val="20"/>
                <w:lang w:eastAsia="zh-CN"/>
              </w:rPr>
              <w:t>2022)</w:t>
            </w:r>
          </w:p>
        </w:tc>
        <w:tc>
          <w:tcPr>
            <w:tcW w:w="3648" w:type="dxa"/>
            <w:tcMar/>
          </w:tcPr>
          <w:p w:rsidR="005E0A88" w:rsidP="005E0A88" w:rsidRDefault="005E0A88" w14:paraId="1C16CD1A" w14:textId="77777777">
            <w:pPr>
              <w:jc w:val="center"/>
              <w:rPr>
                <w:rFonts w:hint="eastAsia" w:cs="Calibri"/>
                <w:sz w:val="20"/>
                <w:szCs w:val="20"/>
              </w:rPr>
            </w:pPr>
            <w:r>
              <w:rPr>
                <w:rFonts w:cs="Calibri"/>
                <w:sz w:val="20"/>
                <w:szCs w:val="20"/>
              </w:rPr>
              <w:t>D</w:t>
            </w:r>
            <w:r w:rsidRPr="002F1C20">
              <w:rPr>
                <w:rFonts w:cs="Calibri"/>
                <w:sz w:val="20"/>
                <w:szCs w:val="20"/>
              </w:rPr>
              <w:t>evelopment of a three-stage network DEA model to separately evaluate input, output, and stability efficiencies of banks, incorporating market power and loan loss provisions into the analysis</w:t>
            </w:r>
          </w:p>
        </w:tc>
        <w:tc>
          <w:tcPr>
            <w:tcW w:w="3648" w:type="dxa"/>
            <w:tcMar/>
          </w:tcPr>
          <w:p w:rsidR="4F940BA9" w:rsidP="4F940BA9" w:rsidRDefault="4F940BA9" w14:paraId="5432E454" w14:textId="497F8F6D">
            <w:pPr>
              <w:pStyle w:val="Normal"/>
              <w:jc w:val="center"/>
              <w:rPr>
                <w:rFonts w:cs="Calibri"/>
                <w:sz w:val="20"/>
                <w:szCs w:val="20"/>
              </w:rPr>
            </w:pPr>
          </w:p>
        </w:tc>
      </w:tr>
      <w:tr w:rsidR="2B7FFB25" w:rsidTr="4F940BA9" w14:paraId="354210CD" w14:textId="77777777">
        <w:trPr>
          <w:trHeight w:val="284"/>
        </w:trPr>
        <w:tc>
          <w:tcPr>
            <w:tcW w:w="536" w:type="dxa"/>
            <w:tcMar/>
          </w:tcPr>
          <w:p w:rsidR="48F66785" w:rsidP="2B7FFB25" w:rsidRDefault="48F66785" w14:paraId="6A567DB8" w14:textId="68E6A204">
            <w:pPr>
              <w:jc w:val="center"/>
              <w:rPr>
                <w:rFonts w:hint="eastAsia" w:cs="Calibri"/>
                <w:sz w:val="20"/>
                <w:szCs w:val="20"/>
                <w:lang w:eastAsia="zh-CN"/>
              </w:rPr>
            </w:pPr>
            <w:r w:rsidRPr="2B7FFB25">
              <w:rPr>
                <w:rFonts w:cs="Calibri"/>
                <w:sz w:val="20"/>
                <w:szCs w:val="20"/>
                <w:lang w:eastAsia="zh-CN"/>
              </w:rPr>
              <w:t>33</w:t>
            </w:r>
          </w:p>
        </w:tc>
        <w:tc>
          <w:tcPr>
            <w:tcW w:w="1182" w:type="dxa"/>
            <w:tcMar/>
          </w:tcPr>
          <w:p w:rsidR="48F66785" w:rsidP="2B7FFB25" w:rsidRDefault="48F66785" w14:paraId="7FBA884F" w14:textId="32CE33C7">
            <w:pPr>
              <w:jc w:val="center"/>
              <w:rPr>
                <w:rFonts w:hint="eastAsia"/>
              </w:rPr>
            </w:pPr>
            <w:r w:rsidRPr="2B7FFB25">
              <w:rPr>
                <w:rFonts w:ascii="Aptos" w:hAnsi="Aptos" w:eastAsia="Aptos" w:cs="Aptos"/>
                <w:color w:val="000000" w:themeColor="text1"/>
                <w:sz w:val="19"/>
                <w:szCs w:val="19"/>
              </w:rPr>
              <w:t>Xiaohong Liu, Jiasen Sun, Feng Yang, Jie Wu (2020)</w:t>
            </w:r>
          </w:p>
        </w:tc>
        <w:tc>
          <w:tcPr>
            <w:tcW w:w="3648" w:type="dxa"/>
            <w:tcMar/>
          </w:tcPr>
          <w:p w:rsidR="48F66785" w:rsidP="2B7FFB25" w:rsidRDefault="48F66785" w14:paraId="5303A7F7" w14:textId="04C20982">
            <w:pPr>
              <w:jc w:val="center"/>
              <w:rPr>
                <w:rFonts w:hint="eastAsia"/>
              </w:rPr>
            </w:pPr>
            <w:r w:rsidRPr="2B7FFB25">
              <w:rPr>
                <w:rFonts w:ascii="Aptos" w:hAnsi="Aptos" w:eastAsia="Aptos" w:cs="Aptos"/>
                <w:color w:val="000000" w:themeColor="text1"/>
                <w:sz w:val="19"/>
                <w:szCs w:val="19"/>
              </w:rPr>
              <w:t>Provides an in-depth analysis of how ownership structure impacts the efficiency of bank deposits and loans using a two-stage meta-frontier DEA network model.</w:t>
            </w:r>
          </w:p>
        </w:tc>
        <w:tc>
          <w:tcPr>
            <w:tcW w:w="3648" w:type="dxa"/>
            <w:tcMar/>
          </w:tcPr>
          <w:p w:rsidR="4F940BA9" w:rsidP="4F940BA9" w:rsidRDefault="4F940BA9" w14:paraId="2F87030E" w14:textId="5444C534">
            <w:pPr>
              <w:pStyle w:val="Normal"/>
              <w:jc w:val="center"/>
              <w:rPr>
                <w:rFonts w:ascii="Aptos" w:hAnsi="Aptos" w:eastAsia="Aptos" w:cs="Aptos"/>
                <w:color w:val="000000" w:themeColor="text1" w:themeTint="FF" w:themeShade="FF"/>
                <w:sz w:val="19"/>
                <w:szCs w:val="19"/>
              </w:rPr>
            </w:pPr>
          </w:p>
        </w:tc>
      </w:tr>
      <w:tr w:rsidRPr="00CE5391" w:rsidR="005E0A88" w:rsidTr="4F940BA9" w14:paraId="79914169" w14:textId="77777777">
        <w:trPr>
          <w:trHeight w:val="284"/>
        </w:trPr>
        <w:tc>
          <w:tcPr>
            <w:tcW w:w="536" w:type="dxa"/>
            <w:tcMar/>
          </w:tcPr>
          <w:p w:rsidRPr="00C61C2E" w:rsidR="005E0A88" w:rsidP="005E0A88" w:rsidRDefault="005E0A88" w14:paraId="625DDBD6" w14:textId="3254BB01">
            <w:pPr>
              <w:jc w:val="center"/>
              <w:rPr>
                <w:rFonts w:hint="eastAsia" w:cs="Calibri"/>
                <w:sz w:val="20"/>
                <w:szCs w:val="20"/>
                <w:lang w:eastAsia="zh-CN"/>
              </w:rPr>
            </w:pPr>
            <w:r>
              <w:rPr>
                <w:rFonts w:cs="Calibri"/>
                <w:sz w:val="20"/>
                <w:szCs w:val="20"/>
                <w:lang w:eastAsia="zh-CN"/>
              </w:rPr>
              <w:t>35</w:t>
            </w:r>
          </w:p>
        </w:tc>
        <w:tc>
          <w:tcPr>
            <w:tcW w:w="1182" w:type="dxa"/>
            <w:tcMar/>
          </w:tcPr>
          <w:p w:rsidRPr="00ED5776" w:rsidR="005E0A88" w:rsidP="005E0A88" w:rsidRDefault="005E0A88" w14:paraId="3F7A0037" w14:textId="6BBD9083">
            <w:pPr>
              <w:jc w:val="center"/>
              <w:rPr>
                <w:rFonts w:hint="eastAsia" w:cs="Calibri"/>
                <w:sz w:val="20"/>
                <w:szCs w:val="20"/>
                <w:lang w:eastAsia="zh-CN"/>
              </w:rPr>
            </w:pPr>
            <w:r w:rsidRPr="00C61C2E">
              <w:rPr>
                <w:rFonts w:cs="Calibri"/>
                <w:sz w:val="20"/>
                <w:szCs w:val="20"/>
                <w:lang w:eastAsia="zh-CN"/>
              </w:rPr>
              <w:t>Yu et al.</w:t>
            </w:r>
            <w:r>
              <w:rPr>
                <w:rFonts w:cs="Calibri"/>
                <w:sz w:val="20"/>
                <w:szCs w:val="20"/>
                <w:lang w:eastAsia="zh-CN"/>
              </w:rPr>
              <w:t xml:space="preserve"> (</w:t>
            </w:r>
            <w:r w:rsidRPr="00C61C2E">
              <w:rPr>
                <w:rFonts w:cs="Calibri"/>
                <w:sz w:val="20"/>
                <w:szCs w:val="20"/>
                <w:lang w:eastAsia="zh-CN"/>
              </w:rPr>
              <w:t>2019)</w:t>
            </w:r>
          </w:p>
        </w:tc>
        <w:tc>
          <w:tcPr>
            <w:tcW w:w="3648" w:type="dxa"/>
            <w:tcMar/>
          </w:tcPr>
          <w:p w:rsidR="005E0A88" w:rsidP="005E0A88" w:rsidRDefault="005E0A88" w14:paraId="46670756" w14:textId="77777777">
            <w:pPr>
              <w:jc w:val="center"/>
              <w:rPr>
                <w:rFonts w:hint="eastAsia" w:cs="Calibri"/>
                <w:sz w:val="20"/>
                <w:szCs w:val="20"/>
              </w:rPr>
            </w:pPr>
            <w:r w:rsidRPr="00937224">
              <w:rPr>
                <w:rFonts w:cs="Calibri"/>
                <w:sz w:val="20"/>
                <w:szCs w:val="20"/>
              </w:rPr>
              <w:t>DEA framework for analysing potential income gains in banks, emphasizing technical improvements in credit and loan provision reduction</w:t>
            </w:r>
          </w:p>
        </w:tc>
        <w:tc>
          <w:tcPr>
            <w:tcW w:w="3648" w:type="dxa"/>
            <w:tcMar/>
          </w:tcPr>
          <w:p w:rsidR="4F940BA9" w:rsidP="4F940BA9" w:rsidRDefault="4F940BA9" w14:paraId="5073F608" w14:textId="7670E343">
            <w:pPr>
              <w:pStyle w:val="Normal"/>
              <w:jc w:val="center"/>
              <w:rPr>
                <w:rFonts w:cs="Calibri"/>
                <w:sz w:val="20"/>
                <w:szCs w:val="20"/>
              </w:rPr>
            </w:pPr>
          </w:p>
        </w:tc>
      </w:tr>
      <w:tr w:rsidR="2B7FFB25" w:rsidTr="4F940BA9" w14:paraId="7CB2382B" w14:textId="77777777">
        <w:trPr>
          <w:trHeight w:val="284"/>
        </w:trPr>
        <w:tc>
          <w:tcPr>
            <w:tcW w:w="536" w:type="dxa"/>
            <w:tcMar/>
          </w:tcPr>
          <w:p w:rsidR="12D96DF5" w:rsidP="2B7FFB25" w:rsidRDefault="12D96DF5" w14:paraId="0E3DF37A" w14:textId="7ED1E053">
            <w:pPr>
              <w:jc w:val="center"/>
              <w:rPr>
                <w:rFonts w:hint="eastAsia"/>
              </w:rPr>
            </w:pPr>
            <w:r w:rsidRPr="2B7FFB25">
              <w:rPr>
                <w:rFonts w:ascii="Aptos" w:hAnsi="Aptos" w:eastAsia="Aptos" w:cs="Aptos"/>
                <w:color w:val="000000" w:themeColor="text1"/>
                <w:sz w:val="19"/>
                <w:szCs w:val="19"/>
              </w:rPr>
              <w:t>38</w:t>
            </w:r>
          </w:p>
        </w:tc>
        <w:tc>
          <w:tcPr>
            <w:tcW w:w="1182" w:type="dxa"/>
            <w:tcMar/>
          </w:tcPr>
          <w:p w:rsidR="12D96DF5" w:rsidP="2B7FFB25" w:rsidRDefault="12D96DF5" w14:paraId="693D098E" w14:textId="75BE5F48">
            <w:pPr>
              <w:jc w:val="center"/>
              <w:rPr>
                <w:rFonts w:hint="eastAsia"/>
              </w:rPr>
            </w:pPr>
            <w:r w:rsidRPr="2B7FFB25">
              <w:rPr>
                <w:rFonts w:ascii="Aptos" w:hAnsi="Aptos" w:eastAsia="Aptos" w:cs="Aptos"/>
                <w:color w:val="000000" w:themeColor="text1"/>
                <w:sz w:val="19"/>
                <w:szCs w:val="19"/>
              </w:rPr>
              <w:t>Tsui-Yueh Cho, Yi-Shuan Chen (2021)</w:t>
            </w:r>
          </w:p>
        </w:tc>
        <w:tc>
          <w:tcPr>
            <w:tcW w:w="3648" w:type="dxa"/>
            <w:tcMar/>
          </w:tcPr>
          <w:p w:rsidR="12D96DF5" w:rsidP="2B7FFB25" w:rsidRDefault="12D96DF5" w14:paraId="1371ED3B" w14:textId="19F806F7">
            <w:pPr>
              <w:jc w:val="center"/>
              <w:rPr>
                <w:rFonts w:hint="eastAsia"/>
              </w:rPr>
            </w:pPr>
            <w:r w:rsidRPr="2B7FFB25">
              <w:rPr>
                <w:rFonts w:ascii="Aptos" w:hAnsi="Aptos" w:eastAsia="Aptos" w:cs="Aptos"/>
                <w:color w:val="000000" w:themeColor="text1"/>
                <w:sz w:val="19"/>
                <w:szCs w:val="19"/>
              </w:rPr>
              <w:t>The paper's main contribution is the application of the metafrontier cost Malmquist productivity index to analyze the impact of Fintech on the banking industry's productivity and efficiency.</w:t>
            </w:r>
          </w:p>
        </w:tc>
        <w:tc>
          <w:tcPr>
            <w:tcW w:w="3648" w:type="dxa"/>
            <w:tcMar/>
          </w:tcPr>
          <w:p w:rsidR="4F940BA9" w:rsidP="4F940BA9" w:rsidRDefault="4F940BA9" w14:paraId="2635FEB9" w14:textId="60740694">
            <w:pPr>
              <w:pStyle w:val="Normal"/>
              <w:jc w:val="center"/>
              <w:rPr>
                <w:rFonts w:ascii="Aptos" w:hAnsi="Aptos" w:eastAsia="Aptos" w:cs="Aptos"/>
                <w:color w:val="000000" w:themeColor="text1" w:themeTint="FF" w:themeShade="FF"/>
                <w:sz w:val="19"/>
                <w:szCs w:val="19"/>
              </w:rPr>
            </w:pPr>
          </w:p>
        </w:tc>
      </w:tr>
      <w:tr w:rsidRPr="00CE5391" w:rsidR="005E0A88" w:rsidTr="4F940BA9" w14:paraId="761E09D5" w14:textId="77777777">
        <w:trPr>
          <w:trHeight w:val="284"/>
        </w:trPr>
        <w:tc>
          <w:tcPr>
            <w:tcW w:w="536" w:type="dxa"/>
            <w:tcMar/>
          </w:tcPr>
          <w:p w:rsidRPr="009F48DA" w:rsidR="005E0A88" w:rsidP="005E0A88" w:rsidRDefault="005E0A88" w14:paraId="52B183B8" w14:textId="7796E755">
            <w:pPr>
              <w:jc w:val="center"/>
              <w:rPr>
                <w:rFonts w:hint="eastAsia" w:cs="Calibri"/>
                <w:sz w:val="20"/>
                <w:szCs w:val="20"/>
                <w:lang w:eastAsia="zh-CN"/>
              </w:rPr>
            </w:pPr>
            <w:r>
              <w:rPr>
                <w:rFonts w:cs="Calibri"/>
                <w:sz w:val="20"/>
                <w:szCs w:val="20"/>
                <w:lang w:eastAsia="zh-CN"/>
              </w:rPr>
              <w:t>40</w:t>
            </w:r>
          </w:p>
        </w:tc>
        <w:tc>
          <w:tcPr>
            <w:tcW w:w="1182" w:type="dxa"/>
            <w:tcMar/>
          </w:tcPr>
          <w:p w:rsidRPr="00C61C2E" w:rsidR="005E0A88" w:rsidP="005E0A88" w:rsidRDefault="005E0A88" w14:paraId="54874ACF" w14:textId="0B6F94F0">
            <w:pPr>
              <w:jc w:val="center"/>
              <w:rPr>
                <w:rFonts w:hint="eastAsia" w:cs="Calibri"/>
                <w:sz w:val="20"/>
                <w:szCs w:val="20"/>
                <w:lang w:eastAsia="zh-CN"/>
              </w:rPr>
            </w:pPr>
            <w:r w:rsidRPr="009F48DA">
              <w:rPr>
                <w:rFonts w:cs="Calibri"/>
                <w:sz w:val="20"/>
                <w:szCs w:val="20"/>
                <w:lang w:eastAsia="zh-CN"/>
              </w:rPr>
              <w:t>Zhu, Li and Liang (2018)</w:t>
            </w:r>
          </w:p>
        </w:tc>
        <w:tc>
          <w:tcPr>
            <w:tcW w:w="3648" w:type="dxa"/>
            <w:tcMar/>
          </w:tcPr>
          <w:p w:rsidRPr="00937224" w:rsidR="005E0A88" w:rsidP="005E0A88" w:rsidRDefault="005E0A88" w14:paraId="654DD62B" w14:textId="77777777">
            <w:pPr>
              <w:jc w:val="center"/>
              <w:rPr>
                <w:rFonts w:hint="eastAsia" w:cs="Calibri"/>
                <w:sz w:val="20"/>
                <w:szCs w:val="20"/>
              </w:rPr>
            </w:pPr>
            <w:r>
              <w:rPr>
                <w:rFonts w:cs="Calibri"/>
                <w:sz w:val="20"/>
                <w:szCs w:val="20"/>
              </w:rPr>
              <w:t>A</w:t>
            </w:r>
            <w:r w:rsidRPr="007E77EA">
              <w:rPr>
                <w:rFonts w:cs="Calibri"/>
                <w:sz w:val="20"/>
                <w:szCs w:val="20"/>
              </w:rPr>
              <w:t xml:space="preserve"> modified two-stage SBM model that incorporates a leader-follower structure, providing a more realistic efficiency assessment for banks</w:t>
            </w:r>
          </w:p>
        </w:tc>
        <w:tc>
          <w:tcPr>
            <w:tcW w:w="3648" w:type="dxa"/>
            <w:tcMar/>
          </w:tcPr>
          <w:p w:rsidR="4F940BA9" w:rsidP="4F940BA9" w:rsidRDefault="4F940BA9" w14:paraId="14A1A663" w14:textId="5C60B01A">
            <w:pPr>
              <w:pStyle w:val="Normal"/>
              <w:jc w:val="center"/>
              <w:rPr>
                <w:rFonts w:cs="Calibri"/>
                <w:sz w:val="20"/>
                <w:szCs w:val="20"/>
              </w:rPr>
            </w:pPr>
          </w:p>
        </w:tc>
      </w:tr>
      <w:tr w:rsidR="2B7FFB25" w:rsidTr="4F940BA9" w14:paraId="4FF181A9" w14:textId="77777777">
        <w:trPr>
          <w:trHeight w:val="284"/>
        </w:trPr>
        <w:tc>
          <w:tcPr>
            <w:tcW w:w="536" w:type="dxa"/>
            <w:tcMar/>
          </w:tcPr>
          <w:p w:rsidR="1DC13E34" w:rsidP="2B7FFB25" w:rsidRDefault="1DC13E34" w14:paraId="3835CABE" w14:textId="76FF381F">
            <w:pPr>
              <w:jc w:val="center"/>
              <w:rPr>
                <w:rFonts w:hint="eastAsia" w:cs="Calibri"/>
                <w:sz w:val="20"/>
                <w:szCs w:val="20"/>
                <w:lang w:eastAsia="zh-CN"/>
              </w:rPr>
            </w:pPr>
            <w:r w:rsidRPr="2B7FFB25">
              <w:rPr>
                <w:rFonts w:cs="Calibri"/>
                <w:sz w:val="20"/>
                <w:szCs w:val="20"/>
                <w:lang w:eastAsia="zh-CN"/>
              </w:rPr>
              <w:t>43</w:t>
            </w:r>
          </w:p>
        </w:tc>
        <w:tc>
          <w:tcPr>
            <w:tcW w:w="1182" w:type="dxa"/>
            <w:tcMar/>
          </w:tcPr>
          <w:p w:rsidR="1DC13E34" w:rsidP="2B7FFB25" w:rsidRDefault="1DC13E34" w14:paraId="1309E98A" w14:textId="1405864E">
            <w:pPr>
              <w:jc w:val="center"/>
              <w:rPr>
                <w:rFonts w:hint="eastAsia"/>
              </w:rPr>
            </w:pPr>
            <w:r w:rsidRPr="2B7FFB25">
              <w:rPr>
                <w:rFonts w:ascii="Aptos" w:hAnsi="Aptos" w:eastAsia="Aptos" w:cs="Aptos"/>
                <w:color w:val="000000" w:themeColor="text1"/>
                <w:sz w:val="19"/>
                <w:szCs w:val="19"/>
              </w:rPr>
              <w:t>Rasoul Rezvanian, Rima Truk Ariss, Sayed M. Mehdian, (2010)</w:t>
            </w:r>
          </w:p>
        </w:tc>
        <w:tc>
          <w:tcPr>
            <w:tcW w:w="3648" w:type="dxa"/>
            <w:tcMar/>
          </w:tcPr>
          <w:p w:rsidR="1DC13E34" w:rsidP="2B7FFB25" w:rsidRDefault="1DC13E34" w14:paraId="037AC725" w14:textId="42ACD269">
            <w:pPr>
              <w:jc w:val="center"/>
              <w:rPr>
                <w:rFonts w:hint="eastAsia"/>
              </w:rPr>
            </w:pPr>
            <w:r w:rsidRPr="2B7FFB25">
              <w:rPr>
                <w:rFonts w:ascii="Aptos" w:hAnsi="Aptos" w:eastAsia="Aptos" w:cs="Aptos"/>
                <w:color w:val="000000" w:themeColor="text1"/>
                <w:sz w:val="19"/>
                <w:szCs w:val="19"/>
              </w:rPr>
              <w:t>The paper offers new insights into the efficiency and productivity of Chinese banks, with a particular focus on the effects of WTO accession and banking reforms. Utilizes a comprehensive methodology to assess changes over time.</w:t>
            </w:r>
          </w:p>
        </w:tc>
        <w:tc>
          <w:tcPr>
            <w:tcW w:w="3648" w:type="dxa"/>
            <w:tcMar/>
          </w:tcPr>
          <w:p w:rsidR="4F940BA9" w:rsidP="4F940BA9" w:rsidRDefault="4F940BA9" w14:paraId="44133EB8" w14:textId="3C19FC77">
            <w:pPr>
              <w:pStyle w:val="Normal"/>
              <w:jc w:val="center"/>
              <w:rPr>
                <w:rFonts w:ascii="Aptos" w:hAnsi="Aptos" w:eastAsia="Aptos" w:cs="Aptos"/>
                <w:color w:val="000000" w:themeColor="text1" w:themeTint="FF" w:themeShade="FF"/>
                <w:sz w:val="19"/>
                <w:szCs w:val="19"/>
              </w:rPr>
            </w:pPr>
          </w:p>
        </w:tc>
      </w:tr>
      <w:tr w:rsidRPr="00CE5391" w:rsidR="005E0A88" w:rsidTr="4F940BA9" w14:paraId="00EA0BDE" w14:textId="77777777">
        <w:trPr>
          <w:trHeight w:val="284"/>
        </w:trPr>
        <w:tc>
          <w:tcPr>
            <w:tcW w:w="536" w:type="dxa"/>
            <w:tcMar/>
          </w:tcPr>
          <w:p w:rsidRPr="00386881" w:rsidR="005E0A88" w:rsidP="005E0A88" w:rsidRDefault="005E0A88" w14:paraId="678833EA" w14:textId="73359D24">
            <w:pPr>
              <w:jc w:val="center"/>
              <w:rPr>
                <w:rFonts w:hint="eastAsia" w:cs="Calibri"/>
                <w:sz w:val="20"/>
                <w:szCs w:val="20"/>
                <w:lang w:eastAsia="zh-CN"/>
              </w:rPr>
            </w:pPr>
            <w:r>
              <w:rPr>
                <w:rFonts w:cs="Calibri"/>
                <w:sz w:val="20"/>
                <w:szCs w:val="20"/>
                <w:lang w:eastAsia="zh-CN"/>
              </w:rPr>
              <w:t>45</w:t>
            </w:r>
          </w:p>
        </w:tc>
        <w:tc>
          <w:tcPr>
            <w:tcW w:w="1182" w:type="dxa"/>
            <w:tcMar/>
          </w:tcPr>
          <w:p w:rsidRPr="009F48DA" w:rsidR="005E0A88" w:rsidP="005E0A88" w:rsidRDefault="005E0A88" w14:paraId="796C24E4" w14:textId="5EFB3E0C">
            <w:pPr>
              <w:jc w:val="center"/>
              <w:rPr>
                <w:rFonts w:hint="eastAsia" w:cs="Calibri"/>
                <w:sz w:val="20"/>
                <w:szCs w:val="20"/>
                <w:lang w:eastAsia="zh-CN"/>
              </w:rPr>
            </w:pPr>
            <w:r w:rsidRPr="00386881">
              <w:rPr>
                <w:rFonts w:cs="Calibri"/>
                <w:sz w:val="20"/>
                <w:szCs w:val="20"/>
                <w:lang w:eastAsia="zh-CN"/>
              </w:rPr>
              <w:t xml:space="preserve">Wu et al. </w:t>
            </w:r>
            <w:r>
              <w:rPr>
                <w:rFonts w:cs="Calibri"/>
                <w:sz w:val="20"/>
                <w:szCs w:val="20"/>
                <w:lang w:eastAsia="zh-CN"/>
              </w:rPr>
              <w:t>(</w:t>
            </w:r>
            <w:r w:rsidRPr="00386881">
              <w:rPr>
                <w:rFonts w:cs="Calibri"/>
                <w:sz w:val="20"/>
                <w:szCs w:val="20"/>
                <w:lang w:eastAsia="zh-CN"/>
              </w:rPr>
              <w:t>2023)</w:t>
            </w:r>
          </w:p>
        </w:tc>
        <w:tc>
          <w:tcPr>
            <w:tcW w:w="3648" w:type="dxa"/>
            <w:tcMar/>
          </w:tcPr>
          <w:p w:rsidR="005E0A88" w:rsidP="005E0A88" w:rsidRDefault="005E0A88" w14:paraId="44D02A0D" w14:textId="77777777">
            <w:pPr>
              <w:jc w:val="center"/>
              <w:rPr>
                <w:rFonts w:hint="eastAsia" w:cs="Calibri"/>
                <w:sz w:val="20"/>
                <w:szCs w:val="20"/>
              </w:rPr>
            </w:pPr>
            <w:r w:rsidRPr="008462A3">
              <w:rPr>
                <w:rFonts w:cs="Calibri"/>
                <w:sz w:val="20"/>
                <w:szCs w:val="20"/>
              </w:rPr>
              <w:t>Introduces a two-stage network DEA approach to evaluate bank efficiency in the context of interest rate liberalization, offering novel insights into the varying effects of liberalization on different stages of banking operations</w:t>
            </w:r>
          </w:p>
        </w:tc>
        <w:tc>
          <w:tcPr>
            <w:tcW w:w="3648" w:type="dxa"/>
            <w:tcMar/>
          </w:tcPr>
          <w:p w:rsidR="4F940BA9" w:rsidP="4F940BA9" w:rsidRDefault="4F940BA9" w14:paraId="30AF725B" w14:textId="7CBC2BDB">
            <w:pPr>
              <w:pStyle w:val="Normal"/>
              <w:jc w:val="center"/>
              <w:rPr>
                <w:rFonts w:cs="Calibri"/>
                <w:sz w:val="20"/>
                <w:szCs w:val="20"/>
              </w:rPr>
            </w:pPr>
          </w:p>
        </w:tc>
      </w:tr>
      <w:tr w:rsidR="2B7FFB25" w:rsidTr="4F940BA9" w14:paraId="42131DDC" w14:textId="77777777">
        <w:trPr>
          <w:trHeight w:val="284"/>
        </w:trPr>
        <w:tc>
          <w:tcPr>
            <w:tcW w:w="536" w:type="dxa"/>
            <w:tcMar/>
          </w:tcPr>
          <w:p w:rsidR="2B7FFB25" w:rsidP="2B7FFB25" w:rsidRDefault="2B7FFB25" w14:paraId="1FE83D15" w14:textId="5B2D6B87">
            <w:pPr>
              <w:jc w:val="center"/>
              <w:rPr>
                <w:rFonts w:hint="eastAsia" w:cs="Calibri"/>
                <w:sz w:val="20"/>
                <w:szCs w:val="20"/>
                <w:lang w:eastAsia="zh-CN"/>
              </w:rPr>
            </w:pPr>
            <w:r w:rsidRPr="2B7FFB25">
              <w:rPr>
                <w:rFonts w:cs="Calibri"/>
                <w:sz w:val="20"/>
                <w:szCs w:val="20"/>
                <w:lang w:eastAsia="zh-CN"/>
              </w:rPr>
              <w:t>1</w:t>
            </w:r>
          </w:p>
        </w:tc>
        <w:tc>
          <w:tcPr>
            <w:tcW w:w="1182" w:type="dxa"/>
            <w:tcMar/>
          </w:tcPr>
          <w:p w:rsidR="2B7FFB25" w:rsidP="2B7FFB25" w:rsidRDefault="2B7FFB25" w14:paraId="118BDD23" w14:textId="3217EA30">
            <w:pPr>
              <w:spacing w:line="259" w:lineRule="auto"/>
              <w:jc w:val="center"/>
              <w:rPr>
                <w:rFonts w:hint="eastAsia" w:cs="Calibri"/>
                <w:sz w:val="20"/>
                <w:szCs w:val="20"/>
                <w:lang w:eastAsia="zh-CN"/>
              </w:rPr>
            </w:pPr>
            <w:r w:rsidRPr="2B7FFB25">
              <w:rPr>
                <w:rFonts w:cs="Calibri"/>
                <w:sz w:val="20"/>
                <w:szCs w:val="20"/>
                <w:lang w:eastAsia="zh-CN"/>
              </w:rPr>
              <w:t>Necmi K. Avkiran (2011)</w:t>
            </w:r>
          </w:p>
        </w:tc>
        <w:tc>
          <w:tcPr>
            <w:tcW w:w="3648" w:type="dxa"/>
            <w:tcMar/>
          </w:tcPr>
          <w:p w:rsidR="2B7FFB25" w:rsidP="2B7FFB25" w:rsidRDefault="2B7FFB25" w14:paraId="3AEE8989" w14:textId="170BC30B">
            <w:pPr>
              <w:spacing w:line="259" w:lineRule="auto"/>
              <w:jc w:val="center"/>
              <w:rPr>
                <w:rFonts w:hint="eastAsia" w:cs="Calibri"/>
                <w:sz w:val="20"/>
                <w:szCs w:val="20"/>
                <w:lang w:eastAsia="zh-CN"/>
              </w:rPr>
            </w:pPr>
            <w:r w:rsidRPr="2B7FFB25">
              <w:rPr>
                <w:rFonts w:cs="Calibri"/>
                <w:sz w:val="20"/>
                <w:szCs w:val="20"/>
                <w:lang w:eastAsia="zh-CN"/>
              </w:rPr>
              <w:t>post-tax profits to average total assets, and return on average equity show a strong relationship with efficiency estimates. This finding raises the potential to use efficiency estimates to predict certain key financial ratios’ future value</w:t>
            </w:r>
          </w:p>
          <w:p w:rsidR="2B7FFB25" w:rsidP="2B7FFB25" w:rsidRDefault="2B7FFB25" w14:paraId="647F9D96" w14:textId="0E7B7818">
            <w:pPr>
              <w:spacing w:line="259" w:lineRule="auto"/>
              <w:jc w:val="center"/>
              <w:rPr>
                <w:rFonts w:hint="eastAsia" w:cs="Calibri"/>
                <w:sz w:val="20"/>
                <w:szCs w:val="20"/>
                <w:lang w:eastAsia="zh-CN"/>
              </w:rPr>
            </w:pPr>
            <w:r w:rsidRPr="2B7FFB25">
              <w:rPr>
                <w:rFonts w:cs="Calibri"/>
                <w:sz w:val="20"/>
                <w:szCs w:val="20"/>
                <w:lang w:eastAsia="zh-CN"/>
              </w:rPr>
              <w:t>DEA can Help to guide the governments on deregulation and market structure</w:t>
            </w:r>
          </w:p>
          <w:p w:rsidR="2B7FFB25" w:rsidP="2B7FFB25" w:rsidRDefault="2B7FFB25" w14:paraId="3B20259E" w14:textId="085FDEC0">
            <w:pPr>
              <w:spacing w:line="259" w:lineRule="auto"/>
              <w:jc w:val="center"/>
              <w:rPr>
                <w:rFonts w:hint="eastAsia" w:cs="Calibri"/>
                <w:sz w:val="20"/>
                <w:szCs w:val="20"/>
                <w:lang w:eastAsia="zh-CN"/>
              </w:rPr>
            </w:pPr>
            <w:r w:rsidRPr="2B7FFB25">
              <w:rPr>
                <w:rFonts w:cs="Calibri"/>
                <w:sz w:val="20"/>
                <w:szCs w:val="20"/>
                <w:lang w:eastAsia="zh-CN"/>
              </w:rPr>
              <w:t>DEA can help market analysts in pricing decisions</w:t>
            </w:r>
          </w:p>
          <w:p w:rsidR="2B7FFB25" w:rsidP="2B7FFB25" w:rsidRDefault="2B7FFB25" w14:paraId="6B85C976" w14:textId="2DD2FA8F">
            <w:pPr>
              <w:spacing w:line="259" w:lineRule="auto"/>
              <w:jc w:val="center"/>
              <w:rPr>
                <w:rFonts w:hint="eastAsia" w:cs="Calibri"/>
                <w:sz w:val="20"/>
                <w:szCs w:val="20"/>
                <w:lang w:eastAsia="zh-CN"/>
              </w:rPr>
            </w:pPr>
            <w:r w:rsidRPr="2B7FFB25">
              <w:rPr>
                <w:rFonts w:cs="Calibri"/>
                <w:sz w:val="20"/>
                <w:szCs w:val="20"/>
                <w:lang w:eastAsia="zh-CN"/>
              </w:rPr>
              <w:t>DEA can Improve managerial performance by separating the best from the worst performers</w:t>
            </w:r>
          </w:p>
        </w:tc>
        <w:tc>
          <w:tcPr>
            <w:tcW w:w="3648" w:type="dxa"/>
            <w:tcMar/>
          </w:tcPr>
          <w:p w:rsidR="4F940BA9" w:rsidP="4F940BA9" w:rsidRDefault="4F940BA9" w14:paraId="304458E9" w14:textId="30150571">
            <w:pPr>
              <w:pStyle w:val="Normal"/>
              <w:spacing w:line="259" w:lineRule="auto"/>
              <w:jc w:val="center"/>
              <w:rPr>
                <w:rFonts w:cs="Calibri"/>
                <w:sz w:val="20"/>
                <w:szCs w:val="20"/>
                <w:lang w:eastAsia="zh-CN"/>
              </w:rPr>
            </w:pPr>
          </w:p>
        </w:tc>
      </w:tr>
      <w:tr w:rsidR="2B7FFB25" w:rsidTr="4F940BA9" w14:paraId="71A79163" w14:textId="77777777">
        <w:trPr>
          <w:trHeight w:val="284"/>
        </w:trPr>
        <w:tc>
          <w:tcPr>
            <w:tcW w:w="536" w:type="dxa"/>
            <w:tcMar/>
          </w:tcPr>
          <w:p w:rsidR="2B7FFB25" w:rsidP="2B7FFB25" w:rsidRDefault="2B7FFB25" w14:paraId="008663D0" w14:textId="275A64CF">
            <w:pPr>
              <w:jc w:val="center"/>
              <w:rPr>
                <w:rFonts w:hint="eastAsia" w:cs="Calibri"/>
                <w:sz w:val="20"/>
                <w:szCs w:val="20"/>
                <w:lang w:eastAsia="zh-CN"/>
              </w:rPr>
            </w:pPr>
            <w:r w:rsidRPr="2B7FFB25">
              <w:rPr>
                <w:rFonts w:cs="Calibri"/>
                <w:sz w:val="20"/>
                <w:szCs w:val="20"/>
                <w:lang w:eastAsia="zh-CN"/>
              </w:rPr>
              <w:t>6</w:t>
            </w:r>
          </w:p>
        </w:tc>
        <w:tc>
          <w:tcPr>
            <w:tcW w:w="1182" w:type="dxa"/>
            <w:tcMar/>
          </w:tcPr>
          <w:p w:rsidR="2B7FFB25" w:rsidP="2B7FFB25" w:rsidRDefault="2B7FFB25" w14:paraId="3C146FC4" w14:textId="66E006FE">
            <w:pPr>
              <w:spacing w:line="259" w:lineRule="auto"/>
              <w:jc w:val="center"/>
              <w:rPr>
                <w:rFonts w:hint="eastAsia" w:cs="Calibri"/>
                <w:sz w:val="20"/>
                <w:szCs w:val="20"/>
                <w:lang w:eastAsia="zh-CN"/>
              </w:rPr>
            </w:pPr>
            <w:r w:rsidRPr="2B7FFB25">
              <w:rPr>
                <w:rFonts w:cs="Calibri"/>
                <w:sz w:val="20"/>
                <w:szCs w:val="20"/>
                <w:lang w:eastAsia="zh-CN"/>
              </w:rPr>
              <w:t>Tan, 2024; Wänke, 2024; Antunes, 2024; Emrouznejad, 2024</w:t>
            </w:r>
          </w:p>
        </w:tc>
        <w:tc>
          <w:tcPr>
            <w:tcW w:w="3648" w:type="dxa"/>
            <w:tcMar/>
          </w:tcPr>
          <w:p w:rsidR="2B7FFB25" w:rsidP="2B7FFB25" w:rsidRDefault="2B7FFB25" w14:paraId="2ECAECC1" w14:textId="59B06B7C">
            <w:pPr>
              <w:spacing w:line="259" w:lineRule="auto"/>
              <w:jc w:val="center"/>
              <w:rPr>
                <w:rFonts w:hint="eastAsia" w:cs="Calibri"/>
                <w:sz w:val="20"/>
                <w:szCs w:val="20"/>
                <w:lang w:eastAsia="zh-CN"/>
              </w:rPr>
            </w:pPr>
            <w:r w:rsidRPr="2B7FFB25">
              <w:rPr>
                <w:rFonts w:cs="Calibri"/>
                <w:sz w:val="20"/>
                <w:szCs w:val="20"/>
                <w:lang w:eastAsia="zh-CN"/>
              </w:rPr>
              <w:t>The main contribution is the development of a two-stage network production process to evaluate the efficiency of Chinese commercial banks and an integrated MLP-HMM model to examine endogeneity among banking competition, contextual variables, and efficiency levels</w:t>
            </w:r>
          </w:p>
        </w:tc>
        <w:tc>
          <w:tcPr>
            <w:tcW w:w="3648" w:type="dxa"/>
            <w:tcMar/>
          </w:tcPr>
          <w:p w:rsidR="4F940BA9" w:rsidP="4F940BA9" w:rsidRDefault="4F940BA9" w14:paraId="35B091B3" w14:textId="77A01B3D">
            <w:pPr>
              <w:pStyle w:val="Normal"/>
              <w:spacing w:line="259" w:lineRule="auto"/>
              <w:jc w:val="center"/>
              <w:rPr>
                <w:rFonts w:cs="Calibri"/>
                <w:sz w:val="20"/>
                <w:szCs w:val="20"/>
                <w:lang w:eastAsia="zh-CN"/>
              </w:rPr>
            </w:pPr>
          </w:p>
        </w:tc>
      </w:tr>
      <w:tr w:rsidR="2B7FFB25" w:rsidTr="4F940BA9" w14:paraId="6DA15BDB" w14:textId="77777777">
        <w:trPr>
          <w:trHeight w:val="284"/>
        </w:trPr>
        <w:tc>
          <w:tcPr>
            <w:tcW w:w="536" w:type="dxa"/>
            <w:tcMar/>
          </w:tcPr>
          <w:p w:rsidR="2B7FFB25" w:rsidP="2B7FFB25" w:rsidRDefault="2B7FFB25" w14:paraId="680EA2DD" w14:textId="38D62509">
            <w:pPr>
              <w:jc w:val="center"/>
              <w:rPr>
                <w:rFonts w:hint="eastAsia" w:cs="Calibri"/>
                <w:sz w:val="20"/>
                <w:szCs w:val="20"/>
                <w:lang w:eastAsia="zh-CN"/>
              </w:rPr>
            </w:pPr>
            <w:r w:rsidRPr="2B7FFB25">
              <w:rPr>
                <w:rFonts w:cs="Calibri"/>
                <w:sz w:val="20"/>
                <w:szCs w:val="20"/>
                <w:lang w:eastAsia="zh-CN"/>
              </w:rPr>
              <w:t>11</w:t>
            </w:r>
          </w:p>
        </w:tc>
        <w:tc>
          <w:tcPr>
            <w:tcW w:w="1182" w:type="dxa"/>
            <w:tcMar/>
          </w:tcPr>
          <w:p w:rsidR="2B7FFB25" w:rsidP="2B7FFB25" w:rsidRDefault="2B7FFB25" w14:paraId="74990C5A" w14:textId="2F6B9C79">
            <w:pPr>
              <w:spacing w:line="259" w:lineRule="auto"/>
              <w:jc w:val="center"/>
              <w:rPr>
                <w:rFonts w:hint="eastAsia" w:cs="Calibri"/>
                <w:sz w:val="20"/>
                <w:szCs w:val="20"/>
                <w:lang w:eastAsia="zh-CN"/>
              </w:rPr>
            </w:pPr>
            <w:r w:rsidRPr="2B7FFB25">
              <w:rPr>
                <w:rFonts w:cs="Calibri"/>
                <w:sz w:val="20"/>
                <w:szCs w:val="20"/>
                <w:lang w:eastAsia="zh-CN"/>
              </w:rPr>
              <w:t>(An, Chen, Liang &amp; Wu, 2015)</w:t>
            </w:r>
          </w:p>
        </w:tc>
        <w:tc>
          <w:tcPr>
            <w:tcW w:w="3648" w:type="dxa"/>
            <w:tcMar/>
          </w:tcPr>
          <w:p w:rsidR="2B7FFB25" w:rsidP="2B7FFB25" w:rsidRDefault="2B7FFB25" w14:paraId="215D8273" w14:textId="56D09E46">
            <w:pPr>
              <w:spacing w:line="259" w:lineRule="auto"/>
              <w:jc w:val="center"/>
              <w:rPr>
                <w:rFonts w:hint="eastAsia" w:cs="Calibri"/>
                <w:sz w:val="20"/>
                <w:szCs w:val="20"/>
                <w:lang w:eastAsia="zh-CN"/>
              </w:rPr>
            </w:pPr>
            <w:r w:rsidRPr="2B7FFB25">
              <w:rPr>
                <w:rFonts w:cs="Calibri"/>
                <w:sz w:val="20"/>
                <w:szCs w:val="20"/>
                <w:lang w:eastAsia="zh-CN"/>
              </w:rPr>
              <w:t xml:space="preserve">To determine efficiency statuses of these bank in order to minimize the slacks in input and output </w:t>
            </w:r>
          </w:p>
          <w:p w:rsidR="2B7FFB25" w:rsidP="2B7FFB25" w:rsidRDefault="2B7FFB25" w14:paraId="20C744FD" w14:textId="26C63E62">
            <w:pPr>
              <w:spacing w:line="259" w:lineRule="auto"/>
              <w:jc w:val="center"/>
              <w:rPr>
                <w:rFonts w:hint="eastAsia" w:cs="Calibri"/>
                <w:sz w:val="20"/>
                <w:szCs w:val="20"/>
                <w:lang w:eastAsia="zh-CN"/>
              </w:rPr>
            </w:pPr>
            <w:r w:rsidRPr="2B7FFB25">
              <w:rPr>
                <w:rFonts w:cs="Calibri"/>
                <w:sz w:val="20"/>
                <w:szCs w:val="20"/>
                <w:lang w:eastAsia="zh-CN"/>
              </w:rPr>
              <w:t>Gives a suggestion for the managers to pay more attention to the relatively low efficient deposit-generating stage and should improve their ability to absorb more deposits by applying more attractive policies</w:t>
            </w:r>
          </w:p>
          <w:p w:rsidR="2B7FFB25" w:rsidP="2B7FFB25" w:rsidRDefault="2B7FFB25" w14:paraId="636FC916" w14:textId="2C2E3C5D">
            <w:pPr>
              <w:spacing w:line="259" w:lineRule="auto"/>
              <w:jc w:val="center"/>
              <w:rPr>
                <w:rFonts w:hint="eastAsia" w:cs="Calibri"/>
                <w:sz w:val="20"/>
                <w:szCs w:val="20"/>
                <w:lang w:eastAsia="zh-CN"/>
              </w:rPr>
            </w:pPr>
            <w:r w:rsidRPr="2B7FFB25">
              <w:rPr>
                <w:rFonts w:cs="Calibri"/>
                <w:sz w:val="20"/>
                <w:szCs w:val="20"/>
                <w:lang w:eastAsia="zh-CN"/>
              </w:rPr>
              <w:t>very useful for the banks to reduce the gap between their intermediate measures set in two stages. That is, the results can provide a good alternative for well coordinating the activities of the two stages in order to reduce resource waste</w:t>
            </w:r>
          </w:p>
        </w:tc>
        <w:tc>
          <w:tcPr>
            <w:tcW w:w="3648" w:type="dxa"/>
            <w:tcMar/>
          </w:tcPr>
          <w:p w:rsidR="4F940BA9" w:rsidP="4F940BA9" w:rsidRDefault="4F940BA9" w14:paraId="60FDD866" w14:textId="52D10C2C">
            <w:pPr>
              <w:pStyle w:val="Normal"/>
              <w:spacing w:line="259" w:lineRule="auto"/>
              <w:jc w:val="center"/>
              <w:rPr>
                <w:rFonts w:cs="Calibri"/>
                <w:sz w:val="20"/>
                <w:szCs w:val="20"/>
                <w:lang w:eastAsia="zh-CN"/>
              </w:rPr>
            </w:pPr>
          </w:p>
        </w:tc>
      </w:tr>
      <w:tr w:rsidR="2B7FFB25" w:rsidTr="4F940BA9" w14:paraId="19CEBBEB" w14:textId="77777777">
        <w:trPr>
          <w:trHeight w:val="284"/>
        </w:trPr>
        <w:tc>
          <w:tcPr>
            <w:tcW w:w="536" w:type="dxa"/>
            <w:tcMar/>
          </w:tcPr>
          <w:p w:rsidR="2B7FFB25" w:rsidP="2B7FFB25" w:rsidRDefault="2B7FFB25" w14:paraId="56B0C3C8" w14:textId="38447D46">
            <w:pPr>
              <w:jc w:val="center"/>
              <w:rPr>
                <w:rFonts w:hint="eastAsia" w:cs="Calibri"/>
                <w:sz w:val="20"/>
                <w:szCs w:val="20"/>
                <w:lang w:eastAsia="zh-CN"/>
              </w:rPr>
            </w:pPr>
            <w:r w:rsidRPr="2B7FFB25">
              <w:rPr>
                <w:rFonts w:cs="Calibri"/>
                <w:sz w:val="20"/>
                <w:szCs w:val="20"/>
                <w:lang w:eastAsia="zh-CN"/>
              </w:rPr>
              <w:t>16</w:t>
            </w:r>
          </w:p>
        </w:tc>
        <w:tc>
          <w:tcPr>
            <w:tcW w:w="1182" w:type="dxa"/>
            <w:tcMar/>
          </w:tcPr>
          <w:p w:rsidR="2B7FFB25" w:rsidP="2B7FFB25" w:rsidRDefault="2B7FFB25" w14:paraId="2AE31782" w14:textId="13B1D6C8">
            <w:pPr>
              <w:spacing w:line="259" w:lineRule="auto"/>
              <w:jc w:val="center"/>
              <w:rPr>
                <w:rFonts w:hint="eastAsia" w:cs="Calibri"/>
                <w:sz w:val="20"/>
                <w:szCs w:val="20"/>
                <w:lang w:eastAsia="zh-CN"/>
              </w:rPr>
            </w:pPr>
            <w:r w:rsidRPr="2B7FFB25">
              <w:rPr>
                <w:rFonts w:cs="Calibri"/>
                <w:sz w:val="20"/>
                <w:szCs w:val="20"/>
                <w:lang w:eastAsia="zh-CN"/>
              </w:rPr>
              <w:t>Hirofumi Fukuyamaa , Yong Tan (2022)</w:t>
            </w:r>
          </w:p>
        </w:tc>
        <w:tc>
          <w:tcPr>
            <w:tcW w:w="3648" w:type="dxa"/>
            <w:tcMar/>
          </w:tcPr>
          <w:p w:rsidR="2B7FFB25" w:rsidP="2B7FFB25" w:rsidRDefault="2B7FFB25" w14:paraId="408D1408" w14:textId="588A6D6D">
            <w:pPr>
              <w:spacing w:line="259" w:lineRule="auto"/>
              <w:jc w:val="center"/>
              <w:rPr>
                <w:rFonts w:hint="eastAsia" w:cs="Calibri"/>
                <w:sz w:val="20"/>
                <w:szCs w:val="20"/>
                <w:lang w:eastAsia="zh-CN"/>
              </w:rPr>
            </w:pPr>
            <w:r w:rsidRPr="2B7FFB25">
              <w:rPr>
                <w:rFonts w:cs="Calibri"/>
                <w:sz w:val="20"/>
                <w:szCs w:val="20"/>
                <w:lang w:eastAsia="zh-CN"/>
              </w:rPr>
              <w:t>The current study significantly contributes to the empirical banking and operational research literature by filling in these significant gaps</w:t>
            </w:r>
          </w:p>
        </w:tc>
        <w:tc>
          <w:tcPr>
            <w:tcW w:w="3648" w:type="dxa"/>
            <w:tcMar/>
          </w:tcPr>
          <w:p w:rsidR="4F940BA9" w:rsidP="4F940BA9" w:rsidRDefault="4F940BA9" w14:paraId="7A3D345A" w14:textId="785B080F">
            <w:pPr>
              <w:pStyle w:val="Normal"/>
              <w:spacing w:line="259" w:lineRule="auto"/>
              <w:jc w:val="center"/>
              <w:rPr>
                <w:rFonts w:cs="Calibri"/>
                <w:sz w:val="20"/>
                <w:szCs w:val="20"/>
                <w:lang w:eastAsia="zh-CN"/>
              </w:rPr>
            </w:pPr>
          </w:p>
        </w:tc>
      </w:tr>
      <w:tr w:rsidR="2B7FFB25" w:rsidTr="4F940BA9" w14:paraId="6D63DD34" w14:textId="77777777">
        <w:trPr>
          <w:trHeight w:val="284"/>
        </w:trPr>
        <w:tc>
          <w:tcPr>
            <w:tcW w:w="536" w:type="dxa"/>
            <w:tcMar/>
          </w:tcPr>
          <w:p w:rsidR="2B7FFB25" w:rsidP="2B7FFB25" w:rsidRDefault="2B7FFB25" w14:paraId="40DEB245" w14:textId="3E747C6B">
            <w:pPr>
              <w:jc w:val="center"/>
              <w:rPr>
                <w:rFonts w:hint="eastAsia" w:cs="Calibri"/>
                <w:sz w:val="20"/>
                <w:szCs w:val="20"/>
                <w:lang w:eastAsia="zh-CN"/>
              </w:rPr>
            </w:pPr>
            <w:r w:rsidRPr="2B7FFB25">
              <w:rPr>
                <w:rFonts w:cs="Calibri"/>
                <w:sz w:val="20"/>
                <w:szCs w:val="20"/>
                <w:lang w:eastAsia="zh-CN"/>
              </w:rPr>
              <w:t>21</w:t>
            </w:r>
          </w:p>
        </w:tc>
        <w:tc>
          <w:tcPr>
            <w:tcW w:w="1182" w:type="dxa"/>
            <w:tcMar/>
          </w:tcPr>
          <w:p w:rsidR="2B7FFB25" w:rsidP="2B7FFB25" w:rsidRDefault="2B7FFB25" w14:paraId="01BDFCB3" w14:textId="7961A45F">
            <w:pPr>
              <w:spacing w:line="259" w:lineRule="auto"/>
              <w:jc w:val="center"/>
              <w:rPr>
                <w:rFonts w:hint="eastAsia" w:cs="Calibri"/>
                <w:sz w:val="20"/>
                <w:szCs w:val="20"/>
                <w:lang w:eastAsia="zh-CN"/>
              </w:rPr>
            </w:pPr>
            <w:r w:rsidRPr="2B7FFB25">
              <w:rPr>
                <w:rFonts w:cs="Calibri"/>
                <w:sz w:val="20"/>
                <w:szCs w:val="20"/>
                <w:lang w:eastAsia="zh-CN"/>
              </w:rPr>
              <w:t>Hirofumi Fukuyamaa , Roman Matousek (2017)</w:t>
            </w:r>
          </w:p>
        </w:tc>
        <w:tc>
          <w:tcPr>
            <w:tcW w:w="3648" w:type="dxa"/>
            <w:tcMar/>
          </w:tcPr>
          <w:p w:rsidR="2B7FFB25" w:rsidP="2B7FFB25" w:rsidRDefault="2B7FFB25" w14:paraId="512A3A8F" w14:textId="4F50AE0F">
            <w:pPr>
              <w:spacing w:line="259" w:lineRule="auto"/>
              <w:jc w:val="center"/>
              <w:rPr>
                <w:rFonts w:hint="eastAsia" w:cs="Calibri"/>
                <w:sz w:val="20"/>
                <w:szCs w:val="20"/>
                <w:lang w:eastAsia="zh-CN"/>
              </w:rPr>
            </w:pPr>
            <w:r w:rsidRPr="2B7FFB25">
              <w:rPr>
                <w:rFonts w:cs="Calibri"/>
                <w:sz w:val="20"/>
                <w:szCs w:val="20"/>
                <w:lang w:eastAsia="zh-CN"/>
              </w:rPr>
              <w:t>paper's major contribution is the development of a bank network revenue function which considers the impact of NPLs on bank production and a two-stage network model that includes these NPLs.</w:t>
            </w:r>
          </w:p>
        </w:tc>
        <w:tc>
          <w:tcPr>
            <w:tcW w:w="3648" w:type="dxa"/>
            <w:tcMar/>
          </w:tcPr>
          <w:p w:rsidR="4F940BA9" w:rsidP="4F940BA9" w:rsidRDefault="4F940BA9" w14:paraId="27CE0290" w14:textId="5061B1DF">
            <w:pPr>
              <w:pStyle w:val="Normal"/>
              <w:spacing w:line="259" w:lineRule="auto"/>
              <w:jc w:val="center"/>
              <w:rPr>
                <w:rFonts w:cs="Calibri"/>
                <w:sz w:val="20"/>
                <w:szCs w:val="20"/>
                <w:lang w:eastAsia="zh-CN"/>
              </w:rPr>
            </w:pPr>
          </w:p>
        </w:tc>
      </w:tr>
      <w:tr w:rsidR="2B7FFB25" w:rsidTr="4F940BA9" w14:paraId="72105066" w14:textId="77777777">
        <w:trPr>
          <w:trHeight w:val="284"/>
        </w:trPr>
        <w:tc>
          <w:tcPr>
            <w:tcW w:w="536" w:type="dxa"/>
            <w:tcMar/>
          </w:tcPr>
          <w:p w:rsidR="2B7FFB25" w:rsidP="2B7FFB25" w:rsidRDefault="2B7FFB25" w14:paraId="6F8C2424" w14:textId="5A37F5DF">
            <w:pPr>
              <w:jc w:val="center"/>
              <w:rPr>
                <w:rFonts w:hint="eastAsia" w:cs="Calibri"/>
                <w:sz w:val="20"/>
                <w:szCs w:val="20"/>
                <w:lang w:eastAsia="zh-CN"/>
              </w:rPr>
            </w:pPr>
            <w:r w:rsidRPr="2B7FFB25">
              <w:rPr>
                <w:rFonts w:cs="Calibri"/>
                <w:sz w:val="20"/>
                <w:szCs w:val="20"/>
                <w:lang w:eastAsia="zh-CN"/>
              </w:rPr>
              <w:t>26</w:t>
            </w:r>
          </w:p>
        </w:tc>
        <w:tc>
          <w:tcPr>
            <w:tcW w:w="1182" w:type="dxa"/>
            <w:tcMar/>
          </w:tcPr>
          <w:p w:rsidR="2B7FFB25" w:rsidP="2B7FFB25" w:rsidRDefault="2B7FFB25" w14:paraId="233D348C" w14:textId="5F4EFCC5">
            <w:pPr>
              <w:spacing w:line="259" w:lineRule="auto"/>
              <w:jc w:val="center"/>
              <w:rPr>
                <w:rFonts w:hint="eastAsia" w:cs="Calibri"/>
                <w:sz w:val="20"/>
                <w:szCs w:val="20"/>
                <w:lang w:eastAsia="zh-CN"/>
              </w:rPr>
            </w:pPr>
            <w:r w:rsidRPr="2B7FFB25">
              <w:rPr>
                <w:rFonts w:cs="Calibri"/>
                <w:sz w:val="20"/>
                <w:szCs w:val="20"/>
                <w:lang w:eastAsia="zh-CN"/>
              </w:rPr>
              <w:t>Kent Matthews a , Zhiguo Xiao (2020)</w:t>
            </w:r>
          </w:p>
        </w:tc>
        <w:tc>
          <w:tcPr>
            <w:tcW w:w="3648" w:type="dxa"/>
            <w:tcMar/>
          </w:tcPr>
          <w:p w:rsidR="2B7FFB25" w:rsidP="2B7FFB25" w:rsidRDefault="2B7FFB25" w14:paraId="666AD800" w14:textId="6FCFED04">
            <w:pPr>
              <w:spacing w:line="259" w:lineRule="auto"/>
              <w:jc w:val="center"/>
              <w:rPr>
                <w:rFonts w:hint="eastAsia" w:cs="Calibri"/>
                <w:sz w:val="20"/>
                <w:szCs w:val="20"/>
                <w:lang w:eastAsia="zh-CN"/>
              </w:rPr>
            </w:pPr>
            <w:r w:rsidRPr="2B7FFB25">
              <w:rPr>
                <w:rFonts w:cs="Calibri"/>
                <w:sz w:val="20"/>
                <w:szCs w:val="20"/>
                <w:lang w:eastAsia="zh-CN"/>
              </w:rPr>
              <w:t>giving a suggestion that state-owned banks are more constrained by social and political objectives in their downsizing strategy than JSCBs</w:t>
            </w:r>
          </w:p>
        </w:tc>
        <w:tc>
          <w:tcPr>
            <w:tcW w:w="3648" w:type="dxa"/>
            <w:tcMar/>
          </w:tcPr>
          <w:p w:rsidR="4F940BA9" w:rsidP="4F940BA9" w:rsidRDefault="4F940BA9" w14:paraId="48861D8A" w14:textId="0754DB28">
            <w:pPr>
              <w:pStyle w:val="Normal"/>
              <w:spacing w:line="259" w:lineRule="auto"/>
              <w:jc w:val="center"/>
              <w:rPr>
                <w:rFonts w:cs="Calibri"/>
                <w:sz w:val="20"/>
                <w:szCs w:val="20"/>
                <w:lang w:eastAsia="zh-CN"/>
              </w:rPr>
            </w:pPr>
          </w:p>
        </w:tc>
      </w:tr>
      <w:tr w:rsidR="2B7FFB25" w:rsidTr="4F940BA9" w14:paraId="01D3C521" w14:textId="77777777">
        <w:trPr>
          <w:trHeight w:val="284"/>
        </w:trPr>
        <w:tc>
          <w:tcPr>
            <w:tcW w:w="536" w:type="dxa"/>
            <w:tcMar/>
          </w:tcPr>
          <w:p w:rsidR="2B7FFB25" w:rsidP="2B7FFB25" w:rsidRDefault="2B7FFB25" w14:paraId="78E905B5" w14:textId="0BF7029E">
            <w:pPr>
              <w:jc w:val="center"/>
              <w:rPr>
                <w:rFonts w:hint="eastAsia" w:cs="Calibri"/>
                <w:sz w:val="20"/>
                <w:szCs w:val="20"/>
                <w:lang w:eastAsia="zh-CN"/>
              </w:rPr>
            </w:pPr>
            <w:r w:rsidRPr="2B7FFB25">
              <w:rPr>
                <w:rFonts w:cs="Calibri"/>
                <w:sz w:val="20"/>
                <w:szCs w:val="20"/>
                <w:lang w:eastAsia="zh-CN"/>
              </w:rPr>
              <w:t>31</w:t>
            </w:r>
          </w:p>
        </w:tc>
        <w:tc>
          <w:tcPr>
            <w:tcW w:w="1182" w:type="dxa"/>
            <w:tcMar/>
          </w:tcPr>
          <w:p w:rsidR="2B7FFB25" w:rsidP="2B7FFB25" w:rsidRDefault="2B7FFB25" w14:paraId="6273C745" w14:textId="1D59152E">
            <w:pPr>
              <w:spacing w:line="259" w:lineRule="auto"/>
              <w:jc w:val="center"/>
              <w:rPr>
                <w:rFonts w:hint="eastAsia" w:cs="Calibri"/>
                <w:sz w:val="20"/>
                <w:szCs w:val="20"/>
                <w:lang w:eastAsia="zh-CN"/>
              </w:rPr>
            </w:pPr>
            <w:r w:rsidRPr="2B7FFB25">
              <w:rPr>
                <w:rFonts w:cs="Calibri"/>
                <w:sz w:val="20"/>
                <w:szCs w:val="20"/>
                <w:lang w:eastAsia="zh-CN"/>
              </w:rPr>
              <w:t>Fukuyama, Tsionas, Tan (2023)</w:t>
            </w:r>
          </w:p>
        </w:tc>
        <w:tc>
          <w:tcPr>
            <w:tcW w:w="3648" w:type="dxa"/>
            <w:tcMar/>
          </w:tcPr>
          <w:p w:rsidR="2B7FFB25" w:rsidP="2B7FFB25" w:rsidRDefault="2B7FFB25" w14:paraId="395295CE" w14:textId="03500E6E">
            <w:pPr>
              <w:spacing w:line="259" w:lineRule="auto"/>
              <w:jc w:val="center"/>
              <w:rPr>
                <w:rFonts w:hint="eastAsia" w:cs="Calibri"/>
                <w:sz w:val="20"/>
                <w:szCs w:val="20"/>
                <w:lang w:eastAsia="zh-CN"/>
              </w:rPr>
            </w:pPr>
            <w:r w:rsidRPr="2B7FFB25">
              <w:rPr>
                <w:rFonts w:cs="Calibri"/>
                <w:sz w:val="20"/>
                <w:szCs w:val="20"/>
                <w:lang w:eastAsia="zh-CN"/>
              </w:rPr>
              <w:t>contributes to the subject area of empirical banking and operational research in banking by proposing a two-stage dynamicDEA model that considers</w:t>
            </w:r>
          </w:p>
          <w:p w:rsidR="2B7FFB25" w:rsidP="2B7FFB25" w:rsidRDefault="2B7FFB25" w14:paraId="0C4F05F4" w14:textId="0E941928">
            <w:pPr>
              <w:spacing w:line="259" w:lineRule="auto"/>
              <w:jc w:val="center"/>
              <w:rPr>
                <w:rFonts w:hint="eastAsia" w:cs="Calibri"/>
                <w:sz w:val="20"/>
                <w:szCs w:val="20"/>
                <w:lang w:eastAsia="zh-CN"/>
              </w:rPr>
            </w:pPr>
            <w:r w:rsidRPr="2B7FFB25">
              <w:rPr>
                <w:rFonts w:cs="Calibri"/>
                <w:sz w:val="20"/>
                <w:szCs w:val="20"/>
                <w:lang w:eastAsia="zh-CN"/>
              </w:rPr>
              <w:t>the desirability of loan loss reserves in the banking production process with a carryover role.</w:t>
            </w:r>
          </w:p>
        </w:tc>
        <w:tc>
          <w:tcPr>
            <w:tcW w:w="3648" w:type="dxa"/>
            <w:tcMar/>
          </w:tcPr>
          <w:p w:rsidR="4F940BA9" w:rsidP="4F940BA9" w:rsidRDefault="4F940BA9" w14:paraId="54B3FE27" w14:textId="139EB60F">
            <w:pPr>
              <w:pStyle w:val="Normal"/>
              <w:spacing w:line="259" w:lineRule="auto"/>
              <w:jc w:val="center"/>
              <w:rPr>
                <w:rFonts w:cs="Calibri"/>
                <w:sz w:val="20"/>
                <w:szCs w:val="20"/>
                <w:lang w:eastAsia="zh-CN"/>
              </w:rPr>
            </w:pPr>
          </w:p>
        </w:tc>
      </w:tr>
      <w:tr w:rsidR="2B7FFB25" w:rsidTr="4F940BA9" w14:paraId="64BB9DCC" w14:textId="77777777">
        <w:trPr>
          <w:trHeight w:val="284"/>
        </w:trPr>
        <w:tc>
          <w:tcPr>
            <w:tcW w:w="536" w:type="dxa"/>
            <w:tcMar/>
          </w:tcPr>
          <w:p w:rsidR="2B7FFB25" w:rsidP="2B7FFB25" w:rsidRDefault="2B7FFB25" w14:paraId="7A88823A" w14:textId="3FFB19EA">
            <w:pPr>
              <w:jc w:val="center"/>
              <w:rPr>
                <w:rFonts w:hint="eastAsia" w:cs="Calibri"/>
                <w:sz w:val="20"/>
                <w:szCs w:val="20"/>
                <w:lang w:eastAsia="zh-CN"/>
              </w:rPr>
            </w:pPr>
            <w:r w:rsidRPr="2B7FFB25">
              <w:rPr>
                <w:rFonts w:cs="Calibri"/>
                <w:sz w:val="20"/>
                <w:szCs w:val="20"/>
                <w:lang w:eastAsia="zh-CN"/>
              </w:rPr>
              <w:t>36</w:t>
            </w:r>
          </w:p>
        </w:tc>
        <w:tc>
          <w:tcPr>
            <w:tcW w:w="1182" w:type="dxa"/>
            <w:tcMar/>
          </w:tcPr>
          <w:p w:rsidR="2B7FFB25" w:rsidP="2B7FFB25" w:rsidRDefault="2B7FFB25" w14:paraId="68AB9D3C" w14:textId="1801AD84">
            <w:pPr>
              <w:spacing w:line="259" w:lineRule="auto"/>
              <w:jc w:val="center"/>
              <w:rPr>
                <w:rFonts w:hint="eastAsia" w:cs="Calibri"/>
                <w:sz w:val="20"/>
                <w:szCs w:val="20"/>
                <w:lang w:eastAsia="zh-CN"/>
              </w:rPr>
            </w:pPr>
            <w:r w:rsidRPr="2B7FFB25">
              <w:rPr>
                <w:rFonts w:cs="Calibri"/>
                <w:sz w:val="20"/>
                <w:szCs w:val="20"/>
                <w:lang w:eastAsia="zh-CN"/>
              </w:rPr>
              <w:t>Necmi K. Avkiran, Hiroshi Morita (2010)</w:t>
            </w:r>
          </w:p>
        </w:tc>
        <w:tc>
          <w:tcPr>
            <w:tcW w:w="3648" w:type="dxa"/>
            <w:tcMar/>
          </w:tcPr>
          <w:p w:rsidR="2B7FFB25" w:rsidP="2B7FFB25" w:rsidRDefault="2B7FFB25" w14:paraId="52F4CA6A" w14:textId="3BD23EF5">
            <w:pPr>
              <w:spacing w:line="259" w:lineRule="auto"/>
              <w:jc w:val="center"/>
              <w:rPr>
                <w:rFonts w:hint="eastAsia" w:cs="Calibri"/>
                <w:sz w:val="20"/>
                <w:szCs w:val="20"/>
                <w:lang w:eastAsia="zh-CN"/>
              </w:rPr>
            </w:pPr>
            <w:r w:rsidRPr="2B7FFB25">
              <w:rPr>
                <w:rFonts w:cs="Calibri"/>
                <w:sz w:val="20"/>
                <w:szCs w:val="20"/>
                <w:lang w:eastAsia="zh-CN"/>
              </w:rPr>
              <w:t>The findings help the management to collaborate with amenable shareholders to shape the perceptions held by the recalcitrant regulators</w:t>
            </w:r>
          </w:p>
        </w:tc>
        <w:tc>
          <w:tcPr>
            <w:tcW w:w="3648" w:type="dxa"/>
            <w:tcMar/>
          </w:tcPr>
          <w:p w:rsidR="4F940BA9" w:rsidP="4F940BA9" w:rsidRDefault="4F940BA9" w14:paraId="5F7FDF44" w14:textId="250D7B2F">
            <w:pPr>
              <w:pStyle w:val="Normal"/>
              <w:spacing w:line="259" w:lineRule="auto"/>
              <w:jc w:val="center"/>
              <w:rPr>
                <w:rFonts w:cs="Calibri"/>
                <w:sz w:val="20"/>
                <w:szCs w:val="20"/>
                <w:lang w:eastAsia="zh-CN"/>
              </w:rPr>
            </w:pPr>
          </w:p>
        </w:tc>
      </w:tr>
      <w:tr w:rsidR="2B7FFB25" w:rsidTr="4F940BA9" w14:paraId="626E3BC2" w14:textId="77777777">
        <w:trPr>
          <w:trHeight w:val="284"/>
        </w:trPr>
        <w:tc>
          <w:tcPr>
            <w:tcW w:w="536" w:type="dxa"/>
            <w:tcMar/>
          </w:tcPr>
          <w:p w:rsidR="2B7FFB25" w:rsidP="2B7FFB25" w:rsidRDefault="2B7FFB25" w14:paraId="10E3E225" w14:textId="0F960152">
            <w:pPr>
              <w:jc w:val="center"/>
              <w:rPr>
                <w:rFonts w:hint="eastAsia" w:cs="Calibri"/>
                <w:sz w:val="20"/>
                <w:szCs w:val="20"/>
                <w:lang w:eastAsia="zh-CN"/>
              </w:rPr>
            </w:pPr>
            <w:r w:rsidRPr="2B7FFB25">
              <w:rPr>
                <w:rFonts w:cs="Calibri"/>
                <w:sz w:val="20"/>
                <w:szCs w:val="20"/>
                <w:lang w:eastAsia="zh-CN"/>
              </w:rPr>
              <w:t>41</w:t>
            </w:r>
          </w:p>
        </w:tc>
        <w:tc>
          <w:tcPr>
            <w:tcW w:w="1182" w:type="dxa"/>
            <w:tcMar/>
          </w:tcPr>
          <w:p w:rsidR="2B7FFB25" w:rsidP="2B7FFB25" w:rsidRDefault="2B7FFB25" w14:paraId="0AAAB5EE" w14:textId="5E56C003">
            <w:pPr>
              <w:spacing w:line="259" w:lineRule="auto"/>
              <w:jc w:val="center"/>
              <w:rPr>
                <w:rFonts w:hint="eastAsia" w:cs="Calibri"/>
                <w:sz w:val="20"/>
                <w:szCs w:val="20"/>
                <w:lang w:eastAsia="zh-CN"/>
              </w:rPr>
            </w:pPr>
            <w:r w:rsidRPr="2B7FFB25">
              <w:rPr>
                <w:rFonts w:cs="Calibri"/>
                <w:sz w:val="20"/>
                <w:szCs w:val="20"/>
                <w:lang w:eastAsia="zh-CN"/>
              </w:rPr>
              <w:t>Guangcheng Xu and Zhixiang Zhou (2020)</w:t>
            </w:r>
          </w:p>
        </w:tc>
        <w:tc>
          <w:tcPr>
            <w:tcW w:w="3648" w:type="dxa"/>
            <w:tcMar/>
          </w:tcPr>
          <w:p w:rsidR="2B7FFB25" w:rsidP="2B7FFB25" w:rsidRDefault="2B7FFB25" w14:paraId="0AF8B061" w14:textId="2036A524">
            <w:pPr>
              <w:spacing w:line="259" w:lineRule="auto"/>
              <w:jc w:val="center"/>
              <w:rPr>
                <w:rFonts w:hint="eastAsia" w:cs="Calibri"/>
                <w:sz w:val="20"/>
                <w:szCs w:val="20"/>
                <w:lang w:eastAsia="zh-CN"/>
              </w:rPr>
            </w:pPr>
            <w:r w:rsidRPr="2B7FFB25">
              <w:rPr>
                <w:rFonts w:cs="Calibri"/>
                <w:sz w:val="20"/>
                <w:szCs w:val="20"/>
                <w:lang w:eastAsia="zh-CN"/>
              </w:rPr>
              <w:t>It gives an influence combining ARs restrictions with a two-stage DEA model for considering the different undesirable outputs. Firstly, the classification of undesirable outputs (non-performing loans) in banking system was introduced due to its risk level, which means that the impact on the banking operation system is different. Secondly, based on the particularity of banking operation system and the applicability of AR restrictions, the additive two-stage AR-DEA model was unitized to evaluate the DMU efficiency</w:t>
            </w:r>
          </w:p>
        </w:tc>
        <w:tc>
          <w:tcPr>
            <w:tcW w:w="3648" w:type="dxa"/>
            <w:tcMar/>
          </w:tcPr>
          <w:p w:rsidR="4F940BA9" w:rsidP="4F940BA9" w:rsidRDefault="4F940BA9" w14:paraId="7A022E64" w14:textId="2162B76D">
            <w:pPr>
              <w:pStyle w:val="Normal"/>
              <w:spacing w:line="259" w:lineRule="auto"/>
              <w:jc w:val="center"/>
              <w:rPr>
                <w:rFonts w:cs="Calibri"/>
                <w:sz w:val="20"/>
                <w:szCs w:val="20"/>
                <w:lang w:eastAsia="zh-CN"/>
              </w:rPr>
            </w:pPr>
          </w:p>
        </w:tc>
      </w:tr>
      <w:tr w:rsidR="2B7FFB25" w:rsidTr="4F940BA9" w14:paraId="5AB21ED1" w14:textId="77777777">
        <w:trPr>
          <w:trHeight w:val="284"/>
        </w:trPr>
        <w:tc>
          <w:tcPr>
            <w:tcW w:w="536" w:type="dxa"/>
            <w:tcMar/>
          </w:tcPr>
          <w:p w:rsidR="2B7FFB25" w:rsidP="2B7FFB25" w:rsidRDefault="2B7FFB25" w14:paraId="743939E7" w14:textId="75483B72">
            <w:pPr>
              <w:jc w:val="center"/>
              <w:rPr>
                <w:rFonts w:hint="eastAsia" w:cs="Calibri"/>
                <w:sz w:val="20"/>
                <w:szCs w:val="20"/>
                <w:lang w:eastAsia="zh-CN"/>
              </w:rPr>
            </w:pPr>
            <w:r w:rsidRPr="2B7FFB25">
              <w:rPr>
                <w:rFonts w:cs="Calibri"/>
                <w:sz w:val="20"/>
                <w:szCs w:val="20"/>
                <w:lang w:eastAsia="zh-CN"/>
              </w:rPr>
              <w:t>7</w:t>
            </w:r>
          </w:p>
        </w:tc>
        <w:tc>
          <w:tcPr>
            <w:tcW w:w="1182" w:type="dxa"/>
            <w:tcMar/>
          </w:tcPr>
          <w:p w:rsidR="2B7FFB25" w:rsidP="2B7FFB25" w:rsidRDefault="2B7FFB25" w14:paraId="7574ACC2" w14:textId="306E268E">
            <w:pPr>
              <w:jc w:val="center"/>
              <w:rPr>
                <w:rFonts w:hint="eastAsia"/>
              </w:rPr>
            </w:pPr>
            <w:r w:rsidRPr="2B7FFB25">
              <w:rPr>
                <w:rFonts w:ascii="Aptos" w:hAnsi="Aptos" w:eastAsia="Aptos" w:cs="Aptos"/>
                <w:sz w:val="20"/>
                <w:szCs w:val="20"/>
              </w:rPr>
              <w:t>Matthews, et al. (2010)</w:t>
            </w:r>
          </w:p>
        </w:tc>
        <w:tc>
          <w:tcPr>
            <w:tcW w:w="3648" w:type="dxa"/>
            <w:tcMar/>
          </w:tcPr>
          <w:p w:rsidR="2B7FFB25" w:rsidP="2B7FFB25" w:rsidRDefault="2B7FFB25" w14:paraId="4E8691E2" w14:textId="483F86A7">
            <w:pPr>
              <w:jc w:val="center"/>
              <w:rPr>
                <w:rFonts w:hint="eastAsia"/>
              </w:rPr>
            </w:pPr>
            <w:r w:rsidRPr="2B7FFB25">
              <w:rPr>
                <w:rFonts w:ascii="Aptos" w:hAnsi="Aptos" w:eastAsia="Aptos" w:cs="Aptos"/>
                <w:sz w:val="20"/>
                <w:szCs w:val="20"/>
              </w:rPr>
              <w:t>To examine the productivity growth of the nationwide banks of China and a sample of city commercial, banks for the ten years to 2007</w:t>
            </w:r>
          </w:p>
        </w:tc>
        <w:tc>
          <w:tcPr>
            <w:tcW w:w="3648" w:type="dxa"/>
            <w:tcMar/>
          </w:tcPr>
          <w:p w:rsidR="4F940BA9" w:rsidP="4F940BA9" w:rsidRDefault="4F940BA9" w14:paraId="4654DAD3" w14:textId="32A35CF5">
            <w:pPr>
              <w:pStyle w:val="Normal"/>
              <w:jc w:val="center"/>
              <w:rPr>
                <w:rFonts w:ascii="Aptos" w:hAnsi="Aptos" w:eastAsia="Aptos" w:cs="Aptos"/>
                <w:sz w:val="20"/>
                <w:szCs w:val="20"/>
              </w:rPr>
            </w:pPr>
          </w:p>
        </w:tc>
      </w:tr>
      <w:tr w:rsidR="2B7FFB25" w:rsidTr="4F940BA9" w14:paraId="3F936C7B" w14:textId="77777777">
        <w:trPr>
          <w:trHeight w:val="284"/>
        </w:trPr>
        <w:tc>
          <w:tcPr>
            <w:tcW w:w="536" w:type="dxa"/>
            <w:tcMar/>
          </w:tcPr>
          <w:p w:rsidR="2B7FFB25" w:rsidP="2B7FFB25" w:rsidRDefault="2B7FFB25" w14:paraId="52642061" w14:textId="584F9138">
            <w:pPr>
              <w:jc w:val="center"/>
              <w:rPr>
                <w:rFonts w:hint="eastAsia" w:cs="Calibri"/>
                <w:sz w:val="20"/>
                <w:szCs w:val="20"/>
                <w:lang w:eastAsia="zh-CN"/>
              </w:rPr>
            </w:pPr>
            <w:r w:rsidRPr="2B7FFB25">
              <w:rPr>
                <w:rFonts w:cs="Calibri"/>
                <w:sz w:val="20"/>
                <w:szCs w:val="20"/>
                <w:lang w:eastAsia="zh-CN"/>
              </w:rPr>
              <w:t>27</w:t>
            </w:r>
          </w:p>
        </w:tc>
        <w:tc>
          <w:tcPr>
            <w:tcW w:w="1182" w:type="dxa"/>
            <w:tcMar/>
          </w:tcPr>
          <w:p w:rsidR="2B7FFB25" w:rsidP="2B7FFB25" w:rsidRDefault="2B7FFB25" w14:paraId="2DC1B1EE" w14:textId="764B76CD">
            <w:pPr>
              <w:jc w:val="center"/>
              <w:rPr>
                <w:rFonts w:hint="eastAsia"/>
              </w:rPr>
            </w:pPr>
            <w:r w:rsidRPr="2B7FFB25">
              <w:rPr>
                <w:rFonts w:ascii="Aptos" w:hAnsi="Aptos" w:eastAsia="Aptos" w:cs="Aptos"/>
                <w:sz w:val="20"/>
                <w:szCs w:val="20"/>
                <w:lang w:val="en-US"/>
              </w:rPr>
              <w:t>Hou, et al. (2014)</w:t>
            </w:r>
          </w:p>
        </w:tc>
        <w:tc>
          <w:tcPr>
            <w:tcW w:w="3648" w:type="dxa"/>
            <w:tcMar/>
          </w:tcPr>
          <w:p w:rsidR="2B7FFB25" w:rsidP="2B7FFB25" w:rsidRDefault="2B7FFB25" w14:paraId="537ABBA7" w14:textId="42A1F975">
            <w:pPr>
              <w:jc w:val="center"/>
              <w:rPr>
                <w:rFonts w:hint="eastAsia"/>
              </w:rPr>
            </w:pPr>
            <w:r w:rsidRPr="2B7FFB25">
              <w:rPr>
                <w:rFonts w:ascii="Aptos" w:hAnsi="Aptos" w:eastAsia="Aptos" w:cs="Aptos"/>
                <w:sz w:val="20"/>
                <w:szCs w:val="20"/>
              </w:rPr>
              <w:t>investigate the impact of market structure and risk taking on the efficiency of Chinese commercial banks</w:t>
            </w:r>
          </w:p>
        </w:tc>
        <w:tc>
          <w:tcPr>
            <w:tcW w:w="3648" w:type="dxa"/>
            <w:tcMar/>
          </w:tcPr>
          <w:p w:rsidR="4F940BA9" w:rsidP="4F940BA9" w:rsidRDefault="4F940BA9" w14:paraId="64F222A7" w14:textId="0E6199E0">
            <w:pPr>
              <w:pStyle w:val="Normal"/>
              <w:jc w:val="center"/>
              <w:rPr>
                <w:rFonts w:ascii="Aptos" w:hAnsi="Aptos" w:eastAsia="Aptos" w:cs="Aptos"/>
                <w:sz w:val="20"/>
                <w:szCs w:val="20"/>
              </w:rPr>
            </w:pPr>
          </w:p>
        </w:tc>
      </w:tr>
      <w:tr w:rsidR="2B7FFB25" w:rsidTr="4F940BA9" w14:paraId="7D3820D5" w14:textId="77777777">
        <w:trPr>
          <w:trHeight w:val="284"/>
        </w:trPr>
        <w:tc>
          <w:tcPr>
            <w:tcW w:w="536" w:type="dxa"/>
            <w:tcMar/>
          </w:tcPr>
          <w:p w:rsidR="2B7FFB25" w:rsidP="2B7FFB25" w:rsidRDefault="2B7FFB25" w14:paraId="3A050C72" w14:textId="0D5FEFEC">
            <w:pPr>
              <w:jc w:val="center"/>
              <w:rPr>
                <w:rFonts w:hint="eastAsia" w:cs="Calibri"/>
                <w:sz w:val="20"/>
                <w:szCs w:val="20"/>
                <w:lang w:eastAsia="zh-CN"/>
              </w:rPr>
            </w:pPr>
            <w:r w:rsidRPr="2B7FFB25">
              <w:rPr>
                <w:rFonts w:cs="Calibri"/>
                <w:sz w:val="20"/>
                <w:szCs w:val="20"/>
                <w:lang w:eastAsia="zh-CN"/>
              </w:rPr>
              <w:t>32</w:t>
            </w:r>
          </w:p>
        </w:tc>
        <w:tc>
          <w:tcPr>
            <w:tcW w:w="1182" w:type="dxa"/>
            <w:tcMar/>
          </w:tcPr>
          <w:p w:rsidR="2B7FFB25" w:rsidP="2B7FFB25" w:rsidRDefault="2B7FFB25" w14:paraId="46A46DFF" w14:textId="3BF4D9AF">
            <w:pPr>
              <w:jc w:val="center"/>
              <w:rPr>
                <w:rFonts w:hint="eastAsia"/>
              </w:rPr>
            </w:pPr>
            <w:r w:rsidRPr="2B7FFB25">
              <w:rPr>
                <w:rFonts w:ascii="Aptos" w:hAnsi="Aptos" w:eastAsia="Aptos" w:cs="Aptos"/>
                <w:sz w:val="20"/>
                <w:szCs w:val="20"/>
              </w:rPr>
              <w:t>Fukuyama, et al. (2021)</w:t>
            </w:r>
          </w:p>
        </w:tc>
        <w:tc>
          <w:tcPr>
            <w:tcW w:w="3648" w:type="dxa"/>
            <w:tcMar/>
          </w:tcPr>
          <w:p w:rsidR="2B7FFB25" w:rsidP="2B7FFB25" w:rsidRDefault="2B7FFB25" w14:paraId="0AF44E6B" w14:textId="437DE39C">
            <w:pPr>
              <w:jc w:val="center"/>
              <w:rPr>
                <w:rFonts w:hint="eastAsia"/>
              </w:rPr>
            </w:pPr>
            <w:r w:rsidRPr="2B7FFB25">
              <w:rPr>
                <w:rFonts w:ascii="Aptos" w:hAnsi="Aptos" w:eastAsia="Aptos" w:cs="Aptos"/>
                <w:sz w:val="20"/>
                <w:szCs w:val="20"/>
              </w:rPr>
              <w:t>This paper focuses on the use of loan loss reserves (LLRs) in the banking production process and considers it as a variable with a dual role.</w:t>
            </w:r>
          </w:p>
        </w:tc>
        <w:tc>
          <w:tcPr>
            <w:tcW w:w="3648" w:type="dxa"/>
            <w:tcMar/>
          </w:tcPr>
          <w:p w:rsidR="4F940BA9" w:rsidP="4F940BA9" w:rsidRDefault="4F940BA9" w14:paraId="4B4384BB" w14:textId="3D99F5DD">
            <w:pPr>
              <w:pStyle w:val="Normal"/>
              <w:jc w:val="center"/>
              <w:rPr>
                <w:rFonts w:ascii="Aptos" w:hAnsi="Aptos" w:eastAsia="Aptos" w:cs="Aptos"/>
                <w:sz w:val="20"/>
                <w:szCs w:val="20"/>
              </w:rPr>
            </w:pPr>
          </w:p>
        </w:tc>
      </w:tr>
      <w:tr w:rsidR="2B7FFB25" w:rsidTr="4F940BA9" w14:paraId="20DEC814" w14:textId="77777777">
        <w:trPr>
          <w:trHeight w:val="284"/>
        </w:trPr>
        <w:tc>
          <w:tcPr>
            <w:tcW w:w="536" w:type="dxa"/>
            <w:tcMar/>
          </w:tcPr>
          <w:p w:rsidR="2B7FFB25" w:rsidP="2B7FFB25" w:rsidRDefault="2B7FFB25" w14:paraId="0945F3B3" w14:textId="4C8A35F8">
            <w:pPr>
              <w:jc w:val="center"/>
              <w:rPr>
                <w:rFonts w:hint="eastAsia" w:cs="Calibri"/>
                <w:sz w:val="20"/>
                <w:szCs w:val="20"/>
                <w:lang w:eastAsia="zh-CN"/>
              </w:rPr>
            </w:pPr>
            <w:r w:rsidRPr="2B7FFB25">
              <w:rPr>
                <w:rFonts w:cs="Calibri"/>
                <w:sz w:val="20"/>
                <w:szCs w:val="20"/>
                <w:lang w:eastAsia="zh-CN"/>
              </w:rPr>
              <w:t>22</w:t>
            </w:r>
          </w:p>
        </w:tc>
        <w:tc>
          <w:tcPr>
            <w:tcW w:w="1182" w:type="dxa"/>
            <w:tcMar/>
          </w:tcPr>
          <w:p w:rsidR="2B7FFB25" w:rsidP="2B7FFB25" w:rsidRDefault="2B7FFB25" w14:paraId="5544C7E3" w14:textId="6A7FA619">
            <w:pPr>
              <w:jc w:val="center"/>
              <w:rPr>
                <w:rFonts w:hint="eastAsia"/>
              </w:rPr>
            </w:pPr>
            <w:r w:rsidRPr="2B7FFB25">
              <w:rPr>
                <w:rFonts w:ascii="Aptos" w:hAnsi="Aptos" w:eastAsia="Aptos" w:cs="Aptos"/>
                <w:sz w:val="20"/>
                <w:szCs w:val="20"/>
              </w:rPr>
              <w:t>Fukuyama, et al. (2021)</w:t>
            </w:r>
          </w:p>
        </w:tc>
        <w:tc>
          <w:tcPr>
            <w:tcW w:w="3648" w:type="dxa"/>
            <w:tcMar/>
          </w:tcPr>
          <w:p w:rsidR="2B7FFB25" w:rsidP="2B7FFB25" w:rsidRDefault="2B7FFB25" w14:paraId="63F21386" w14:textId="4BC3E79B">
            <w:pPr>
              <w:jc w:val="center"/>
              <w:rPr>
                <w:rFonts w:hint="eastAsia"/>
              </w:rPr>
            </w:pPr>
            <w:r w:rsidRPr="2B7FFB25">
              <w:rPr>
                <w:rFonts w:ascii="Aptos" w:hAnsi="Aptos" w:eastAsia="Aptos" w:cs="Aptos"/>
                <w:sz w:val="20"/>
                <w:szCs w:val="20"/>
              </w:rPr>
              <w:t xml:space="preserve"> Is corporate social responsibility (CSR) good for efficiency in the Chinese banking industry?</w:t>
            </w:r>
          </w:p>
        </w:tc>
        <w:tc>
          <w:tcPr>
            <w:tcW w:w="3648" w:type="dxa"/>
            <w:tcMar/>
          </w:tcPr>
          <w:p w:rsidR="4F940BA9" w:rsidP="4F940BA9" w:rsidRDefault="4F940BA9" w14:paraId="359D728C" w14:textId="6F00648E">
            <w:pPr>
              <w:pStyle w:val="Normal"/>
              <w:jc w:val="center"/>
              <w:rPr>
                <w:rFonts w:ascii="Aptos" w:hAnsi="Aptos" w:eastAsia="Aptos" w:cs="Aptos"/>
                <w:sz w:val="20"/>
                <w:szCs w:val="20"/>
              </w:rPr>
            </w:pPr>
          </w:p>
        </w:tc>
      </w:tr>
      <w:tr w:rsidR="2B7FFB25" w:rsidTr="4F940BA9" w14:paraId="78C2EDE0" w14:textId="77777777">
        <w:trPr>
          <w:trHeight w:val="284"/>
        </w:trPr>
        <w:tc>
          <w:tcPr>
            <w:tcW w:w="536" w:type="dxa"/>
            <w:tcMar/>
          </w:tcPr>
          <w:p w:rsidR="2B7FFB25" w:rsidP="2B7FFB25" w:rsidRDefault="2B7FFB25" w14:paraId="732D98C8" w14:textId="6D9A1F1B">
            <w:pPr>
              <w:jc w:val="center"/>
              <w:rPr>
                <w:rFonts w:hint="eastAsia" w:cs="Calibri"/>
                <w:sz w:val="20"/>
                <w:szCs w:val="20"/>
                <w:lang w:eastAsia="zh-CN"/>
              </w:rPr>
            </w:pPr>
            <w:r w:rsidRPr="2B7FFB25">
              <w:rPr>
                <w:rFonts w:cs="Calibri"/>
                <w:sz w:val="20"/>
                <w:szCs w:val="20"/>
                <w:lang w:eastAsia="zh-CN"/>
              </w:rPr>
              <w:t>17</w:t>
            </w:r>
          </w:p>
        </w:tc>
        <w:tc>
          <w:tcPr>
            <w:tcW w:w="1182" w:type="dxa"/>
            <w:tcMar/>
          </w:tcPr>
          <w:p w:rsidR="2B7FFB25" w:rsidP="2B7FFB25" w:rsidRDefault="2B7FFB25" w14:paraId="7C3AECC4" w14:textId="6D7F78E9">
            <w:pPr>
              <w:jc w:val="center"/>
              <w:rPr>
                <w:rFonts w:hint="eastAsia"/>
              </w:rPr>
            </w:pPr>
            <w:r w:rsidRPr="2B7FFB25">
              <w:rPr>
                <w:rFonts w:ascii="Aptos" w:hAnsi="Aptos" w:eastAsia="Aptos" w:cs="Aptos"/>
                <w:sz w:val="20"/>
                <w:szCs w:val="20"/>
              </w:rPr>
              <w:t>Dong et al. (2016)</w:t>
            </w:r>
          </w:p>
        </w:tc>
        <w:tc>
          <w:tcPr>
            <w:tcW w:w="3648" w:type="dxa"/>
            <w:tcMar/>
          </w:tcPr>
          <w:p w:rsidR="2B7FFB25" w:rsidP="2B7FFB25" w:rsidRDefault="2B7FFB25" w14:paraId="258DDCF4" w14:textId="78586413">
            <w:pPr>
              <w:jc w:val="center"/>
              <w:rPr>
                <w:rFonts w:hint="eastAsia"/>
              </w:rPr>
            </w:pPr>
            <w:r w:rsidRPr="2B7FFB25">
              <w:rPr>
                <w:rFonts w:ascii="Aptos" w:hAnsi="Aptos" w:eastAsia="Aptos" w:cs="Aptos"/>
                <w:sz w:val="20"/>
                <w:szCs w:val="20"/>
              </w:rPr>
              <w:t>To examine the cost and profit efficiency of four types of Chinese commercial banks over the period from 2002 to 2013.</w:t>
            </w:r>
          </w:p>
        </w:tc>
        <w:tc>
          <w:tcPr>
            <w:tcW w:w="3648" w:type="dxa"/>
            <w:tcMar/>
          </w:tcPr>
          <w:p w:rsidR="4F940BA9" w:rsidP="4F940BA9" w:rsidRDefault="4F940BA9" w14:paraId="4D346541" w14:textId="3B0B1AE9">
            <w:pPr>
              <w:pStyle w:val="Normal"/>
              <w:jc w:val="center"/>
              <w:rPr>
                <w:rFonts w:ascii="Aptos" w:hAnsi="Aptos" w:eastAsia="Aptos" w:cs="Aptos"/>
                <w:sz w:val="20"/>
                <w:szCs w:val="20"/>
              </w:rPr>
            </w:pPr>
          </w:p>
        </w:tc>
      </w:tr>
      <w:tr w:rsidR="2B7FFB25" w:rsidTr="4F940BA9" w14:paraId="734F26BF" w14:textId="77777777">
        <w:trPr>
          <w:trHeight w:val="284"/>
        </w:trPr>
        <w:tc>
          <w:tcPr>
            <w:tcW w:w="536" w:type="dxa"/>
            <w:tcMar/>
          </w:tcPr>
          <w:p w:rsidR="2B7FFB25" w:rsidP="2B7FFB25" w:rsidRDefault="2B7FFB25" w14:paraId="7D2BA5C8" w14:textId="350FF14F">
            <w:pPr>
              <w:jc w:val="center"/>
              <w:rPr>
                <w:rFonts w:hint="eastAsia" w:cs="Calibri"/>
                <w:sz w:val="20"/>
                <w:szCs w:val="20"/>
                <w:lang w:eastAsia="zh-CN"/>
              </w:rPr>
            </w:pPr>
            <w:r w:rsidRPr="2B7FFB25">
              <w:rPr>
                <w:rFonts w:cs="Calibri"/>
                <w:sz w:val="20"/>
                <w:szCs w:val="20"/>
                <w:lang w:eastAsia="zh-CN"/>
              </w:rPr>
              <w:t>12</w:t>
            </w:r>
          </w:p>
        </w:tc>
        <w:tc>
          <w:tcPr>
            <w:tcW w:w="1182" w:type="dxa"/>
            <w:tcMar/>
          </w:tcPr>
          <w:p w:rsidR="2B7FFB25" w:rsidP="2B7FFB25" w:rsidRDefault="2B7FFB25" w14:paraId="42E2DD52" w14:textId="52B1BFD9">
            <w:pPr>
              <w:jc w:val="center"/>
              <w:rPr>
                <w:rFonts w:hint="eastAsia"/>
              </w:rPr>
            </w:pPr>
            <w:r w:rsidRPr="2B7FFB25">
              <w:rPr>
                <w:rFonts w:ascii="Aptos" w:hAnsi="Aptos" w:eastAsia="Aptos" w:cs="Aptos"/>
                <w:sz w:val="20"/>
                <w:szCs w:val="20"/>
              </w:rPr>
              <w:t>Luo et al. (2011)</w:t>
            </w:r>
          </w:p>
        </w:tc>
        <w:tc>
          <w:tcPr>
            <w:tcW w:w="3648" w:type="dxa"/>
            <w:tcMar/>
          </w:tcPr>
          <w:p w:rsidR="2B7FFB25" w:rsidP="2B7FFB25" w:rsidRDefault="2B7FFB25" w14:paraId="39994C14" w14:textId="29CA3B30">
            <w:pPr>
              <w:jc w:val="center"/>
              <w:rPr>
                <w:rFonts w:hint="eastAsia"/>
              </w:rPr>
            </w:pPr>
            <w:r w:rsidRPr="2B7FFB25">
              <w:rPr>
                <w:rFonts w:ascii="Aptos" w:hAnsi="Aptos" w:eastAsia="Aptos" w:cs="Aptos"/>
                <w:sz w:val="20"/>
                <w:szCs w:val="20"/>
              </w:rPr>
              <w:t>To evaluate the effectiveness of stock listing on Chinese commercial banks’ efficiency using two different frontier approaches.</w:t>
            </w:r>
          </w:p>
        </w:tc>
        <w:tc>
          <w:tcPr>
            <w:tcW w:w="3648" w:type="dxa"/>
            <w:tcMar/>
          </w:tcPr>
          <w:p w:rsidR="4F940BA9" w:rsidP="4F940BA9" w:rsidRDefault="4F940BA9" w14:paraId="3DE34237" w14:textId="1DF55B7B">
            <w:pPr>
              <w:pStyle w:val="Normal"/>
              <w:jc w:val="center"/>
              <w:rPr>
                <w:rFonts w:ascii="Aptos" w:hAnsi="Aptos" w:eastAsia="Aptos" w:cs="Aptos"/>
                <w:sz w:val="20"/>
                <w:szCs w:val="20"/>
              </w:rPr>
            </w:pPr>
          </w:p>
        </w:tc>
      </w:tr>
      <w:tr w:rsidR="2B7FFB25" w:rsidTr="4F940BA9" w14:paraId="7BD4D090" w14:textId="77777777">
        <w:trPr>
          <w:trHeight w:val="284"/>
        </w:trPr>
        <w:tc>
          <w:tcPr>
            <w:tcW w:w="536" w:type="dxa"/>
            <w:tcMar/>
          </w:tcPr>
          <w:p w:rsidR="2B7FFB25" w:rsidP="2B7FFB25" w:rsidRDefault="2B7FFB25" w14:paraId="3C83933C" w14:textId="7FC87F23">
            <w:pPr>
              <w:jc w:val="center"/>
              <w:rPr>
                <w:rFonts w:hint="eastAsia" w:cs="Calibri"/>
                <w:sz w:val="20"/>
                <w:szCs w:val="20"/>
                <w:lang w:eastAsia="zh-CN"/>
              </w:rPr>
            </w:pPr>
            <w:r w:rsidRPr="2B7FFB25">
              <w:rPr>
                <w:rFonts w:cs="Calibri"/>
                <w:sz w:val="20"/>
                <w:szCs w:val="20"/>
                <w:lang w:eastAsia="zh-CN"/>
              </w:rPr>
              <w:t>2</w:t>
            </w:r>
          </w:p>
          <w:p w:rsidR="2B7FFB25" w:rsidP="2B7FFB25" w:rsidRDefault="2B7FFB25" w14:paraId="120CAD04" w14:textId="7C20EA47">
            <w:pPr>
              <w:jc w:val="center"/>
              <w:rPr>
                <w:rFonts w:hint="eastAsia" w:cs="Calibri"/>
                <w:sz w:val="20"/>
                <w:szCs w:val="20"/>
                <w:lang w:eastAsia="zh-CN"/>
              </w:rPr>
            </w:pPr>
          </w:p>
        </w:tc>
        <w:tc>
          <w:tcPr>
            <w:tcW w:w="1182" w:type="dxa"/>
            <w:tcMar/>
          </w:tcPr>
          <w:p w:rsidR="2B7FFB25" w:rsidP="2B7FFB25" w:rsidRDefault="2B7FFB25" w14:paraId="2E6C013E" w14:textId="02938DE8">
            <w:pPr>
              <w:jc w:val="center"/>
              <w:rPr>
                <w:rFonts w:hint="eastAsia"/>
              </w:rPr>
            </w:pPr>
            <w:r w:rsidRPr="2B7FFB25">
              <w:rPr>
                <w:rFonts w:ascii="Aptos" w:hAnsi="Aptos" w:eastAsia="Aptos" w:cs="Aptos"/>
                <w:sz w:val="20"/>
                <w:szCs w:val="20"/>
              </w:rPr>
              <w:t>Antunes et al. (2022)</w:t>
            </w:r>
          </w:p>
        </w:tc>
        <w:tc>
          <w:tcPr>
            <w:tcW w:w="3648" w:type="dxa"/>
            <w:tcMar/>
          </w:tcPr>
          <w:p w:rsidR="2B7FFB25" w:rsidP="2B7FFB25" w:rsidRDefault="2B7FFB25" w14:paraId="11A0611F" w14:textId="02A71606">
            <w:pPr>
              <w:jc w:val="center"/>
              <w:rPr>
                <w:rFonts w:hint="eastAsia"/>
              </w:rPr>
            </w:pPr>
            <w:r w:rsidRPr="2B7FFB25">
              <w:rPr>
                <w:rFonts w:ascii="Aptos" w:hAnsi="Aptos" w:eastAsia="Aptos" w:cs="Aptos"/>
                <w:sz w:val="20"/>
                <w:szCs w:val="20"/>
              </w:rPr>
              <w:t>To evaluate the efficiency of 39 Chinese commercial banks over the period 2010–2018. Also, in the second stage, investigates</w:t>
            </w:r>
          </w:p>
          <w:p w:rsidR="2B7FFB25" w:rsidP="2B7FFB25" w:rsidRDefault="2B7FFB25" w14:paraId="2068DEAD" w14:textId="5D0C1A45">
            <w:pPr>
              <w:jc w:val="center"/>
              <w:rPr>
                <w:rFonts w:hint="eastAsia"/>
              </w:rPr>
            </w:pPr>
            <w:r w:rsidRPr="2B7FFB25">
              <w:rPr>
                <w:rFonts w:ascii="Aptos" w:hAnsi="Aptos" w:eastAsia="Aptos" w:cs="Aptos"/>
                <w:sz w:val="20"/>
                <w:szCs w:val="20"/>
              </w:rPr>
              <w:t>the inter-relationships between efficiency and some bank-specific variables (i.e. bank profitability, bank size, expenses management, traditional business and non-traditional business) under the Robust Endogenous Neural Network Analysis.</w:t>
            </w:r>
          </w:p>
        </w:tc>
        <w:tc>
          <w:tcPr>
            <w:tcW w:w="3648" w:type="dxa"/>
            <w:tcMar/>
          </w:tcPr>
          <w:p w:rsidR="4F940BA9" w:rsidP="4F940BA9" w:rsidRDefault="4F940BA9" w14:paraId="4E9CD747" w14:textId="1876C64D">
            <w:pPr>
              <w:pStyle w:val="Normal"/>
              <w:jc w:val="center"/>
              <w:rPr>
                <w:rFonts w:ascii="Aptos" w:hAnsi="Aptos" w:eastAsia="Aptos" w:cs="Aptos"/>
                <w:sz w:val="20"/>
                <w:szCs w:val="20"/>
              </w:rPr>
            </w:pPr>
          </w:p>
        </w:tc>
      </w:tr>
      <w:tr w:rsidR="2B7FFB25" w:rsidTr="4F940BA9" w14:paraId="575EFDDE" w14:textId="77777777">
        <w:trPr>
          <w:trHeight w:val="284"/>
        </w:trPr>
        <w:tc>
          <w:tcPr>
            <w:tcW w:w="536" w:type="dxa"/>
            <w:tcMar/>
          </w:tcPr>
          <w:p w:rsidR="2B7FFB25" w:rsidP="2B7FFB25" w:rsidRDefault="2B7FFB25" w14:paraId="4704228B" w14:textId="059C9C80">
            <w:pPr>
              <w:jc w:val="center"/>
              <w:rPr>
                <w:rFonts w:hint="eastAsia" w:cs="Calibri"/>
                <w:sz w:val="20"/>
                <w:szCs w:val="20"/>
                <w:lang w:eastAsia="zh-CN"/>
              </w:rPr>
            </w:pPr>
            <w:r w:rsidRPr="2B7FFB25">
              <w:rPr>
                <w:rFonts w:cs="Calibri"/>
                <w:sz w:val="20"/>
                <w:szCs w:val="20"/>
                <w:lang w:eastAsia="zh-CN"/>
              </w:rPr>
              <w:t>46</w:t>
            </w:r>
          </w:p>
        </w:tc>
        <w:tc>
          <w:tcPr>
            <w:tcW w:w="1182" w:type="dxa"/>
            <w:tcMar/>
          </w:tcPr>
          <w:p w:rsidR="2B7FFB25" w:rsidP="2B7FFB25" w:rsidRDefault="2B7FFB25" w14:paraId="0129624A" w14:textId="3E972786">
            <w:pPr>
              <w:jc w:val="center"/>
              <w:rPr>
                <w:rFonts w:hint="eastAsia"/>
              </w:rPr>
            </w:pPr>
            <w:r w:rsidRPr="2B7FFB25">
              <w:rPr>
                <w:rFonts w:ascii="Aptos" w:hAnsi="Aptos" w:eastAsia="Aptos" w:cs="Aptos"/>
                <w:sz w:val="20"/>
                <w:szCs w:val="20"/>
              </w:rPr>
              <w:t>Bingquan et al. (2019)</w:t>
            </w:r>
          </w:p>
        </w:tc>
        <w:tc>
          <w:tcPr>
            <w:tcW w:w="3648" w:type="dxa"/>
            <w:tcMar/>
          </w:tcPr>
          <w:p w:rsidR="2B7FFB25" w:rsidP="2B7FFB25" w:rsidRDefault="2B7FFB25" w14:paraId="6EE13CDA" w14:textId="37005E7C">
            <w:pPr>
              <w:jc w:val="center"/>
              <w:rPr>
                <w:rFonts w:hint="eastAsia"/>
              </w:rPr>
            </w:pPr>
            <w:r w:rsidRPr="2B7FFB25">
              <w:rPr>
                <w:rFonts w:ascii="Aptos" w:hAnsi="Aptos" w:eastAsia="Aptos" w:cs="Aptos"/>
                <w:sz w:val="20"/>
                <w:szCs w:val="20"/>
              </w:rPr>
              <w:t>To address the relationship of Chinese urban commercial banks’ output loans around neighbouring regions and include the effect of the regional market environment on bank performance.</w:t>
            </w:r>
          </w:p>
        </w:tc>
        <w:tc>
          <w:tcPr>
            <w:tcW w:w="3648" w:type="dxa"/>
            <w:tcMar/>
          </w:tcPr>
          <w:p w:rsidR="4F940BA9" w:rsidP="4F940BA9" w:rsidRDefault="4F940BA9" w14:paraId="4F3BB63F" w14:textId="5E760DB3">
            <w:pPr>
              <w:pStyle w:val="Normal"/>
              <w:jc w:val="center"/>
              <w:rPr>
                <w:rFonts w:ascii="Aptos" w:hAnsi="Aptos" w:eastAsia="Aptos" w:cs="Aptos"/>
                <w:sz w:val="20"/>
                <w:szCs w:val="20"/>
              </w:rPr>
            </w:pPr>
          </w:p>
        </w:tc>
      </w:tr>
      <w:tr w:rsidR="2B7FFB25" w:rsidTr="4F940BA9" w14:paraId="4B668370" w14:textId="77777777">
        <w:trPr>
          <w:trHeight w:val="284"/>
        </w:trPr>
        <w:tc>
          <w:tcPr>
            <w:tcW w:w="536" w:type="dxa"/>
            <w:tcMar/>
          </w:tcPr>
          <w:p w:rsidR="2B7FFB25" w:rsidP="2B7FFB25" w:rsidRDefault="2B7FFB25" w14:paraId="312E2858" w14:textId="682078A4">
            <w:pPr>
              <w:jc w:val="center"/>
              <w:rPr>
                <w:rFonts w:hint="eastAsia" w:cs="Calibri"/>
                <w:sz w:val="20"/>
                <w:szCs w:val="20"/>
                <w:lang w:eastAsia="zh-CN"/>
              </w:rPr>
            </w:pPr>
            <w:r w:rsidRPr="2B7FFB25">
              <w:rPr>
                <w:rFonts w:cs="Calibri"/>
                <w:sz w:val="20"/>
                <w:szCs w:val="20"/>
                <w:lang w:eastAsia="zh-CN"/>
              </w:rPr>
              <w:t>42</w:t>
            </w:r>
          </w:p>
        </w:tc>
        <w:tc>
          <w:tcPr>
            <w:tcW w:w="1182" w:type="dxa"/>
            <w:tcMar/>
          </w:tcPr>
          <w:p w:rsidR="2B7FFB25" w:rsidP="2B7FFB25" w:rsidRDefault="2B7FFB25" w14:paraId="793136D0" w14:textId="38C74A46">
            <w:pPr>
              <w:jc w:val="center"/>
              <w:rPr>
                <w:rFonts w:hint="eastAsia"/>
              </w:rPr>
            </w:pPr>
            <w:r w:rsidRPr="2B7FFB25">
              <w:rPr>
                <w:rFonts w:ascii="Aptos" w:hAnsi="Aptos" w:eastAsia="Aptos" w:cs="Aptos"/>
                <w:sz w:val="20"/>
                <w:szCs w:val="20"/>
              </w:rPr>
              <w:t>Luo et al. (2010)</w:t>
            </w:r>
          </w:p>
        </w:tc>
        <w:tc>
          <w:tcPr>
            <w:tcW w:w="3648" w:type="dxa"/>
            <w:tcMar/>
          </w:tcPr>
          <w:p w:rsidR="2B7FFB25" w:rsidP="2B7FFB25" w:rsidRDefault="2B7FFB25" w14:paraId="4904BE22" w14:textId="5FDF9CF5">
            <w:pPr>
              <w:jc w:val="center"/>
              <w:rPr>
                <w:rFonts w:hint="eastAsia"/>
              </w:rPr>
            </w:pPr>
            <w:r w:rsidRPr="2B7FFB25">
              <w:rPr>
                <w:rFonts w:ascii="Aptos" w:hAnsi="Aptos" w:eastAsia="Aptos" w:cs="Aptos"/>
                <w:sz w:val="20"/>
                <w:szCs w:val="20"/>
              </w:rPr>
              <w:t>bank efficiency increased by almost 5% after listing. Despite the fact that Joint Equity Banks (JEBs) still perform better than SOBs, the latter manage to catch up and reduce the efficiency gap with the former during the past few years. This in part explains why the Chinese banking system has been less affected by the current world financial crisis than their western counterparts, leading to an important conclusion that SOB reforms in China over the past 10 years have produced remarkable results.</w:t>
            </w:r>
          </w:p>
        </w:tc>
        <w:tc>
          <w:tcPr>
            <w:tcW w:w="3648" w:type="dxa"/>
            <w:tcMar/>
          </w:tcPr>
          <w:p w:rsidR="4F940BA9" w:rsidP="4F940BA9" w:rsidRDefault="4F940BA9" w14:paraId="28D2F64D" w14:textId="7908DE02">
            <w:pPr>
              <w:pStyle w:val="Normal"/>
              <w:jc w:val="center"/>
              <w:rPr>
                <w:rFonts w:ascii="Aptos" w:hAnsi="Aptos" w:eastAsia="Aptos" w:cs="Aptos"/>
                <w:sz w:val="20"/>
                <w:szCs w:val="20"/>
              </w:rPr>
            </w:pPr>
          </w:p>
        </w:tc>
      </w:tr>
      <w:tr w:rsidR="4F940BA9" w:rsidTr="4F940BA9" w14:paraId="118FEE07">
        <w:trPr>
          <w:trHeight w:val="284"/>
        </w:trPr>
        <w:tc>
          <w:tcPr>
            <w:tcW w:w="536" w:type="dxa"/>
            <w:tcMar/>
          </w:tcPr>
          <w:p w:rsidR="7289E86B" w:rsidP="4F940BA9" w:rsidRDefault="7289E86B" w14:paraId="7859E1D1" w14:textId="6487E214">
            <w:pPr>
              <w:pStyle w:val="Normal"/>
              <w:jc w:val="center"/>
              <w:rPr>
                <w:rFonts w:cs="Calibri"/>
                <w:sz w:val="20"/>
                <w:szCs w:val="20"/>
                <w:lang w:eastAsia="zh-CN"/>
              </w:rPr>
            </w:pPr>
            <w:r w:rsidRPr="4F940BA9" w:rsidR="7289E86B">
              <w:rPr>
                <w:rFonts w:cs="Calibri"/>
                <w:sz w:val="20"/>
                <w:szCs w:val="20"/>
                <w:lang w:eastAsia="zh-CN"/>
              </w:rPr>
              <w:t>4</w:t>
            </w:r>
          </w:p>
        </w:tc>
        <w:tc>
          <w:tcPr>
            <w:tcW w:w="1182" w:type="dxa"/>
            <w:tcMar/>
          </w:tcPr>
          <w:p w:rsidR="4F940BA9" w:rsidP="4F940BA9" w:rsidRDefault="4F940BA9" w14:paraId="2BEA3314" w14:textId="72FC4D4A">
            <w:pPr>
              <w:spacing w:before="0" w:beforeAutospacing="off" w:after="0" w:afterAutospacing="off"/>
              <w:ind w:left="-20" w:right="-20"/>
              <w:jc w:val="center"/>
            </w:pPr>
            <w:r w:rsidRPr="4F940BA9" w:rsidR="4F940BA9">
              <w:rPr>
                <w:rFonts w:ascii="Calibri" w:hAnsi="Calibri" w:eastAsia="Calibri" w:cs="Calibri"/>
                <w:sz w:val="20"/>
                <w:szCs w:val="20"/>
                <w:lang w:val="en-GB"/>
              </w:rPr>
              <w:t>Wang et al. (2014)</w:t>
            </w:r>
          </w:p>
        </w:tc>
        <w:tc>
          <w:tcPr>
            <w:tcW w:w="3648" w:type="dxa"/>
            <w:tcMar/>
          </w:tcPr>
          <w:p w:rsidR="4F940BA9" w:rsidP="4F940BA9" w:rsidRDefault="4F940BA9" w14:paraId="727ECDE0" w14:textId="33155E01">
            <w:pPr>
              <w:spacing w:before="0" w:beforeAutospacing="off" w:after="0" w:afterAutospacing="off"/>
              <w:ind w:left="-20" w:right="-20"/>
            </w:pPr>
            <w:r w:rsidRPr="4F940BA9" w:rsidR="4F940BA9">
              <w:rPr>
                <w:rFonts w:ascii="Calibri" w:hAnsi="Calibri" w:eastAsia="Calibri" w:cs="Calibri"/>
                <w:sz w:val="20"/>
                <w:szCs w:val="20"/>
              </w:rPr>
              <w:t>This study is the first to use a two-stage strategy to evaluate the efficiency implications of ownership type in the Chinese banks. The two-stage DEA model developed in this research expands the literature on banking efficiency evaluation and inefficiency identification, provides accurate and current information on the efficiency of the Chinese bank industry, guiding the development and implementation of policies for future industry growth.</w:t>
            </w:r>
          </w:p>
          <w:p w:rsidR="4F940BA9" w:rsidP="4F940BA9" w:rsidRDefault="4F940BA9" w14:paraId="06D89763" w14:textId="2E208671">
            <w:pPr>
              <w:spacing w:before="0" w:beforeAutospacing="off" w:after="0" w:afterAutospacing="off"/>
              <w:ind w:left="-20" w:right="-20"/>
              <w:rPr>
                <w:rFonts w:ascii="Calibri" w:hAnsi="Calibri" w:eastAsia="Calibri" w:cs="Calibri"/>
                <w:sz w:val="20"/>
                <w:szCs w:val="20"/>
                <w:lang w:val="en-GB"/>
              </w:rPr>
            </w:pPr>
          </w:p>
        </w:tc>
        <w:tc>
          <w:tcPr>
            <w:tcW w:w="3648" w:type="dxa"/>
            <w:tcMar/>
          </w:tcPr>
          <w:p w:rsidR="4F940BA9" w:rsidP="4F940BA9" w:rsidRDefault="4F940BA9" w14:paraId="313A95DE" w14:textId="6123E6ED">
            <w:pPr>
              <w:pStyle w:val="Normal"/>
              <w:rPr>
                <w:rFonts w:ascii="Calibri" w:hAnsi="Calibri" w:eastAsia="Calibri" w:cs="Calibri"/>
                <w:sz w:val="20"/>
                <w:szCs w:val="20"/>
              </w:rPr>
            </w:pPr>
          </w:p>
        </w:tc>
      </w:tr>
      <w:tr w:rsidR="4F940BA9" w:rsidTr="4F940BA9" w14:paraId="27874856">
        <w:trPr>
          <w:trHeight w:val="284"/>
        </w:trPr>
        <w:tc>
          <w:tcPr>
            <w:tcW w:w="536" w:type="dxa"/>
            <w:tcMar/>
          </w:tcPr>
          <w:p w:rsidR="05397976" w:rsidP="4F940BA9" w:rsidRDefault="05397976" w14:paraId="00822BB0" w14:textId="578241EB">
            <w:pPr>
              <w:pStyle w:val="Normal"/>
              <w:jc w:val="center"/>
              <w:rPr>
                <w:rFonts w:cs="Calibri"/>
                <w:sz w:val="20"/>
                <w:szCs w:val="20"/>
                <w:lang w:eastAsia="zh-CN"/>
              </w:rPr>
            </w:pPr>
            <w:r w:rsidRPr="4F940BA9" w:rsidR="05397976">
              <w:rPr>
                <w:rFonts w:cs="Calibri"/>
                <w:sz w:val="20"/>
                <w:szCs w:val="20"/>
                <w:lang w:eastAsia="zh-CN"/>
              </w:rPr>
              <w:t>14</w:t>
            </w:r>
          </w:p>
        </w:tc>
        <w:tc>
          <w:tcPr>
            <w:tcW w:w="1182" w:type="dxa"/>
            <w:tcMar/>
          </w:tcPr>
          <w:p w:rsidR="4F940BA9" w:rsidP="4F940BA9" w:rsidRDefault="4F940BA9" w14:paraId="4B482B70" w14:textId="7777AA2E">
            <w:pPr>
              <w:spacing w:before="0" w:beforeAutospacing="off" w:after="0" w:afterAutospacing="off"/>
              <w:ind w:left="-20" w:right="-20"/>
              <w:jc w:val="center"/>
            </w:pPr>
            <w:r w:rsidRPr="4F940BA9" w:rsidR="4F940BA9">
              <w:rPr>
                <w:rFonts w:ascii="Arial" w:hAnsi="Arial" w:eastAsia="Arial" w:cs="Arial"/>
                <w:color w:val="222222"/>
                <w:sz w:val="20"/>
                <w:szCs w:val="20"/>
                <w:lang w:val="en-GB"/>
              </w:rPr>
              <w:t>Fukuyama, H., Tsionas, M. and Tan, Y.,</w:t>
            </w:r>
            <w:r w:rsidRPr="4F940BA9" w:rsidR="4F940BA9">
              <w:rPr>
                <w:rFonts w:ascii="Calibri" w:hAnsi="Calibri" w:eastAsia="Calibri" w:cs="Calibri"/>
                <w:sz w:val="20"/>
                <w:szCs w:val="20"/>
                <w:lang w:val="en-GB"/>
              </w:rPr>
              <w:t xml:space="preserve"> (2023) </w:t>
            </w:r>
          </w:p>
        </w:tc>
        <w:tc>
          <w:tcPr>
            <w:tcW w:w="3648" w:type="dxa"/>
            <w:tcMar/>
          </w:tcPr>
          <w:p w:rsidR="4F940BA9" w:rsidP="4F940BA9" w:rsidRDefault="4F940BA9" w14:paraId="1E5A587F" w14:textId="048101F9">
            <w:pPr>
              <w:spacing w:before="0" w:beforeAutospacing="off" w:after="0" w:afterAutospacing="off"/>
              <w:ind w:left="-20" w:right="-20"/>
            </w:pPr>
            <w:r w:rsidRPr="4F940BA9" w:rsidR="4F940BA9">
              <w:rPr>
                <w:rFonts w:ascii="Calibri" w:hAnsi="Calibri" w:eastAsia="Calibri" w:cs="Calibri"/>
                <w:sz w:val="22"/>
                <w:szCs w:val="22"/>
                <w:lang w:val="en-GB"/>
              </w:rPr>
              <w:t>the development and application of a novel dynamic network data envelopment analysis model that integrates sequential structure, behavioral-causal analysis, and dynamic characteristics to evaluate the relative efficiency of DMUs within the Chinese banking industry. This contributes to the advancement of research in the field of performance evaluation and management within the banking industry, addressing inefficiency and risk assessment through advanced analytical techniques.</w:t>
            </w:r>
          </w:p>
        </w:tc>
        <w:tc>
          <w:tcPr>
            <w:tcW w:w="3648" w:type="dxa"/>
            <w:tcMar/>
          </w:tcPr>
          <w:p w:rsidR="4F940BA9" w:rsidP="4F940BA9" w:rsidRDefault="4F940BA9" w14:paraId="716B6FF4" w14:textId="26992BCE">
            <w:pPr>
              <w:spacing w:before="0" w:beforeAutospacing="off" w:after="0" w:afterAutospacing="off"/>
              <w:ind w:left="-20" w:right="-20"/>
              <w:rPr>
                <w:rFonts w:ascii="Calibri" w:hAnsi="Calibri" w:eastAsia="Calibri" w:cs="Calibri"/>
                <w:sz w:val="22"/>
                <w:szCs w:val="22"/>
                <w:lang w:val="en-GB"/>
              </w:rPr>
            </w:pPr>
          </w:p>
        </w:tc>
      </w:tr>
      <w:tr w:rsidR="4F940BA9" w:rsidTr="4F940BA9" w14:paraId="6121F284">
        <w:trPr>
          <w:trHeight w:val="284"/>
        </w:trPr>
        <w:tc>
          <w:tcPr>
            <w:tcW w:w="536" w:type="dxa"/>
            <w:tcMar/>
          </w:tcPr>
          <w:p w:rsidR="69DB1DFF" w:rsidP="4F940BA9" w:rsidRDefault="69DB1DFF" w14:paraId="2113CA0F" w14:textId="0E65A26A">
            <w:pPr>
              <w:pStyle w:val="Normal"/>
              <w:jc w:val="center"/>
              <w:rPr>
                <w:rFonts w:cs="Calibri"/>
                <w:sz w:val="20"/>
                <w:szCs w:val="20"/>
                <w:lang w:eastAsia="zh-CN"/>
              </w:rPr>
            </w:pPr>
            <w:r w:rsidRPr="4F940BA9" w:rsidR="69DB1DFF">
              <w:rPr>
                <w:rFonts w:cs="Calibri"/>
                <w:sz w:val="20"/>
                <w:szCs w:val="20"/>
                <w:lang w:eastAsia="zh-CN"/>
              </w:rPr>
              <w:t>19</w:t>
            </w:r>
          </w:p>
        </w:tc>
        <w:tc>
          <w:tcPr>
            <w:tcW w:w="1182" w:type="dxa"/>
            <w:tcMar/>
          </w:tcPr>
          <w:p w:rsidR="4F940BA9" w:rsidP="4F940BA9" w:rsidRDefault="4F940BA9" w14:paraId="5A40E119" w14:textId="1A7E8391">
            <w:pPr>
              <w:spacing w:before="0" w:beforeAutospacing="off" w:after="0" w:afterAutospacing="off"/>
              <w:ind w:left="-20" w:right="-20"/>
              <w:jc w:val="center"/>
            </w:pPr>
            <w:r w:rsidRPr="4F940BA9" w:rsidR="4F940BA9">
              <w:rPr>
                <w:rFonts w:ascii="Arial" w:hAnsi="Arial" w:eastAsia="Arial" w:cs="Arial"/>
                <w:color w:val="222222"/>
                <w:sz w:val="20"/>
                <w:szCs w:val="20"/>
                <w:lang w:val="en-GB"/>
              </w:rPr>
              <w:t xml:space="preserve">Zhou, X.,(2019) </w:t>
            </w:r>
          </w:p>
        </w:tc>
        <w:tc>
          <w:tcPr>
            <w:tcW w:w="3648" w:type="dxa"/>
            <w:tcMar/>
          </w:tcPr>
          <w:p w:rsidR="4F940BA9" w:rsidP="4F940BA9" w:rsidRDefault="4F940BA9" w14:paraId="2280F8CF" w14:textId="58044DA2">
            <w:pPr>
              <w:spacing w:before="0" w:beforeAutospacing="off" w:after="0" w:afterAutospacing="off"/>
              <w:ind w:left="-20" w:right="-20"/>
            </w:pPr>
            <w:r w:rsidRPr="4F940BA9" w:rsidR="4F940BA9">
              <w:rPr>
                <w:rFonts w:ascii="Calibri" w:hAnsi="Calibri" w:eastAsia="Calibri" w:cs="Calibri"/>
                <w:sz w:val="22"/>
                <w:szCs w:val="22"/>
                <w:lang w:val="en-GB"/>
              </w:rPr>
              <w:t>the development of a comprehensive network DEA model for the performance evaluation of commercial bank branches in dynamic competitive conditions, providing valuable insights for commercial banks to enhance their operational efficiency and overall performance in a dynamic and competitive environment</w:t>
            </w:r>
          </w:p>
        </w:tc>
        <w:tc>
          <w:tcPr>
            <w:tcW w:w="3648" w:type="dxa"/>
            <w:tcMar/>
          </w:tcPr>
          <w:p w:rsidR="4F940BA9" w:rsidP="4F940BA9" w:rsidRDefault="4F940BA9" w14:paraId="0478FEE9" w14:textId="4651C687">
            <w:pPr>
              <w:spacing w:before="0" w:beforeAutospacing="off" w:after="0" w:afterAutospacing="off"/>
              <w:ind w:left="-20" w:right="-20"/>
              <w:rPr>
                <w:rFonts w:ascii="Calibri" w:hAnsi="Calibri" w:eastAsia="Calibri" w:cs="Calibri"/>
                <w:sz w:val="22"/>
                <w:szCs w:val="22"/>
                <w:lang w:val="en-GB"/>
              </w:rPr>
            </w:pPr>
          </w:p>
        </w:tc>
      </w:tr>
      <w:tr w:rsidR="4F940BA9" w:rsidTr="4F940BA9" w14:paraId="506C21E9">
        <w:trPr>
          <w:trHeight w:val="284"/>
        </w:trPr>
        <w:tc>
          <w:tcPr>
            <w:tcW w:w="536" w:type="dxa"/>
            <w:tcMar/>
          </w:tcPr>
          <w:p w:rsidR="4F940BA9" w:rsidP="4F940BA9" w:rsidRDefault="4F940BA9" w14:paraId="698DFCAB" w14:textId="22B52224">
            <w:pPr>
              <w:spacing w:before="0" w:beforeAutospacing="off" w:after="0" w:afterAutospacing="off"/>
              <w:ind w:left="-20" w:right="-20"/>
              <w:jc w:val="center"/>
            </w:pPr>
            <w:r w:rsidRPr="4F940BA9" w:rsidR="4F940BA9">
              <w:rPr>
                <w:rFonts w:ascii="Arial" w:hAnsi="Arial" w:eastAsia="Arial" w:cs="Arial"/>
                <w:color w:val="222222"/>
                <w:sz w:val="20"/>
                <w:szCs w:val="20"/>
                <w:lang w:val="en-GB"/>
              </w:rPr>
              <w:t>29</w:t>
            </w:r>
          </w:p>
        </w:tc>
        <w:tc>
          <w:tcPr>
            <w:tcW w:w="1182" w:type="dxa"/>
            <w:tcMar/>
          </w:tcPr>
          <w:p w:rsidR="4F940BA9" w:rsidP="4F940BA9" w:rsidRDefault="4F940BA9" w14:paraId="0007CB0C" w14:textId="703CFC19">
            <w:pPr>
              <w:spacing w:before="0" w:beforeAutospacing="off" w:after="0" w:afterAutospacing="off"/>
              <w:ind w:left="-20" w:right="-20"/>
              <w:jc w:val="center"/>
            </w:pPr>
            <w:r w:rsidRPr="4F940BA9" w:rsidR="4F940BA9">
              <w:rPr>
                <w:rFonts w:ascii="Arial" w:hAnsi="Arial" w:eastAsia="Arial" w:cs="Arial"/>
                <w:color w:val="222222"/>
                <w:sz w:val="20"/>
                <w:szCs w:val="20"/>
                <w:lang w:val="en-GB"/>
              </w:rPr>
              <w:t xml:space="preserve">Boussemart, J.P. (2019) </w:t>
            </w:r>
          </w:p>
        </w:tc>
        <w:tc>
          <w:tcPr>
            <w:tcW w:w="3648" w:type="dxa"/>
            <w:tcMar/>
          </w:tcPr>
          <w:p w:rsidR="4F940BA9" w:rsidP="4F940BA9" w:rsidRDefault="4F940BA9" w14:paraId="6C0DBE4D" w14:textId="4E54FA07">
            <w:pPr>
              <w:spacing w:before="0" w:beforeAutospacing="off" w:after="0" w:afterAutospacing="off"/>
              <w:ind w:left="-20" w:right="-20"/>
            </w:pPr>
            <w:r w:rsidRPr="4F940BA9" w:rsidR="4F940BA9">
              <w:rPr>
                <w:rFonts w:ascii="Calibri" w:hAnsi="Calibri" w:eastAsia="Calibri" w:cs="Calibri"/>
                <w:sz w:val="22"/>
                <w:szCs w:val="22"/>
                <w:lang w:val="en-GB"/>
              </w:rPr>
              <w:t>This paper uses a network DEA modelling framework that separates performance into economic and credit risk efficiencies. The approach allows for the separate measurement of economic efficiency, derived from the production of good outputs, and credit risk management efficiency, related to the minimization of non-performing loans</w:t>
            </w:r>
          </w:p>
        </w:tc>
        <w:tc>
          <w:tcPr>
            <w:tcW w:w="3648" w:type="dxa"/>
            <w:tcMar/>
          </w:tcPr>
          <w:p w:rsidR="4F940BA9" w:rsidP="4F940BA9" w:rsidRDefault="4F940BA9" w14:paraId="14005C25" w14:textId="69EF0747">
            <w:pPr>
              <w:pStyle w:val="Normal"/>
              <w:jc w:val="center"/>
              <w:rPr>
                <w:rFonts w:ascii="Aptos" w:hAnsi="Aptos" w:eastAsia="Aptos" w:cs="Aptos"/>
                <w:sz w:val="20"/>
                <w:szCs w:val="20"/>
              </w:rPr>
            </w:pPr>
          </w:p>
        </w:tc>
      </w:tr>
      <w:tr w:rsidR="4F940BA9" w:rsidTr="4F940BA9" w14:paraId="576F27F6">
        <w:trPr>
          <w:trHeight w:val="284"/>
        </w:trPr>
        <w:tc>
          <w:tcPr>
            <w:tcW w:w="536" w:type="dxa"/>
            <w:tcMar/>
          </w:tcPr>
          <w:p w:rsidR="4F940BA9" w:rsidP="4F940BA9" w:rsidRDefault="4F940BA9" w14:paraId="562609DA" w14:textId="7A9A9AD8">
            <w:pPr>
              <w:spacing w:before="0" w:beforeAutospacing="off" w:after="0" w:afterAutospacing="off"/>
              <w:ind w:left="-20" w:right="-20"/>
              <w:jc w:val="center"/>
            </w:pPr>
            <w:r w:rsidRPr="4F940BA9" w:rsidR="4F940BA9">
              <w:rPr>
                <w:rFonts w:ascii="Arial" w:hAnsi="Arial" w:eastAsia="Arial" w:cs="Arial"/>
                <w:color w:val="222222"/>
                <w:sz w:val="20"/>
                <w:szCs w:val="20"/>
                <w:lang w:val="en-GB"/>
              </w:rPr>
              <w:t>48</w:t>
            </w:r>
          </w:p>
        </w:tc>
        <w:tc>
          <w:tcPr>
            <w:tcW w:w="1182" w:type="dxa"/>
            <w:tcMar/>
          </w:tcPr>
          <w:p w:rsidR="4F940BA9" w:rsidP="4F940BA9" w:rsidRDefault="4F940BA9" w14:paraId="48F2F88D" w14:textId="59789E47">
            <w:pPr>
              <w:spacing w:before="0" w:beforeAutospacing="off" w:after="0" w:afterAutospacing="off"/>
              <w:ind w:left="-20" w:right="-20"/>
            </w:pPr>
            <w:r w:rsidRPr="4F940BA9" w:rsidR="4F940BA9">
              <w:rPr>
                <w:rFonts w:ascii="Calibri" w:hAnsi="Calibri" w:eastAsia="Calibri" w:cs="Calibri"/>
                <w:sz w:val="22"/>
                <w:szCs w:val="22"/>
                <w:lang w:val="en-GB"/>
              </w:rPr>
              <w:t>Yan Luo, Gongbing Bi, Liang Liang (2012)</w:t>
            </w:r>
          </w:p>
        </w:tc>
        <w:tc>
          <w:tcPr>
            <w:tcW w:w="3648" w:type="dxa"/>
            <w:tcMar/>
          </w:tcPr>
          <w:p w:rsidR="4F940BA9" w:rsidP="4F940BA9" w:rsidRDefault="4F940BA9" w14:paraId="74D5526C" w14:textId="22A0DCD3">
            <w:pPr>
              <w:spacing w:before="0" w:beforeAutospacing="off" w:after="0" w:afterAutospacing="off"/>
              <w:ind w:left="-20" w:right="-20"/>
            </w:pPr>
            <w:r w:rsidRPr="4F940BA9" w:rsidR="4F940BA9">
              <w:rPr>
                <w:rFonts w:ascii="Calibri" w:hAnsi="Calibri" w:eastAsia="Calibri" w:cs="Calibri"/>
                <w:sz w:val="22"/>
                <w:szCs w:val="22"/>
                <w:lang w:val="en-GB"/>
              </w:rPr>
              <w:t>a new method for choosing DEA variables based on the concept of cash value added (CVA). This method is proposed to be more objective, providing managers and researchers with relevant variables and exact status designations, and the data can be easily obtained from balance sheets and cash flow statements</w:t>
            </w:r>
          </w:p>
        </w:tc>
        <w:tc>
          <w:tcPr>
            <w:tcW w:w="3648" w:type="dxa"/>
            <w:tcMar/>
          </w:tcPr>
          <w:p w:rsidR="4F940BA9" w:rsidP="4F940BA9" w:rsidRDefault="4F940BA9" w14:paraId="1E438804" w14:textId="1234C4F5">
            <w:pPr>
              <w:pStyle w:val="Normal"/>
              <w:jc w:val="center"/>
              <w:rPr>
                <w:rFonts w:ascii="Aptos" w:hAnsi="Aptos" w:eastAsia="Aptos" w:cs="Aptos"/>
                <w:sz w:val="20"/>
                <w:szCs w:val="20"/>
              </w:rPr>
            </w:pPr>
          </w:p>
        </w:tc>
      </w:tr>
      <w:tr w:rsidR="4F940BA9" w:rsidTr="4F940BA9" w14:paraId="5A6AD94A">
        <w:trPr>
          <w:trHeight w:val="284"/>
        </w:trPr>
        <w:tc>
          <w:tcPr>
            <w:tcW w:w="536" w:type="dxa"/>
            <w:tcMar/>
          </w:tcPr>
          <w:p w:rsidR="4F940BA9" w:rsidP="4F940BA9" w:rsidRDefault="4F940BA9" w14:paraId="593075DB" w14:textId="7512BA3D">
            <w:pPr>
              <w:spacing w:before="0" w:beforeAutospacing="off" w:after="0" w:afterAutospacing="off"/>
              <w:ind w:left="-20" w:right="-20"/>
              <w:jc w:val="center"/>
            </w:pPr>
            <w:r w:rsidRPr="4F940BA9" w:rsidR="4F940BA9">
              <w:rPr>
                <w:rFonts w:ascii="Arial" w:hAnsi="Arial" w:eastAsia="Arial" w:cs="Arial"/>
                <w:color w:val="222222"/>
                <w:sz w:val="20"/>
                <w:szCs w:val="20"/>
                <w:lang w:val="en-GB"/>
              </w:rPr>
              <w:t>47</w:t>
            </w:r>
          </w:p>
        </w:tc>
        <w:tc>
          <w:tcPr>
            <w:tcW w:w="1182" w:type="dxa"/>
            <w:tcMar/>
          </w:tcPr>
          <w:p w:rsidR="4F940BA9" w:rsidP="4F940BA9" w:rsidRDefault="4F940BA9" w14:paraId="5C9E27D8" w14:textId="4AE28F9D">
            <w:pPr>
              <w:spacing w:before="0" w:beforeAutospacing="off" w:after="0" w:afterAutospacing="off"/>
              <w:ind w:left="-20" w:right="-20"/>
            </w:pPr>
            <w:r w:rsidRPr="4F940BA9" w:rsidR="4F940BA9">
              <w:rPr>
                <w:rFonts w:ascii="Calibri" w:hAnsi="Calibri" w:eastAsia="Calibri" w:cs="Calibri"/>
                <w:color w:val="000000" w:themeColor="text1" w:themeTint="FF" w:themeShade="FF"/>
                <w:sz w:val="24"/>
                <w:szCs w:val="24"/>
                <w:lang w:val="en-GB"/>
              </w:rPr>
              <w:t xml:space="preserve"> </w:t>
            </w:r>
          </w:p>
          <w:p w:rsidR="4F940BA9" w:rsidP="4F940BA9" w:rsidRDefault="4F940BA9" w14:paraId="4CFFDA30" w14:textId="5BBE520E">
            <w:pPr>
              <w:spacing w:before="0" w:beforeAutospacing="off" w:after="0" w:afterAutospacing="off"/>
              <w:ind w:left="-20" w:right="-20"/>
              <w:jc w:val="center"/>
            </w:pPr>
            <w:r w:rsidRPr="4F940BA9" w:rsidR="4F940BA9">
              <w:rPr>
                <w:rFonts w:ascii="Calibri" w:hAnsi="Calibri" w:eastAsia="Calibri" w:cs="Calibri"/>
                <w:sz w:val="22"/>
                <w:szCs w:val="22"/>
                <w:lang w:val="en-GB"/>
              </w:rPr>
              <w:t xml:space="preserve"> </w:t>
            </w:r>
            <w:r w:rsidRPr="4F940BA9" w:rsidR="4F940BA9">
              <w:rPr>
                <w:rFonts w:ascii="Calibri" w:hAnsi="Calibri" w:eastAsia="Calibri" w:cs="Calibri"/>
                <w:sz w:val="21"/>
                <w:szCs w:val="21"/>
                <w:lang w:val="en-GB"/>
              </w:rPr>
              <w:t>Jorge Antunes(2024)</w:t>
            </w:r>
          </w:p>
        </w:tc>
        <w:tc>
          <w:tcPr>
            <w:tcW w:w="3648" w:type="dxa"/>
            <w:tcMar/>
          </w:tcPr>
          <w:p w:rsidR="4F940BA9" w:rsidP="4F940BA9" w:rsidRDefault="4F940BA9" w14:paraId="259716E1" w14:textId="7921F64A">
            <w:pPr>
              <w:spacing w:before="0" w:beforeAutospacing="off" w:after="0" w:afterAutospacing="off"/>
              <w:ind w:left="-20" w:right="-20"/>
            </w:pPr>
            <w:r w:rsidRPr="4F940BA9" w:rsidR="4F940BA9">
              <w:rPr>
                <w:rFonts w:ascii="Calibri" w:hAnsi="Calibri" w:eastAsia="Calibri" w:cs="Calibri"/>
                <w:sz w:val="13"/>
                <w:szCs w:val="13"/>
                <w:lang w:val="en-GB"/>
              </w:rPr>
              <w:t xml:space="preserve"> </w:t>
            </w:r>
            <w:r w:rsidRPr="4F940BA9" w:rsidR="4F940BA9">
              <w:rPr>
                <w:rFonts w:ascii="Calibri" w:hAnsi="Calibri" w:eastAsia="Calibri" w:cs="Calibri"/>
                <w:sz w:val="22"/>
                <w:szCs w:val="22"/>
                <w:lang w:val="en-GB"/>
              </w:rPr>
              <w:t>firstly, it introduces a new DEA model that accounts for time-series data when computing cost efficiency and allows for cost-saving and comparative analysis. Secondly, it proposes a SSRP Model to analyze non-linear relationships between efficiency and various bank-specific variables, enhancing the accuracy of results</w:t>
            </w:r>
          </w:p>
        </w:tc>
        <w:tc>
          <w:tcPr>
            <w:tcW w:w="3648" w:type="dxa"/>
            <w:tcMar/>
          </w:tcPr>
          <w:p w:rsidR="4F940BA9" w:rsidP="4F940BA9" w:rsidRDefault="4F940BA9" w14:paraId="4C9864AB" w14:textId="521E062C">
            <w:pPr>
              <w:pStyle w:val="Normal"/>
              <w:jc w:val="center"/>
              <w:rPr>
                <w:rFonts w:ascii="Aptos" w:hAnsi="Aptos" w:eastAsia="Aptos" w:cs="Aptos"/>
                <w:sz w:val="20"/>
                <w:szCs w:val="20"/>
              </w:rPr>
            </w:pPr>
          </w:p>
        </w:tc>
      </w:tr>
      <w:tr w:rsidR="4F940BA9" w:rsidTr="4F940BA9" w14:paraId="0BF1CF97">
        <w:trPr>
          <w:trHeight w:val="284"/>
        </w:trPr>
        <w:tc>
          <w:tcPr>
            <w:tcW w:w="536" w:type="dxa"/>
            <w:tcMar/>
          </w:tcPr>
          <w:p w:rsidR="4F940BA9" w:rsidP="4F940BA9" w:rsidRDefault="4F940BA9" w14:paraId="5C32262E" w14:textId="37ACA870">
            <w:pPr>
              <w:spacing w:before="0" w:beforeAutospacing="off" w:after="0" w:afterAutospacing="off"/>
              <w:ind w:left="-20" w:right="-20"/>
              <w:jc w:val="center"/>
            </w:pPr>
            <w:r w:rsidRPr="4F940BA9" w:rsidR="4F940BA9">
              <w:rPr>
                <w:rFonts w:ascii="Arial" w:hAnsi="Arial" w:eastAsia="Arial" w:cs="Arial"/>
                <w:color w:val="222222"/>
                <w:sz w:val="20"/>
                <w:szCs w:val="20"/>
                <w:lang w:val="en-GB"/>
              </w:rPr>
              <w:t>34</w:t>
            </w:r>
          </w:p>
        </w:tc>
        <w:tc>
          <w:tcPr>
            <w:tcW w:w="1182" w:type="dxa"/>
            <w:tcMar/>
          </w:tcPr>
          <w:p w:rsidR="4F940BA9" w:rsidP="4F940BA9" w:rsidRDefault="4F940BA9" w14:paraId="201F29D9" w14:textId="635E6C7D">
            <w:pPr>
              <w:spacing w:before="0" w:beforeAutospacing="off" w:after="0" w:afterAutospacing="off"/>
              <w:ind w:left="-20" w:right="-20"/>
              <w:jc w:val="center"/>
            </w:pPr>
            <w:r w:rsidRPr="4F940BA9" w:rsidR="4F940BA9">
              <w:rPr>
                <w:rFonts w:ascii="Calibri" w:hAnsi="Calibri" w:eastAsia="Calibri" w:cs="Calibri"/>
                <w:sz w:val="24"/>
                <w:szCs w:val="24"/>
              </w:rPr>
              <w:t xml:space="preserve">Yongjun Li(2019) </w:t>
            </w:r>
          </w:p>
        </w:tc>
        <w:tc>
          <w:tcPr>
            <w:tcW w:w="3648" w:type="dxa"/>
            <w:tcMar/>
          </w:tcPr>
          <w:p w:rsidR="4F940BA9" w:rsidP="4F940BA9" w:rsidRDefault="4F940BA9" w14:paraId="7ED74091" w14:textId="5045D218">
            <w:pPr>
              <w:spacing w:before="0" w:beforeAutospacing="off" w:after="0" w:afterAutospacing="off"/>
              <w:ind w:left="-20" w:right="-20"/>
            </w:pPr>
            <w:r w:rsidRPr="4F940BA9" w:rsidR="4F940BA9">
              <w:rPr>
                <w:rFonts w:ascii="Calibri" w:hAnsi="Calibri" w:eastAsia="Calibri" w:cs="Calibri"/>
                <w:sz w:val="22"/>
                <w:szCs w:val="22"/>
                <w:lang w:val="en-GB"/>
              </w:rPr>
              <w:t>Develops  a method to obtain ranking intervals for classic two-stage production systems. This method considers the internal structure of a bank and divides the production process into two subsystems, allowing for a more nuanced analysis of efficiency</w:t>
            </w:r>
          </w:p>
        </w:tc>
        <w:tc>
          <w:tcPr>
            <w:tcW w:w="3648" w:type="dxa"/>
            <w:tcMar/>
          </w:tcPr>
          <w:p w:rsidR="4F940BA9" w:rsidP="4F940BA9" w:rsidRDefault="4F940BA9" w14:paraId="44D0A663" w14:textId="6B357411">
            <w:pPr>
              <w:pStyle w:val="Normal"/>
              <w:jc w:val="center"/>
              <w:rPr>
                <w:rFonts w:ascii="Aptos" w:hAnsi="Aptos" w:eastAsia="Aptos" w:cs="Aptos"/>
                <w:sz w:val="20"/>
                <w:szCs w:val="20"/>
              </w:rPr>
            </w:pPr>
          </w:p>
        </w:tc>
      </w:tr>
      <w:tr w:rsidR="4F940BA9" w:rsidTr="4F940BA9" w14:paraId="148D3473">
        <w:trPr>
          <w:trHeight w:val="284"/>
        </w:trPr>
        <w:tc>
          <w:tcPr>
            <w:tcW w:w="536" w:type="dxa"/>
            <w:tcMar/>
          </w:tcPr>
          <w:p w:rsidR="4F940BA9" w:rsidP="4F940BA9" w:rsidRDefault="4F940BA9" w14:paraId="1411A4A9" w14:textId="36FD360B">
            <w:pPr>
              <w:spacing w:before="0" w:beforeAutospacing="off" w:after="0" w:afterAutospacing="off"/>
              <w:ind w:left="-20" w:right="-20"/>
              <w:jc w:val="center"/>
            </w:pPr>
            <w:r w:rsidRPr="4F940BA9" w:rsidR="4F940BA9">
              <w:rPr>
                <w:rFonts w:ascii="Arial" w:hAnsi="Arial" w:eastAsia="Arial" w:cs="Arial"/>
                <w:color w:val="222222"/>
                <w:sz w:val="20"/>
                <w:szCs w:val="20"/>
                <w:lang w:val="en-GB"/>
              </w:rPr>
              <w:t>39</w:t>
            </w:r>
          </w:p>
        </w:tc>
        <w:tc>
          <w:tcPr>
            <w:tcW w:w="1182" w:type="dxa"/>
            <w:tcMar/>
          </w:tcPr>
          <w:p w:rsidR="4F940BA9" w:rsidP="4F940BA9" w:rsidRDefault="4F940BA9" w14:paraId="08B84EAB" w14:textId="68370C86">
            <w:pPr>
              <w:spacing w:before="0" w:beforeAutospacing="off" w:after="0" w:afterAutospacing="off"/>
              <w:ind w:left="-20" w:right="-20"/>
              <w:jc w:val="center"/>
            </w:pPr>
            <w:r w:rsidRPr="4F940BA9" w:rsidR="4F940BA9">
              <w:rPr>
                <w:rFonts w:ascii="Calibri" w:hAnsi="Calibri" w:eastAsia="Calibri" w:cs="Calibri"/>
                <w:sz w:val="22"/>
                <w:szCs w:val="22"/>
                <w:lang w:val="en-GB"/>
              </w:rPr>
              <w:t>Tai-Hsin Huang a, Chung-I Lin b,</w:t>
            </w:r>
            <w:r w:rsidRPr="4F940BA9" w:rsidR="4F940BA9">
              <w:rPr>
                <w:rFonts w:ascii="Segoe UI Symbol" w:hAnsi="Segoe UI Symbol" w:eastAsia="Segoe UI Symbol" w:cs="Segoe UI Symbol"/>
                <w:sz w:val="22"/>
                <w:szCs w:val="22"/>
                <w:lang w:val="en-GB"/>
              </w:rPr>
              <w:t>⁎</w:t>
            </w:r>
            <w:r w:rsidRPr="4F940BA9" w:rsidR="4F940BA9">
              <w:rPr>
                <w:rFonts w:ascii="Calibri" w:hAnsi="Calibri" w:eastAsia="Calibri" w:cs="Calibri"/>
                <w:sz w:val="22"/>
                <w:szCs w:val="22"/>
                <w:lang w:val="en-GB"/>
              </w:rPr>
              <w:t>, Kuan-Chen Chenc(2017)</w:t>
            </w:r>
          </w:p>
        </w:tc>
        <w:tc>
          <w:tcPr>
            <w:tcW w:w="3648" w:type="dxa"/>
            <w:tcMar/>
          </w:tcPr>
          <w:p w:rsidR="4F940BA9" w:rsidP="4F940BA9" w:rsidRDefault="4F940BA9" w14:paraId="075A4CDC" w14:textId="508A9CC7">
            <w:pPr>
              <w:spacing w:before="0" w:beforeAutospacing="off" w:after="0" w:afterAutospacing="off"/>
              <w:ind w:left="-20" w:right="-20"/>
            </w:pPr>
            <w:r w:rsidRPr="4F940BA9" w:rsidR="4F940BA9">
              <w:rPr>
                <w:rFonts w:ascii="Calibri" w:hAnsi="Calibri" w:eastAsia="Calibri" w:cs="Calibri"/>
                <w:sz w:val="22"/>
                <w:szCs w:val="22"/>
                <w:lang w:val="en-GB"/>
              </w:rPr>
              <w:t>The paper's primary contribution is the establishment of an economic model that leads to the network stochastic frontier analysis (SFA) framework, capable of characterizing multistage network production processes and providing more accurate efficiency measurements by considering the specific sources of inefficiency in multistage production processes within banks</w:t>
            </w:r>
          </w:p>
        </w:tc>
        <w:tc>
          <w:tcPr>
            <w:tcW w:w="3648" w:type="dxa"/>
            <w:tcMar/>
          </w:tcPr>
          <w:p w:rsidR="4F940BA9" w:rsidP="4F940BA9" w:rsidRDefault="4F940BA9" w14:paraId="476564C4" w14:textId="43569F95">
            <w:pPr>
              <w:pStyle w:val="Normal"/>
              <w:jc w:val="center"/>
              <w:rPr>
                <w:rFonts w:ascii="Aptos" w:hAnsi="Aptos" w:eastAsia="Aptos" w:cs="Aptos"/>
                <w:sz w:val="20"/>
                <w:szCs w:val="20"/>
              </w:rPr>
            </w:pPr>
          </w:p>
        </w:tc>
      </w:tr>
      <w:tr w:rsidR="4F940BA9" w:rsidTr="4F940BA9" w14:paraId="2608661F">
        <w:trPr>
          <w:trHeight w:val="284"/>
        </w:trPr>
        <w:tc>
          <w:tcPr>
            <w:tcW w:w="536" w:type="dxa"/>
            <w:tcMar/>
          </w:tcPr>
          <w:p w:rsidR="4F940BA9" w:rsidP="4F940BA9" w:rsidRDefault="4F940BA9" w14:paraId="019E1075" w14:textId="0F559586">
            <w:pPr>
              <w:spacing w:before="0" w:beforeAutospacing="off" w:after="0" w:afterAutospacing="off"/>
              <w:ind w:left="-20" w:right="-20"/>
              <w:jc w:val="center"/>
            </w:pPr>
            <w:r w:rsidRPr="4F940BA9" w:rsidR="4F940BA9">
              <w:rPr>
                <w:rFonts w:ascii="Arial" w:hAnsi="Arial" w:eastAsia="Arial" w:cs="Arial"/>
                <w:color w:val="222222"/>
                <w:sz w:val="20"/>
                <w:szCs w:val="20"/>
                <w:highlight w:val="green"/>
                <w:lang w:val="en-GB"/>
              </w:rPr>
              <w:t>24</w:t>
            </w:r>
          </w:p>
        </w:tc>
        <w:tc>
          <w:tcPr>
            <w:tcW w:w="1182" w:type="dxa"/>
            <w:tcMar/>
          </w:tcPr>
          <w:p w:rsidR="4F940BA9" w:rsidP="4F940BA9" w:rsidRDefault="4F940BA9" w14:paraId="4963AADA" w14:textId="7358C292">
            <w:pPr>
              <w:spacing w:before="0" w:beforeAutospacing="off" w:after="0" w:afterAutospacing="off"/>
              <w:ind w:left="-20" w:right="-20"/>
              <w:jc w:val="center"/>
            </w:pPr>
            <w:r w:rsidRPr="4F940BA9" w:rsidR="4F940BA9">
              <w:rPr>
                <w:rFonts w:ascii="Arial" w:hAnsi="Arial" w:eastAsia="Arial" w:cs="Arial"/>
                <w:color w:val="222222"/>
                <w:sz w:val="20"/>
                <w:szCs w:val="20"/>
                <w:highlight w:val="green"/>
                <w:lang w:val="en-GB"/>
              </w:rPr>
              <w:t xml:space="preserve">Shabani, P. and Akbarpour Shirazi, M., (2023) </w:t>
            </w:r>
          </w:p>
        </w:tc>
        <w:tc>
          <w:tcPr>
            <w:tcW w:w="3648" w:type="dxa"/>
            <w:tcMar/>
          </w:tcPr>
          <w:p w:rsidR="4F940BA9" w:rsidP="4F940BA9" w:rsidRDefault="4F940BA9" w14:paraId="6619CCAF" w14:textId="75AAAD22">
            <w:pPr>
              <w:spacing w:before="0" w:beforeAutospacing="off" w:after="0" w:afterAutospacing="off"/>
              <w:ind w:left="-20" w:right="-20"/>
            </w:pPr>
            <w:r w:rsidRPr="4F940BA9" w:rsidR="4F940BA9">
              <w:rPr>
                <w:rFonts w:ascii="Calibri" w:hAnsi="Calibri" w:eastAsia="Calibri" w:cs="Calibri"/>
                <w:sz w:val="22"/>
                <w:szCs w:val="22"/>
                <w:highlight w:val="green"/>
                <w:lang w:val="en-GB"/>
              </w:rPr>
              <w:t>development of a comprehensive network DEA model for the performance evaluation of commercial bank branches in dynamic competitive conditions, providing valuable insights for commercial banks to enhance their operational efficiency and overall performance in a dynamic and competitive environment</w:t>
            </w:r>
          </w:p>
        </w:tc>
        <w:tc>
          <w:tcPr>
            <w:tcW w:w="3648" w:type="dxa"/>
            <w:tcMar/>
          </w:tcPr>
          <w:p w:rsidR="4F940BA9" w:rsidP="4F940BA9" w:rsidRDefault="4F940BA9" w14:paraId="1780F4DF" w14:textId="6190B89B">
            <w:pPr>
              <w:pStyle w:val="Normal"/>
              <w:jc w:val="center"/>
              <w:rPr>
                <w:rFonts w:ascii="Aptos" w:hAnsi="Aptos" w:eastAsia="Aptos" w:cs="Aptos"/>
                <w:sz w:val="20"/>
                <w:szCs w:val="20"/>
              </w:rPr>
            </w:pPr>
          </w:p>
        </w:tc>
      </w:tr>
      <w:tr w:rsidR="4F940BA9" w:rsidTr="4F940BA9" w14:paraId="5BE74878">
        <w:trPr>
          <w:trHeight w:val="284"/>
        </w:trPr>
        <w:tc>
          <w:tcPr>
            <w:tcW w:w="536" w:type="dxa"/>
            <w:tcMar/>
          </w:tcPr>
          <w:p w:rsidR="4F940BA9" w:rsidP="4F940BA9" w:rsidRDefault="4F940BA9" w14:paraId="168DF7BC" w14:textId="1C171C99">
            <w:pPr>
              <w:spacing w:before="0" w:beforeAutospacing="off" w:after="0" w:afterAutospacing="off"/>
              <w:ind w:left="-20" w:right="-20"/>
              <w:jc w:val="center"/>
            </w:pPr>
            <w:r w:rsidRPr="4F940BA9" w:rsidR="4F940BA9">
              <w:rPr>
                <w:rFonts w:ascii="Arial" w:hAnsi="Arial" w:eastAsia="Arial" w:cs="Arial"/>
                <w:color w:val="222222"/>
                <w:sz w:val="20"/>
                <w:szCs w:val="20"/>
                <w:highlight w:val="green"/>
                <w:lang w:val="en-GB"/>
              </w:rPr>
              <w:t>49</w:t>
            </w:r>
          </w:p>
        </w:tc>
        <w:tc>
          <w:tcPr>
            <w:tcW w:w="1182" w:type="dxa"/>
            <w:tcMar/>
          </w:tcPr>
          <w:p w:rsidR="4F940BA9" w:rsidP="4F940BA9" w:rsidRDefault="4F940BA9" w14:paraId="27517F17" w14:textId="289E4DBE">
            <w:pPr>
              <w:spacing w:before="0" w:beforeAutospacing="off" w:after="0" w:afterAutospacing="off"/>
              <w:ind w:left="-20" w:right="-20"/>
              <w:jc w:val="center"/>
            </w:pPr>
            <w:r w:rsidRPr="4F940BA9" w:rsidR="4F940BA9">
              <w:rPr>
                <w:rFonts w:ascii="Arial" w:hAnsi="Arial" w:eastAsia="Arial" w:cs="Arial"/>
                <w:color w:val="222222"/>
                <w:sz w:val="20"/>
                <w:szCs w:val="20"/>
                <w:highlight w:val="green"/>
                <w:lang w:val="en-GB"/>
              </w:rPr>
              <w:t>Lin, T.T., Lee, C.C. and Chiu, T.F., (2009)</w:t>
            </w:r>
          </w:p>
        </w:tc>
        <w:tc>
          <w:tcPr>
            <w:tcW w:w="3648" w:type="dxa"/>
            <w:tcMar/>
          </w:tcPr>
          <w:p w:rsidR="4F940BA9" w:rsidP="4F940BA9" w:rsidRDefault="4F940BA9" w14:paraId="15F8C8CB" w14:textId="199FECAB">
            <w:pPr>
              <w:spacing w:before="0" w:beforeAutospacing="off" w:after="0" w:afterAutospacing="off"/>
              <w:ind w:left="-20" w:right="-20"/>
            </w:pPr>
            <w:r w:rsidRPr="4F940BA9" w:rsidR="4F940BA9">
              <w:rPr>
                <w:rFonts w:ascii="Calibri" w:hAnsi="Calibri" w:eastAsia="Calibri" w:cs="Calibri"/>
                <w:sz w:val="22"/>
                <w:szCs w:val="22"/>
                <w:highlight w:val="green"/>
                <w:lang w:val="en-GB"/>
              </w:rPr>
              <w:t>to objectively measure the operating efficiency of the bank's branches, providing an impartial and rational assessment of their performance. This could help in better resource configuration, meeting corporate operation objectives, and improving management decisions</w:t>
            </w:r>
          </w:p>
        </w:tc>
        <w:tc>
          <w:tcPr>
            <w:tcW w:w="3648" w:type="dxa"/>
            <w:tcMar/>
          </w:tcPr>
          <w:p w:rsidR="4F940BA9" w:rsidP="4F940BA9" w:rsidRDefault="4F940BA9" w14:paraId="6A130FA6" w14:textId="0F35137C">
            <w:pPr>
              <w:pStyle w:val="Normal"/>
              <w:jc w:val="center"/>
              <w:rPr>
                <w:rFonts w:ascii="Aptos" w:hAnsi="Aptos" w:eastAsia="Aptos" w:cs="Aptos"/>
                <w:sz w:val="20"/>
                <w:szCs w:val="20"/>
              </w:rPr>
            </w:pPr>
          </w:p>
        </w:tc>
      </w:tr>
      <w:tr w:rsidR="4F940BA9" w:rsidTr="4F940BA9" w14:paraId="1A9111F4">
        <w:trPr>
          <w:trHeight w:val="284"/>
        </w:trPr>
        <w:tc>
          <w:tcPr>
            <w:tcW w:w="536" w:type="dxa"/>
            <w:tcMar/>
          </w:tcPr>
          <w:p w:rsidR="4F940BA9" w:rsidP="4F940BA9" w:rsidRDefault="4F940BA9" w14:paraId="06F150A7" w14:textId="13B042B6">
            <w:pPr>
              <w:spacing w:before="0" w:beforeAutospacing="off" w:after="0" w:afterAutospacing="off"/>
              <w:ind w:left="-20" w:right="-20"/>
              <w:jc w:val="center"/>
              <w:rPr>
                <w:rFonts w:ascii="Calibri" w:hAnsi="Calibri" w:eastAsia="Calibri" w:cs="Calibri"/>
                <w:sz w:val="22"/>
                <w:szCs w:val="22"/>
                <w:highlight w:val="yellow"/>
                <w:lang w:val="en-GB"/>
              </w:rPr>
            </w:pPr>
            <w:r w:rsidRPr="4F940BA9" w:rsidR="4F940BA9">
              <w:rPr>
                <w:rFonts w:ascii="Calibri" w:hAnsi="Calibri" w:eastAsia="Calibri" w:cs="Calibri"/>
                <w:sz w:val="22"/>
                <w:szCs w:val="22"/>
                <w:highlight w:val="yellow"/>
                <w:lang w:val="en-GB"/>
              </w:rPr>
              <w:t>50</w:t>
            </w:r>
          </w:p>
        </w:tc>
        <w:tc>
          <w:tcPr>
            <w:tcW w:w="1182" w:type="dxa"/>
            <w:tcMar/>
          </w:tcPr>
          <w:p w:rsidR="4F940BA9" w:rsidP="4F940BA9" w:rsidRDefault="4F940BA9" w14:paraId="0266D1D1" w14:textId="207A366B">
            <w:pPr>
              <w:spacing w:before="0" w:beforeAutospacing="off" w:after="0" w:afterAutospacing="off"/>
              <w:ind w:left="-20" w:right="-20"/>
              <w:rPr>
                <w:rFonts w:ascii="Calibri" w:hAnsi="Calibri" w:eastAsia="Calibri" w:cs="Calibri"/>
                <w:sz w:val="22"/>
                <w:szCs w:val="22"/>
                <w:highlight w:val="yellow"/>
                <w:lang w:val="en-GB"/>
              </w:rPr>
            </w:pPr>
            <w:r w:rsidRPr="4F940BA9" w:rsidR="4F940BA9">
              <w:rPr>
                <w:rFonts w:ascii="Calibri" w:hAnsi="Calibri" w:eastAsia="Calibri" w:cs="Calibri"/>
                <w:sz w:val="22"/>
                <w:szCs w:val="22"/>
                <w:highlight w:val="yellow"/>
                <w:lang w:val="en-GB"/>
              </w:rPr>
              <w:t xml:space="preserve">Iago Cotrim </w:t>
            </w:r>
            <w:r w:rsidRPr="4F940BA9" w:rsidR="4F940BA9">
              <w:rPr>
                <w:rFonts w:ascii="Calibri" w:hAnsi="Calibri" w:eastAsia="Calibri" w:cs="Calibri"/>
                <w:sz w:val="22"/>
                <w:szCs w:val="22"/>
                <w:highlight w:val="yellow"/>
                <w:lang w:val="en-GB"/>
              </w:rPr>
              <w:t>Henriques(</w:t>
            </w:r>
            <w:r w:rsidRPr="4F940BA9" w:rsidR="4F940BA9">
              <w:rPr>
                <w:rFonts w:ascii="Calibri" w:hAnsi="Calibri" w:eastAsia="Calibri" w:cs="Calibri"/>
                <w:sz w:val="22"/>
                <w:szCs w:val="22"/>
                <w:highlight w:val="yellow"/>
                <w:lang w:val="en-GB"/>
              </w:rPr>
              <w:t>2020)</w:t>
            </w:r>
          </w:p>
          <w:p w:rsidR="4F940BA9" w:rsidP="4F940BA9" w:rsidRDefault="4F940BA9" w14:paraId="5DC5CC83" w14:textId="672DB328">
            <w:pPr>
              <w:pStyle w:val="Normal"/>
              <w:spacing w:before="0" w:beforeAutospacing="off" w:after="0" w:afterAutospacing="off"/>
              <w:ind w:left="-20" w:right="-20"/>
              <w:rPr>
                <w:rFonts w:ascii="Calibri" w:hAnsi="Calibri" w:eastAsia="Calibri" w:cs="Calibri"/>
                <w:sz w:val="22"/>
                <w:szCs w:val="22"/>
                <w:highlight w:val="yellow"/>
                <w:lang w:val="en-GB"/>
              </w:rPr>
            </w:pPr>
          </w:p>
          <w:p w:rsidR="22BAD838" w:rsidP="4F940BA9" w:rsidRDefault="22BAD838" w14:paraId="3834AC19" w14:textId="52E9F5FE">
            <w:pPr>
              <w:pStyle w:val="Normal"/>
              <w:spacing w:before="0" w:beforeAutospacing="off" w:after="0" w:afterAutospacing="off"/>
              <w:ind w:left="-20" w:right="-20"/>
              <w:rPr>
                <w:rFonts w:ascii="Calibri" w:hAnsi="Calibri" w:eastAsia="Calibri" w:cs="Calibri"/>
                <w:sz w:val="22"/>
                <w:szCs w:val="22"/>
                <w:highlight w:val="yellow"/>
                <w:lang w:val="en-GB"/>
              </w:rPr>
            </w:pPr>
            <w:r w:rsidRPr="4F940BA9" w:rsidR="22BAD838">
              <w:rPr>
                <w:rFonts w:ascii="Calibri" w:hAnsi="Calibri" w:eastAsia="Calibri" w:cs="Calibri"/>
                <w:sz w:val="22"/>
                <w:szCs w:val="22"/>
                <w:highlight w:val="yellow"/>
                <w:lang w:val="en-GB"/>
              </w:rPr>
              <w:t>(This paper is literature Review)</w:t>
            </w:r>
          </w:p>
        </w:tc>
        <w:tc>
          <w:tcPr>
            <w:tcW w:w="3648" w:type="dxa"/>
            <w:tcMar/>
          </w:tcPr>
          <w:p w:rsidR="4F940BA9" w:rsidP="4F940BA9" w:rsidRDefault="4F940BA9" w14:paraId="286499EA" w14:textId="1CD55A79">
            <w:pPr>
              <w:spacing w:before="0" w:beforeAutospacing="off" w:after="0" w:afterAutospacing="off"/>
              <w:ind w:left="-20" w:right="-20"/>
              <w:rPr>
                <w:rFonts w:ascii="Calibri" w:hAnsi="Calibri" w:eastAsia="Calibri" w:cs="Calibri"/>
                <w:sz w:val="22"/>
                <w:szCs w:val="22"/>
                <w:highlight w:val="yellow"/>
                <w:lang w:val="en-GB"/>
              </w:rPr>
            </w:pPr>
            <w:r w:rsidRPr="4F940BA9" w:rsidR="4F940BA9">
              <w:rPr>
                <w:rFonts w:ascii="Calibri" w:hAnsi="Calibri" w:eastAsia="Calibri" w:cs="Calibri"/>
                <w:sz w:val="22"/>
                <w:szCs w:val="22"/>
                <w:highlight w:val="yellow"/>
                <w:lang w:val="en-GB"/>
              </w:rPr>
              <w:t xml:space="preserve">The main contribution is the systematic review itself which </w:t>
            </w:r>
            <w:r w:rsidRPr="4F940BA9" w:rsidR="4F940BA9">
              <w:rPr>
                <w:rFonts w:ascii="Calibri" w:hAnsi="Calibri" w:eastAsia="Calibri" w:cs="Calibri"/>
                <w:sz w:val="22"/>
                <w:szCs w:val="22"/>
                <w:highlight w:val="yellow"/>
                <w:lang w:val="en-GB"/>
              </w:rPr>
              <w:t>consolidates</w:t>
            </w:r>
            <w:r w:rsidRPr="4F940BA9" w:rsidR="4F940BA9">
              <w:rPr>
                <w:rFonts w:ascii="Calibri" w:hAnsi="Calibri" w:eastAsia="Calibri" w:cs="Calibri"/>
                <w:sz w:val="22"/>
                <w:szCs w:val="22"/>
                <w:highlight w:val="yellow"/>
                <w:lang w:val="en-GB"/>
              </w:rPr>
              <w:t xml:space="preserve"> the state-of-the-art of two-stage DEA models, discussing terminological controversies, and </w:t>
            </w:r>
            <w:r w:rsidRPr="4F940BA9" w:rsidR="4F940BA9">
              <w:rPr>
                <w:rFonts w:ascii="Calibri" w:hAnsi="Calibri" w:eastAsia="Calibri" w:cs="Calibri"/>
                <w:sz w:val="22"/>
                <w:szCs w:val="22"/>
                <w:highlight w:val="yellow"/>
                <w:lang w:val="en-GB"/>
              </w:rPr>
              <w:t>identifying</w:t>
            </w:r>
            <w:r w:rsidRPr="4F940BA9" w:rsidR="4F940BA9">
              <w:rPr>
                <w:rFonts w:ascii="Calibri" w:hAnsi="Calibri" w:eastAsia="Calibri" w:cs="Calibri"/>
                <w:sz w:val="22"/>
                <w:szCs w:val="22"/>
                <w:highlight w:val="yellow"/>
                <w:lang w:val="en-GB"/>
              </w:rPr>
              <w:t xml:space="preserve"> seven gaps in the literature for both internal and external two-stage DEA models, along with two specific gaps for external models. This provides a comprehensive understanding and opportunities for future research in the field</w:t>
            </w:r>
          </w:p>
        </w:tc>
        <w:tc>
          <w:tcPr>
            <w:tcW w:w="3648" w:type="dxa"/>
            <w:tcMar/>
          </w:tcPr>
          <w:p w:rsidR="4F940BA9" w:rsidP="4F940BA9" w:rsidRDefault="4F940BA9" w14:paraId="57CFA410" w14:textId="38AC0080">
            <w:pPr>
              <w:pStyle w:val="Normal"/>
              <w:jc w:val="center"/>
              <w:rPr>
                <w:rFonts w:ascii="Aptos" w:hAnsi="Aptos" w:eastAsia="Aptos" w:cs="Aptos"/>
                <w:sz w:val="20"/>
                <w:szCs w:val="20"/>
                <w:highlight w:val="yellow"/>
              </w:rPr>
            </w:pPr>
          </w:p>
        </w:tc>
      </w:tr>
    </w:tbl>
    <w:p w:rsidRPr="00CE5391" w:rsidR="002101FF" w:rsidP="002101FF" w:rsidRDefault="002101FF" w14:paraId="2DD600A4" w14:textId="77777777">
      <w:pPr>
        <w:pStyle w:val="ListParagraph"/>
        <w:ind w:left="360"/>
        <w:jc w:val="both"/>
        <w:rPr>
          <w:rFonts w:ascii="Times New Roman" w:hAnsi="Times New Roman" w:cs="Times New Roman"/>
          <w:sz w:val="24"/>
          <w:szCs w:val="24"/>
        </w:rPr>
      </w:pPr>
    </w:p>
    <w:p w:rsidR="775B2F16" w:rsidP="4F940BA9" w:rsidRDefault="775B2F16" w14:paraId="1B253C82" w14:textId="0BD38A84">
      <w:pPr>
        <w:pStyle w:val="ListParagraph"/>
        <w:spacing w:after="0" w:line="240" w:lineRule="auto"/>
        <w:ind w:left="360"/>
        <w:jc w:val="both"/>
        <w:rPr>
          <w:rFonts w:ascii="Calibri" w:hAnsi="Calibri" w:eastAsia="Calibri" w:cs="Calibri"/>
          <w:b w:val="0"/>
          <w:bCs w:val="0"/>
          <w:sz w:val="20"/>
          <w:szCs w:val="20"/>
        </w:rPr>
      </w:pPr>
      <w:r w:rsidRPr="4F940BA9" w:rsidR="775B2F16">
        <w:rPr>
          <w:rFonts w:ascii="Calibri" w:hAnsi="Calibri" w:eastAsia="Calibri" w:cs="Calibri"/>
          <w:b w:val="0"/>
          <w:bCs w:val="0"/>
          <w:sz w:val="20"/>
          <w:szCs w:val="20"/>
        </w:rPr>
        <w:t>The contributions of these studies can be categorized into exploring specific factors’ influence on bank efficiency, and methodological innovations.</w:t>
      </w:r>
    </w:p>
    <w:p w:rsidR="775B2F16" w:rsidP="4F940BA9" w:rsidRDefault="775B2F16" w14:paraId="01DD6C2E" w14:textId="2A88B1CC">
      <w:pPr>
        <w:pStyle w:val="ListParagraph"/>
        <w:spacing w:after="0" w:line="240" w:lineRule="auto"/>
        <w:ind w:left="360"/>
        <w:jc w:val="both"/>
      </w:pPr>
      <w:r w:rsidRPr="4F940BA9" w:rsidR="775B2F16">
        <w:rPr>
          <w:rFonts w:ascii="Calibri" w:hAnsi="Calibri" w:eastAsia="Calibri" w:cs="Calibri"/>
          <w:b w:val="1"/>
          <w:bCs w:val="1"/>
          <w:sz w:val="20"/>
          <w:szCs w:val="20"/>
        </w:rPr>
        <w:t xml:space="preserve"> </w:t>
      </w:r>
    </w:p>
    <w:p w:rsidR="775B2F16" w:rsidP="4F940BA9" w:rsidRDefault="775B2F16" w14:paraId="58377558" w14:textId="1BA9F0E6">
      <w:pPr>
        <w:pStyle w:val="ListParagraph"/>
        <w:numPr>
          <w:ilvl w:val="0"/>
          <w:numId w:val="1"/>
        </w:numPr>
        <w:spacing w:after="0" w:line="240" w:lineRule="auto"/>
        <w:jc w:val="both"/>
        <w:rPr>
          <w:rFonts w:ascii="Calibri" w:hAnsi="Calibri" w:eastAsia="Calibri" w:cs="Calibri"/>
          <w:b w:val="1"/>
          <w:bCs w:val="1"/>
          <w:sz w:val="20"/>
          <w:szCs w:val="20"/>
        </w:rPr>
      </w:pPr>
      <w:r w:rsidRPr="4F940BA9" w:rsidR="775B2F16">
        <w:rPr>
          <w:rFonts w:ascii="Calibri" w:hAnsi="Calibri" w:eastAsia="Calibri" w:cs="Calibri"/>
          <w:b w:val="1"/>
          <w:bCs w:val="1"/>
          <w:sz w:val="20"/>
          <w:szCs w:val="20"/>
        </w:rPr>
        <w:t>exploring specific factors’ influence on bank efficiency</w:t>
      </w:r>
    </w:p>
    <w:p w:rsidR="775B2F16" w:rsidP="4F940BA9" w:rsidRDefault="775B2F16" w14:paraId="2F4A50FE" w14:textId="43985430">
      <w:pPr>
        <w:pStyle w:val="ListParagraph"/>
        <w:spacing w:after="0" w:line="240" w:lineRule="auto"/>
        <w:ind w:left="360"/>
        <w:jc w:val="both"/>
      </w:pPr>
      <w:r w:rsidRPr="4F940BA9" w:rsidR="775B2F16">
        <w:rPr>
          <w:rFonts w:ascii="Calibri" w:hAnsi="Calibri" w:eastAsia="Calibri" w:cs="Calibri"/>
          <w:b w:val="1"/>
          <w:bCs w:val="1"/>
          <w:sz w:val="20"/>
          <w:szCs w:val="20"/>
        </w:rPr>
        <w:t xml:space="preserve"> </w:t>
      </w:r>
    </w:p>
    <w:p w:rsidR="775B2F16" w:rsidP="4F940BA9" w:rsidRDefault="775B2F16" w14:paraId="0AB28DF5" w14:textId="6F4A2E80">
      <w:pPr>
        <w:pStyle w:val="ListParagraph"/>
        <w:spacing w:after="0" w:line="240" w:lineRule="auto"/>
        <w:ind w:left="360"/>
        <w:jc w:val="both"/>
        <w:rPr>
          <w:rFonts w:ascii="Calibri" w:hAnsi="Calibri" w:eastAsia="Calibri" w:cs="Calibri"/>
          <w:b w:val="0"/>
          <w:bCs w:val="0"/>
          <w:sz w:val="20"/>
          <w:szCs w:val="20"/>
        </w:rPr>
      </w:pPr>
      <w:r w:rsidRPr="4F940BA9" w:rsidR="775B2F16">
        <w:rPr>
          <w:rFonts w:ascii="Calibri" w:hAnsi="Calibri" w:eastAsia="Calibri" w:cs="Calibri"/>
          <w:b w:val="0"/>
          <w:bCs w:val="0"/>
          <w:sz w:val="20"/>
          <w:szCs w:val="20"/>
        </w:rPr>
        <w:t xml:space="preserve">When exploring specific factors’ influence on bank efficiency, some research focus on internal factors like internal management and risk control, such as by Matthews (2013) and Yu et al. (2019), explored how risk management practices and credit risk impact banks' income and operational efficiencies. The paper written by Asmild and Matthews (2012) applied multi-directional efficiency analysis (MEA) to investigate not only the levels of efficiency in Chinese banks but also the patterns of inefficiencies across different types of banks. And Xiaohong Liu et al. (2020), examined the effects of ownership structures (e.g., state-owned vs. joint-stock banks) and market power on bank efficiency. </w:t>
      </w:r>
    </w:p>
    <w:p w:rsidR="775B2F16" w:rsidP="4F940BA9" w:rsidRDefault="775B2F16" w14:paraId="3DECAEF7" w14:textId="7AAE5430">
      <w:pPr>
        <w:pStyle w:val="ListParagraph"/>
        <w:spacing w:after="0" w:line="240" w:lineRule="auto"/>
        <w:ind w:left="360"/>
        <w:jc w:val="both"/>
        <w:rPr>
          <w:rFonts w:ascii="Calibri" w:hAnsi="Calibri" w:eastAsia="Calibri" w:cs="Calibri"/>
          <w:b w:val="0"/>
          <w:bCs w:val="0"/>
          <w:sz w:val="20"/>
          <w:szCs w:val="20"/>
        </w:rPr>
      </w:pPr>
      <w:r w:rsidRPr="4F940BA9" w:rsidR="775B2F16">
        <w:rPr>
          <w:rFonts w:ascii="Calibri" w:hAnsi="Calibri" w:eastAsia="Calibri" w:cs="Calibri"/>
          <w:b w:val="0"/>
          <w:bCs w:val="0"/>
          <w:sz w:val="20"/>
          <w:szCs w:val="20"/>
        </w:rPr>
        <w:t xml:space="preserve"> </w:t>
      </w:r>
    </w:p>
    <w:p w:rsidR="775B2F16" w:rsidP="4F940BA9" w:rsidRDefault="775B2F16" w14:paraId="3A9FBACA" w14:textId="04DF9A8A">
      <w:pPr>
        <w:pStyle w:val="ListParagraph"/>
        <w:spacing w:after="0" w:line="240" w:lineRule="auto"/>
        <w:ind w:left="360"/>
        <w:jc w:val="both"/>
        <w:rPr>
          <w:rFonts w:ascii="Calibri" w:hAnsi="Calibri" w:eastAsia="Calibri" w:cs="Calibri"/>
          <w:b w:val="0"/>
          <w:bCs w:val="0"/>
          <w:sz w:val="20"/>
          <w:szCs w:val="20"/>
        </w:rPr>
      </w:pPr>
      <w:r w:rsidRPr="4F940BA9" w:rsidR="775B2F16">
        <w:rPr>
          <w:rFonts w:ascii="Calibri" w:hAnsi="Calibri" w:eastAsia="Calibri" w:cs="Calibri"/>
          <w:b w:val="0"/>
          <w:bCs w:val="0"/>
          <w:sz w:val="20"/>
          <w:szCs w:val="20"/>
        </w:rPr>
        <w:t>As for external factors, economic environment had attracted much attention. Papers like Wilson and Zhao (2023) and Rasoul Rezvanian et al. (2010),etc. analysed how external factors such as global financial crises, economic stimulus plans, WTO accession and banking reforms (Rasoul Rezvanian, Rima Truk Ariss, Sayed M. Mehdian, (2010)) ,and regulatory changes affect bank efficiency.</w:t>
      </w:r>
    </w:p>
    <w:p w:rsidR="775B2F16" w:rsidP="4F940BA9" w:rsidRDefault="775B2F16" w14:paraId="44323CB6" w14:textId="7B445827">
      <w:pPr>
        <w:pStyle w:val="ListParagraph"/>
        <w:spacing w:after="0" w:line="240" w:lineRule="auto"/>
        <w:ind w:left="360"/>
        <w:jc w:val="both"/>
      </w:pPr>
      <w:r w:rsidRPr="4F940BA9" w:rsidR="775B2F16">
        <w:rPr>
          <w:rFonts w:ascii="Calibri" w:hAnsi="Calibri" w:eastAsia="Calibri" w:cs="Calibri"/>
          <w:b w:val="1"/>
          <w:bCs w:val="1"/>
          <w:sz w:val="20"/>
          <w:szCs w:val="20"/>
        </w:rPr>
        <w:t xml:space="preserve"> </w:t>
      </w:r>
    </w:p>
    <w:p w:rsidR="775B2F16" w:rsidP="4F940BA9" w:rsidRDefault="775B2F16" w14:paraId="06B63D66" w14:textId="5F00BC55">
      <w:pPr>
        <w:pStyle w:val="ListParagraph"/>
        <w:numPr>
          <w:ilvl w:val="0"/>
          <w:numId w:val="1"/>
        </w:numPr>
        <w:spacing w:after="0" w:line="240" w:lineRule="auto"/>
        <w:jc w:val="both"/>
        <w:rPr>
          <w:rFonts w:ascii="Calibri" w:hAnsi="Calibri" w:eastAsia="Calibri" w:cs="Calibri"/>
          <w:b w:val="1"/>
          <w:bCs w:val="1"/>
          <w:sz w:val="20"/>
          <w:szCs w:val="20"/>
        </w:rPr>
      </w:pPr>
      <w:r w:rsidRPr="4F940BA9" w:rsidR="775B2F16">
        <w:rPr>
          <w:rFonts w:ascii="Calibri" w:hAnsi="Calibri" w:eastAsia="Calibri" w:cs="Calibri"/>
          <w:b w:val="1"/>
          <w:bCs w:val="1"/>
          <w:sz w:val="20"/>
          <w:szCs w:val="20"/>
        </w:rPr>
        <w:t>methodological innovations</w:t>
      </w:r>
    </w:p>
    <w:p w:rsidR="775B2F16" w:rsidP="4F940BA9" w:rsidRDefault="775B2F16" w14:paraId="7F1D3CEF" w14:textId="18DB052E">
      <w:pPr>
        <w:pStyle w:val="ListParagraph"/>
        <w:spacing w:after="0" w:line="240" w:lineRule="auto"/>
        <w:ind w:left="360"/>
        <w:jc w:val="both"/>
      </w:pPr>
      <w:r w:rsidRPr="4F940BA9" w:rsidR="775B2F16">
        <w:rPr>
          <w:rFonts w:ascii="Calibri" w:hAnsi="Calibri" w:eastAsia="Calibri" w:cs="Calibri"/>
          <w:b w:val="1"/>
          <w:bCs w:val="1"/>
          <w:sz w:val="20"/>
          <w:szCs w:val="20"/>
        </w:rPr>
        <w:t xml:space="preserve"> </w:t>
      </w:r>
    </w:p>
    <w:p w:rsidR="775B2F16" w:rsidP="4F940BA9" w:rsidRDefault="775B2F16" w14:paraId="5FEEC149" w14:textId="6DB7BB49">
      <w:pPr>
        <w:pStyle w:val="ListParagraph"/>
        <w:spacing w:after="0" w:line="240" w:lineRule="auto"/>
        <w:ind w:left="360"/>
        <w:jc w:val="both"/>
        <w:rPr>
          <w:rFonts w:ascii="Calibri" w:hAnsi="Calibri" w:eastAsia="Calibri" w:cs="Calibri"/>
          <w:b w:val="0"/>
          <w:bCs w:val="0"/>
          <w:sz w:val="20"/>
          <w:szCs w:val="20"/>
        </w:rPr>
      </w:pPr>
      <w:r w:rsidRPr="4F940BA9" w:rsidR="775B2F16">
        <w:rPr>
          <w:rFonts w:ascii="Calibri" w:hAnsi="Calibri" w:eastAsia="Calibri" w:cs="Calibri"/>
          <w:b w:val="0"/>
          <w:bCs w:val="0"/>
          <w:sz w:val="20"/>
          <w:szCs w:val="20"/>
        </w:rPr>
        <w:t>Apart from papers aiming at digging into factors to find directions for improvement, some papers creatively announced methodological innovations. Some focusing on refining current DEA models to more accurately evaluate bank efficiency when dealing with certain types of factors, for instance, the paper by Xiao Shi, Libo Wang, Ali Emrouznejad (2023) integrated undesirable outputs using a by-production framework. Xie et al. (2022) developed a multi-period leader-follower DEA model that incorporates undesirable outputs, providing a more accurate efficiency evaluation of commercial banks. Additionally, Hirofumi Fukuyama, Roman Matousek (2017) developed a bank network revenue function which considers the impact of NPLs (non-performing loans) on bank production.</w:t>
      </w:r>
    </w:p>
    <w:p w:rsidR="775B2F16" w:rsidP="4F940BA9" w:rsidRDefault="775B2F16" w14:paraId="134B9298" w14:textId="5158E0BF">
      <w:pPr>
        <w:pStyle w:val="ListParagraph"/>
        <w:spacing w:after="0" w:line="240" w:lineRule="auto"/>
        <w:ind w:left="360"/>
        <w:jc w:val="both"/>
        <w:rPr>
          <w:rFonts w:ascii="Calibri" w:hAnsi="Calibri" w:eastAsia="Calibri" w:cs="Calibri"/>
          <w:b w:val="0"/>
          <w:bCs w:val="0"/>
          <w:sz w:val="20"/>
          <w:szCs w:val="20"/>
        </w:rPr>
      </w:pPr>
      <w:r w:rsidRPr="4F940BA9" w:rsidR="775B2F16">
        <w:rPr>
          <w:rFonts w:ascii="Calibri" w:hAnsi="Calibri" w:eastAsia="Calibri" w:cs="Calibri"/>
          <w:b w:val="0"/>
          <w:bCs w:val="0"/>
          <w:sz w:val="20"/>
          <w:szCs w:val="20"/>
        </w:rPr>
        <w:t xml:space="preserve"> </w:t>
      </w:r>
    </w:p>
    <w:p w:rsidR="775B2F16" w:rsidP="4F940BA9" w:rsidRDefault="775B2F16" w14:paraId="02475C8F" w14:textId="2C440F14">
      <w:pPr>
        <w:pStyle w:val="ListParagraph"/>
        <w:spacing w:after="0" w:line="240" w:lineRule="auto"/>
        <w:ind w:left="360"/>
        <w:jc w:val="both"/>
        <w:rPr>
          <w:rFonts w:ascii="Calibri" w:hAnsi="Calibri" w:eastAsia="Calibri" w:cs="Calibri"/>
          <w:b w:val="0"/>
          <w:bCs w:val="0"/>
          <w:sz w:val="20"/>
          <w:szCs w:val="20"/>
        </w:rPr>
      </w:pPr>
      <w:r w:rsidRPr="4F940BA9" w:rsidR="775B2F16">
        <w:rPr>
          <w:rFonts w:ascii="Calibri" w:hAnsi="Calibri" w:eastAsia="Calibri" w:cs="Calibri"/>
          <w:b w:val="0"/>
          <w:bCs w:val="0"/>
          <w:sz w:val="20"/>
          <w:szCs w:val="20"/>
        </w:rPr>
        <w:t>We can notice that more papers focused on methodological innovations rather than applying DEA and identify targets for improvement. This trend reflects scholars’ passion for the refinement of current methodology, indicates some DEA models might lack adaptability in certain circumstances.</w:t>
      </w:r>
    </w:p>
    <w:p w:rsidR="4F940BA9" w:rsidP="4F940BA9" w:rsidRDefault="4F940BA9" w14:paraId="2B29AA81" w14:textId="5FD4CB08">
      <w:pPr>
        <w:pStyle w:val="ListParagraph"/>
        <w:spacing w:after="0" w:line="240" w:lineRule="auto"/>
        <w:ind w:left="360"/>
        <w:jc w:val="both"/>
        <w:rPr>
          <w:rFonts w:ascii="Calibri" w:hAnsi="Calibri" w:eastAsia="Calibri" w:cs="Calibri"/>
          <w:b w:val="1"/>
          <w:bCs w:val="1"/>
          <w:sz w:val="20"/>
          <w:szCs w:val="20"/>
        </w:rPr>
      </w:pPr>
    </w:p>
    <w:p w:rsidR="4F940BA9" w:rsidP="4F940BA9" w:rsidRDefault="4F940BA9" w14:paraId="5DB77529" w14:textId="0F0F0041">
      <w:pPr>
        <w:pStyle w:val="ListParagraph"/>
        <w:spacing w:after="0" w:line="240" w:lineRule="auto"/>
        <w:ind w:left="360"/>
        <w:jc w:val="both"/>
        <w:rPr>
          <w:rFonts w:ascii="Calibri" w:hAnsi="Calibri" w:eastAsia="Calibri" w:cs="Calibri"/>
          <w:b w:val="1"/>
          <w:bCs w:val="1"/>
          <w:sz w:val="20"/>
          <w:szCs w:val="20"/>
        </w:rPr>
      </w:pPr>
    </w:p>
    <w:p w:rsidRPr="00CE5391" w:rsidR="002101FF" w:rsidP="002101FF" w:rsidRDefault="002101FF" w14:paraId="05E367E1" w14:textId="77777777">
      <w:pPr>
        <w:pStyle w:val="ListParagraph"/>
        <w:spacing w:after="0" w:line="240" w:lineRule="auto"/>
        <w:ind w:left="360"/>
        <w:jc w:val="both"/>
        <w:rPr>
          <w:rFonts w:ascii="Calibri" w:hAnsi="Calibri" w:eastAsia="Calibri" w:cs="Calibri"/>
          <w:sz w:val="20"/>
          <w:szCs w:val="20"/>
        </w:rPr>
      </w:pPr>
      <w:bookmarkStart w:name="_Hlk67408864" w:id="1"/>
      <w:bookmarkEnd w:id="0"/>
      <w:r w:rsidRPr="00CE5391">
        <w:rPr>
          <w:rFonts w:ascii="Calibri" w:hAnsi="Calibri" w:eastAsia="Calibri" w:cs="Calibri"/>
          <w:b/>
          <w:bCs/>
          <w:sz w:val="20"/>
          <w:szCs w:val="20"/>
        </w:rPr>
        <w:t>Table 3:</w:t>
      </w:r>
      <w:r w:rsidRPr="00CE5391">
        <w:rPr>
          <w:rFonts w:ascii="Calibri" w:hAnsi="Calibri" w:eastAsia="Calibri" w:cs="Calibri"/>
          <w:sz w:val="20"/>
          <w:szCs w:val="20"/>
        </w:rPr>
        <w:t xml:space="preserve"> </w:t>
      </w:r>
      <w:r w:rsidRPr="00CE5391">
        <w:rPr>
          <w:rFonts w:ascii="Calibri" w:hAnsi="Calibri" w:eastAsia="Calibri" w:cs="Calibri"/>
          <w:sz w:val="20"/>
          <w:szCs w:val="20"/>
          <w:u w:val="single"/>
        </w:rPr>
        <w:t>Summary of models used within DEA Analyses for assessing the efficiency of DMUs</w:t>
      </w:r>
      <w:r w:rsidRPr="00CE5391">
        <w:rPr>
          <w:rFonts w:ascii="Calibri" w:hAnsi="Calibri" w:eastAsia="Calibri" w:cs="Calibri"/>
          <w:sz w:val="20"/>
          <w:szCs w:val="20"/>
        </w:rPr>
        <w:t xml:space="preserve"> (guidelines: (a) the names of the models should be provided; (b) if statistical tests are used for analysing/comparing categories of DMUs, you should report them; (c) when a paper uses a single stage analysis, columns 3 and 4 should be filled with n/a; (d) when a paper uses a two-stage analysis, column 4 should be filled with n/a; (e) analyse this table by type of DEA approach and model and discuss such classifications in the main text)</w:t>
      </w:r>
    </w:p>
    <w:tbl>
      <w:tblPr>
        <w:tblStyle w:val="TableGrid"/>
        <w:tblW w:w="4810" w:type="pct"/>
        <w:tblInd w:w="355" w:type="dxa"/>
        <w:tblLook w:val="04A0" w:firstRow="1" w:lastRow="0" w:firstColumn="1" w:lastColumn="0" w:noHBand="0" w:noVBand="1"/>
      </w:tblPr>
      <w:tblGrid>
        <w:gridCol w:w="901"/>
        <w:gridCol w:w="1979"/>
        <w:gridCol w:w="2249"/>
        <w:gridCol w:w="2177"/>
        <w:gridCol w:w="1689"/>
      </w:tblGrid>
      <w:tr w:rsidRPr="00CE5391" w:rsidR="005E0A88" w:rsidTr="4F940BA9" w14:paraId="6CEB3999" w14:textId="77777777">
        <w:trPr>
          <w:trHeight w:val="284"/>
        </w:trPr>
        <w:tc>
          <w:tcPr>
            <w:tcW w:w="501" w:type="pct"/>
            <w:tcMar/>
          </w:tcPr>
          <w:bookmarkEnd w:id="1"/>
          <w:p w:rsidRPr="00CE5391" w:rsidR="005E0A88" w:rsidP="00BD1418" w:rsidRDefault="005E0A88" w14:paraId="051E39AC" w14:textId="2439C127">
            <w:pPr>
              <w:jc w:val="center"/>
              <w:rPr>
                <w:rFonts w:hint="eastAsia" w:cs="Calibri"/>
                <w:b/>
                <w:bCs/>
                <w:sz w:val="20"/>
                <w:szCs w:val="20"/>
              </w:rPr>
            </w:pPr>
            <w:r>
              <w:rPr>
                <w:rFonts w:cs="Calibri"/>
                <w:b/>
                <w:bCs/>
                <w:sz w:val="20"/>
                <w:szCs w:val="20"/>
              </w:rPr>
              <w:t>Paper #</w:t>
            </w:r>
          </w:p>
        </w:tc>
        <w:tc>
          <w:tcPr>
            <w:tcW w:w="1100" w:type="pct"/>
            <w:tcMar/>
          </w:tcPr>
          <w:p w:rsidRPr="00CE5391" w:rsidR="005E0A88" w:rsidP="00BD1418" w:rsidRDefault="005E0A88" w14:paraId="0014C89E" w14:textId="4AAA5F7E">
            <w:pPr>
              <w:jc w:val="center"/>
              <w:rPr>
                <w:rFonts w:hint="eastAsia" w:cs="Calibri"/>
                <w:b/>
                <w:bCs/>
                <w:sz w:val="20"/>
                <w:szCs w:val="20"/>
              </w:rPr>
            </w:pPr>
            <w:r w:rsidRPr="00CE5391">
              <w:rPr>
                <w:rFonts w:cs="Calibri"/>
                <w:b/>
                <w:bCs/>
                <w:sz w:val="20"/>
                <w:szCs w:val="20"/>
              </w:rPr>
              <w:t>Reference</w:t>
            </w:r>
          </w:p>
        </w:tc>
        <w:tc>
          <w:tcPr>
            <w:tcW w:w="1250" w:type="pct"/>
            <w:tcMar/>
          </w:tcPr>
          <w:p w:rsidRPr="00CE5391" w:rsidR="005E0A88" w:rsidP="00BD1418" w:rsidRDefault="005E0A88" w14:paraId="38611520" w14:textId="77777777">
            <w:pPr>
              <w:jc w:val="center"/>
              <w:rPr>
                <w:rFonts w:hint="eastAsia" w:cs="Calibri"/>
                <w:b/>
                <w:bCs/>
                <w:sz w:val="20"/>
                <w:szCs w:val="20"/>
              </w:rPr>
            </w:pPr>
            <w:r w:rsidRPr="00CE5391">
              <w:rPr>
                <w:rFonts w:cs="Calibri"/>
                <w:b/>
                <w:bCs/>
                <w:sz w:val="20"/>
                <w:szCs w:val="20"/>
              </w:rPr>
              <w:t>First Stage Model</w:t>
            </w:r>
          </w:p>
        </w:tc>
        <w:tc>
          <w:tcPr>
            <w:tcW w:w="1210" w:type="pct"/>
            <w:tcMar/>
          </w:tcPr>
          <w:p w:rsidRPr="00CE5391" w:rsidR="005E0A88" w:rsidP="00BD1418" w:rsidRDefault="005E0A88" w14:paraId="7F7445E6" w14:textId="77777777">
            <w:pPr>
              <w:jc w:val="center"/>
              <w:rPr>
                <w:rFonts w:hint="eastAsia" w:cs="Calibri"/>
                <w:b/>
                <w:bCs/>
                <w:sz w:val="20"/>
                <w:szCs w:val="20"/>
              </w:rPr>
            </w:pPr>
            <w:r w:rsidRPr="00CE5391">
              <w:rPr>
                <w:rFonts w:cs="Calibri"/>
                <w:b/>
                <w:bCs/>
                <w:sz w:val="20"/>
                <w:szCs w:val="20"/>
              </w:rPr>
              <w:t>Second Stage Model</w:t>
            </w:r>
          </w:p>
        </w:tc>
        <w:tc>
          <w:tcPr>
            <w:tcW w:w="939" w:type="pct"/>
            <w:tcMar/>
          </w:tcPr>
          <w:p w:rsidRPr="00CE5391" w:rsidR="005E0A88" w:rsidP="00BD1418" w:rsidRDefault="005E0A88" w14:paraId="2AAA938C" w14:textId="77777777">
            <w:pPr>
              <w:jc w:val="center"/>
              <w:rPr>
                <w:rFonts w:hint="eastAsia" w:cs="Calibri"/>
                <w:b/>
                <w:bCs/>
                <w:sz w:val="20"/>
                <w:szCs w:val="20"/>
              </w:rPr>
            </w:pPr>
            <w:r w:rsidRPr="00CE5391">
              <w:rPr>
                <w:rFonts w:cs="Calibri"/>
                <w:b/>
                <w:bCs/>
                <w:sz w:val="20"/>
                <w:szCs w:val="20"/>
              </w:rPr>
              <w:t>Third Stage Model</w:t>
            </w:r>
          </w:p>
        </w:tc>
      </w:tr>
      <w:tr w:rsidRPr="00CE5391" w:rsidR="00331E11" w:rsidTr="4F940BA9" w14:paraId="7BDDFF7C" w14:textId="77777777">
        <w:trPr>
          <w:trHeight w:val="720"/>
        </w:trPr>
        <w:tc>
          <w:tcPr>
            <w:tcW w:w="501" w:type="pct"/>
            <w:tcMar/>
          </w:tcPr>
          <w:p w:rsidRPr="009B153E" w:rsidR="00331E11" w:rsidP="00331E11" w:rsidRDefault="00331E11" w14:paraId="72ECA169" w14:textId="11F9EAF3">
            <w:pPr>
              <w:jc w:val="center"/>
              <w:rPr>
                <w:rFonts w:hint="eastAsia" w:cs="Calibri"/>
                <w:sz w:val="20"/>
                <w:szCs w:val="20"/>
                <w:lang w:eastAsia="zh-CN"/>
              </w:rPr>
            </w:pPr>
            <w:r>
              <w:rPr>
                <w:rFonts w:cs="Calibri"/>
                <w:sz w:val="20"/>
                <w:szCs w:val="20"/>
                <w:lang w:eastAsia="zh-CN"/>
              </w:rPr>
              <w:t>20</w:t>
            </w:r>
          </w:p>
        </w:tc>
        <w:tc>
          <w:tcPr>
            <w:tcW w:w="1100" w:type="pct"/>
            <w:tcMar/>
          </w:tcPr>
          <w:p w:rsidRPr="00CE5391" w:rsidR="00331E11" w:rsidP="00331E11" w:rsidRDefault="00331E11" w14:paraId="665E5A43" w14:textId="3AD405BB">
            <w:pPr>
              <w:jc w:val="center"/>
              <w:rPr>
                <w:rFonts w:hint="eastAsia" w:cs="Calibri"/>
                <w:sz w:val="20"/>
                <w:szCs w:val="20"/>
                <w:lang w:eastAsia="zh-CN"/>
              </w:rPr>
            </w:pPr>
            <w:r w:rsidRPr="009B153E">
              <w:rPr>
                <w:rFonts w:cs="Calibri"/>
                <w:sz w:val="20"/>
                <w:szCs w:val="20"/>
                <w:lang w:eastAsia="zh-CN"/>
              </w:rPr>
              <w:t>Dong et al., (2014)</w:t>
            </w:r>
          </w:p>
        </w:tc>
        <w:tc>
          <w:tcPr>
            <w:tcW w:w="1250" w:type="pct"/>
            <w:tcMar/>
          </w:tcPr>
          <w:p w:rsidRPr="00E250DA" w:rsidR="00331E11" w:rsidP="00331E11" w:rsidRDefault="00331E11" w14:paraId="4CB99E45" w14:textId="77777777">
            <w:pPr>
              <w:jc w:val="center"/>
              <w:rPr>
                <w:rFonts w:eastAsia="Arial Unicode MS" w:cs="Arial Unicode MS"/>
                <w:sz w:val="20"/>
                <w:szCs w:val="20"/>
                <w:lang w:eastAsia="zh-CN"/>
              </w:rPr>
            </w:pPr>
            <w:r w:rsidRPr="00E250DA">
              <w:rPr>
                <w:rFonts w:eastAsia="Arial Unicode MS" w:cs="Arial Unicode MS"/>
                <w:sz w:val="20"/>
                <w:szCs w:val="20"/>
                <w:lang w:eastAsia="zh-CN"/>
              </w:rPr>
              <w:t>SFA,</w:t>
            </w:r>
          </w:p>
          <w:p w:rsidRPr="00E250DA" w:rsidR="00331E11" w:rsidP="00331E11" w:rsidRDefault="00331E11" w14:paraId="07F9A66B" w14:textId="77777777">
            <w:pPr>
              <w:jc w:val="center"/>
              <w:rPr>
                <w:rFonts w:eastAsia="Arial Unicode MS" w:cs="Arial Unicode MS"/>
                <w:sz w:val="20"/>
                <w:szCs w:val="20"/>
                <w:lang w:eastAsia="zh-CN"/>
              </w:rPr>
            </w:pPr>
            <w:r w:rsidRPr="00E250DA">
              <w:rPr>
                <w:rFonts w:eastAsia="Arial Unicode MS" w:cs="Arial Unicode MS"/>
                <w:sz w:val="20"/>
                <w:szCs w:val="20"/>
                <w:lang w:eastAsia="zh-CN"/>
              </w:rPr>
              <w:t>CCR Model</w:t>
            </w:r>
          </w:p>
          <w:p w:rsidRPr="00CE5391" w:rsidR="00331E11" w:rsidP="00331E11" w:rsidRDefault="00331E11" w14:paraId="0F721930" w14:textId="7FBE89FB">
            <w:pPr>
              <w:jc w:val="center"/>
              <w:rPr>
                <w:rFonts w:eastAsia="Arial Unicode MS" w:cs="Arial Unicode MS"/>
                <w:color w:val="000000" w:themeColor="text1"/>
                <w:sz w:val="20"/>
                <w:szCs w:val="20"/>
                <w:lang w:eastAsia="zh-CN"/>
              </w:rPr>
            </w:pPr>
            <w:r w:rsidRPr="00E250DA">
              <w:rPr>
                <w:rFonts w:eastAsia="Arial Unicode MS" w:cs="Arial Unicode MS"/>
                <w:sz w:val="20"/>
                <w:szCs w:val="20"/>
                <w:lang w:eastAsia="zh-CN"/>
              </w:rPr>
              <w:t>BCC Model</w:t>
            </w:r>
          </w:p>
        </w:tc>
        <w:tc>
          <w:tcPr>
            <w:tcW w:w="1210" w:type="pct"/>
            <w:tcMar/>
          </w:tcPr>
          <w:p w:rsidRPr="00CE5391" w:rsidR="00331E11" w:rsidP="00331E11" w:rsidRDefault="00331E11" w14:paraId="273CF066" w14:textId="77777777">
            <w:pPr>
              <w:jc w:val="center"/>
              <w:rPr>
                <w:rFonts w:hint="eastAsia" w:cs="Calibri"/>
                <w:sz w:val="20"/>
                <w:szCs w:val="20"/>
              </w:rPr>
            </w:pPr>
            <w:r>
              <w:rPr>
                <w:rFonts w:cs="Calibri"/>
                <w:sz w:val="20"/>
                <w:szCs w:val="20"/>
              </w:rPr>
              <w:t>n/a</w:t>
            </w:r>
          </w:p>
        </w:tc>
        <w:tc>
          <w:tcPr>
            <w:tcW w:w="939" w:type="pct"/>
            <w:tcMar/>
          </w:tcPr>
          <w:p w:rsidRPr="00CE5391" w:rsidR="00331E11" w:rsidP="00331E11" w:rsidRDefault="00331E11" w14:paraId="67DF481A" w14:textId="77777777">
            <w:pPr>
              <w:jc w:val="center"/>
              <w:rPr>
                <w:rFonts w:hint="eastAsia" w:cs="Calibri"/>
                <w:sz w:val="20"/>
                <w:szCs w:val="20"/>
              </w:rPr>
            </w:pPr>
            <w:r>
              <w:rPr>
                <w:rFonts w:cs="Calibri"/>
                <w:sz w:val="20"/>
                <w:szCs w:val="20"/>
              </w:rPr>
              <w:t>n/a</w:t>
            </w:r>
          </w:p>
        </w:tc>
      </w:tr>
      <w:tr w:rsidR="2B7FFB25" w:rsidTr="4F940BA9" w14:paraId="466F6CAB" w14:textId="77777777">
        <w:trPr>
          <w:trHeight w:val="720"/>
        </w:trPr>
        <w:tc>
          <w:tcPr>
            <w:tcW w:w="901" w:type="dxa"/>
            <w:tcMar/>
          </w:tcPr>
          <w:p w:rsidR="2B7FFB25" w:rsidP="2B7FFB25" w:rsidRDefault="2B7FFB25" w14:paraId="5D5C5452" w14:textId="1E27AECE">
            <w:pPr>
              <w:jc w:val="center"/>
              <w:rPr>
                <w:rFonts w:hint="eastAsia"/>
                <w:sz w:val="20"/>
                <w:szCs w:val="20"/>
              </w:rPr>
            </w:pPr>
            <w:r w:rsidRPr="2B7FFB25">
              <w:rPr>
                <w:sz w:val="20"/>
                <w:szCs w:val="20"/>
              </w:rPr>
              <w:t>3</w:t>
            </w:r>
          </w:p>
        </w:tc>
        <w:tc>
          <w:tcPr>
            <w:tcW w:w="1979" w:type="dxa"/>
            <w:tcMar/>
          </w:tcPr>
          <w:p w:rsidR="2B7FFB25" w:rsidP="2B7FFB25" w:rsidRDefault="2B7FFB25" w14:paraId="3F6EB2F3" w14:textId="629E8C78">
            <w:pPr>
              <w:jc w:val="center"/>
              <w:rPr>
                <w:rFonts w:hint="eastAsia"/>
              </w:rPr>
            </w:pPr>
            <w:r w:rsidRPr="2B7FFB25">
              <w:rPr>
                <w:rFonts w:ascii="Aptos" w:hAnsi="Aptos" w:eastAsia="Aptos" w:cs="Aptos"/>
                <w:color w:val="000000" w:themeColor="text1"/>
                <w:sz w:val="19"/>
                <w:szCs w:val="19"/>
              </w:rPr>
              <w:t>Xiaogang Chen, Michael Skully, and Kym Brown (2005)</w:t>
            </w:r>
          </w:p>
        </w:tc>
        <w:tc>
          <w:tcPr>
            <w:tcW w:w="2249" w:type="dxa"/>
            <w:tcMar/>
          </w:tcPr>
          <w:p w:rsidR="2B7FFB25" w:rsidP="2B7FFB25" w:rsidRDefault="2B7FFB25" w14:paraId="7E280BFD" w14:textId="61C2290C">
            <w:pPr>
              <w:jc w:val="center"/>
              <w:rPr>
                <w:rFonts w:hint="eastAsia"/>
              </w:rPr>
            </w:pPr>
            <w:r w:rsidRPr="2B7FFB25">
              <w:rPr>
                <w:rFonts w:ascii="Aptos" w:hAnsi="Aptos" w:eastAsia="Aptos" w:cs="Aptos"/>
                <w:color w:val="000000" w:themeColor="text1"/>
                <w:sz w:val="19"/>
                <w:szCs w:val="19"/>
              </w:rPr>
              <w:t>CCR model</w:t>
            </w:r>
          </w:p>
        </w:tc>
        <w:tc>
          <w:tcPr>
            <w:tcW w:w="2177" w:type="dxa"/>
            <w:tcMar/>
          </w:tcPr>
          <w:p w:rsidR="2B7FFB25" w:rsidP="2B7FFB25" w:rsidRDefault="2B7FFB25" w14:paraId="63A6DDDD" w14:textId="0A4E174B">
            <w:pPr>
              <w:jc w:val="center"/>
              <w:rPr>
                <w:rFonts w:hint="eastAsia"/>
              </w:rPr>
            </w:pPr>
            <w:r w:rsidRPr="2B7FFB25">
              <w:rPr>
                <w:rFonts w:ascii="Aptos" w:hAnsi="Aptos" w:eastAsia="Aptos" w:cs="Aptos"/>
                <w:color w:val="000000" w:themeColor="text1"/>
                <w:sz w:val="19"/>
                <w:szCs w:val="19"/>
              </w:rPr>
              <w:t>n/a</w:t>
            </w:r>
          </w:p>
        </w:tc>
        <w:tc>
          <w:tcPr>
            <w:tcW w:w="1689" w:type="dxa"/>
            <w:tcMar/>
          </w:tcPr>
          <w:p w:rsidR="2B7FFB25" w:rsidP="2B7FFB25" w:rsidRDefault="2B7FFB25" w14:paraId="4E964981" w14:textId="25D18D1F">
            <w:pPr>
              <w:jc w:val="center"/>
              <w:rPr>
                <w:rFonts w:hint="eastAsia"/>
              </w:rPr>
            </w:pPr>
            <w:r w:rsidRPr="2B7FFB25">
              <w:rPr>
                <w:rFonts w:ascii="Aptos" w:hAnsi="Aptos" w:eastAsia="Aptos" w:cs="Aptos"/>
                <w:color w:val="000000" w:themeColor="text1"/>
                <w:sz w:val="19"/>
                <w:szCs w:val="19"/>
              </w:rPr>
              <w:t>n/a</w:t>
            </w:r>
          </w:p>
        </w:tc>
      </w:tr>
      <w:tr w:rsidRPr="00CE5391" w:rsidR="00331E11" w:rsidTr="4F940BA9" w14:paraId="18956A93" w14:textId="77777777">
        <w:trPr>
          <w:trHeight w:val="284"/>
        </w:trPr>
        <w:tc>
          <w:tcPr>
            <w:tcW w:w="501" w:type="pct"/>
            <w:tcMar/>
          </w:tcPr>
          <w:p w:rsidRPr="00B40DFB" w:rsidR="00331E11" w:rsidP="00331E11" w:rsidRDefault="00331E11" w14:paraId="59ED1D76" w14:textId="3BB7308A">
            <w:pPr>
              <w:jc w:val="center"/>
              <w:rPr>
                <w:rFonts w:hint="eastAsia" w:cs="Calibri"/>
                <w:sz w:val="20"/>
                <w:szCs w:val="20"/>
                <w:lang w:eastAsia="zh-CN"/>
              </w:rPr>
            </w:pPr>
            <w:r>
              <w:rPr>
                <w:rFonts w:cs="Calibri"/>
                <w:sz w:val="20"/>
                <w:szCs w:val="20"/>
                <w:lang w:eastAsia="zh-CN"/>
              </w:rPr>
              <w:t>5</w:t>
            </w:r>
          </w:p>
        </w:tc>
        <w:tc>
          <w:tcPr>
            <w:tcW w:w="1100" w:type="pct"/>
            <w:tcMar/>
          </w:tcPr>
          <w:p w:rsidRPr="009B153E" w:rsidR="00331E11" w:rsidP="00331E11" w:rsidRDefault="00331E11" w14:paraId="0E9F236C" w14:textId="560005D8">
            <w:pPr>
              <w:jc w:val="center"/>
              <w:rPr>
                <w:rFonts w:hint="eastAsia" w:cs="Calibri"/>
                <w:sz w:val="20"/>
                <w:szCs w:val="20"/>
                <w:lang w:eastAsia="zh-CN"/>
              </w:rPr>
            </w:pPr>
            <w:r w:rsidRPr="00B40DFB">
              <w:rPr>
                <w:rFonts w:cs="Calibri"/>
                <w:sz w:val="20"/>
                <w:szCs w:val="20"/>
                <w:lang w:eastAsia="zh-CN"/>
              </w:rPr>
              <w:t>Matthews</w:t>
            </w:r>
            <w:r>
              <w:rPr>
                <w:rFonts w:cs="Calibri"/>
                <w:sz w:val="20"/>
                <w:szCs w:val="20"/>
                <w:lang w:eastAsia="zh-CN"/>
              </w:rPr>
              <w:t xml:space="preserve"> (</w:t>
            </w:r>
            <w:r w:rsidRPr="00B40DFB">
              <w:rPr>
                <w:rFonts w:cs="Calibri"/>
                <w:sz w:val="20"/>
                <w:szCs w:val="20"/>
                <w:lang w:eastAsia="zh-CN"/>
              </w:rPr>
              <w:t>2013</w:t>
            </w:r>
            <w:r>
              <w:rPr>
                <w:rFonts w:cs="Calibri"/>
                <w:sz w:val="20"/>
                <w:szCs w:val="20"/>
                <w:lang w:eastAsia="zh-CN"/>
              </w:rPr>
              <w:t>)</w:t>
            </w:r>
          </w:p>
        </w:tc>
        <w:tc>
          <w:tcPr>
            <w:tcW w:w="1250" w:type="pct"/>
            <w:tcMar/>
          </w:tcPr>
          <w:p w:rsidR="00331E11" w:rsidP="00331E11" w:rsidRDefault="00331E11" w14:paraId="0A1EA4F4" w14:textId="4BC0550C">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Network DEA Model</w:t>
            </w:r>
          </w:p>
        </w:tc>
        <w:tc>
          <w:tcPr>
            <w:tcW w:w="1210" w:type="pct"/>
            <w:tcMar/>
          </w:tcPr>
          <w:p w:rsidRPr="00CE5391" w:rsidR="00331E11" w:rsidP="00331E11" w:rsidRDefault="00331E11" w14:paraId="54AAD964" w14:textId="77777777">
            <w:pPr>
              <w:jc w:val="center"/>
              <w:rPr>
                <w:rFonts w:hint="eastAsia" w:cs="Calibri"/>
                <w:sz w:val="20"/>
                <w:szCs w:val="20"/>
              </w:rPr>
            </w:pPr>
            <w:r>
              <w:rPr>
                <w:rFonts w:cs="Calibri"/>
                <w:sz w:val="20"/>
                <w:szCs w:val="20"/>
              </w:rPr>
              <w:t>n/a</w:t>
            </w:r>
          </w:p>
        </w:tc>
        <w:tc>
          <w:tcPr>
            <w:tcW w:w="939" w:type="pct"/>
            <w:tcMar/>
          </w:tcPr>
          <w:p w:rsidRPr="00CE5391" w:rsidR="00331E11" w:rsidP="00331E11" w:rsidRDefault="00331E11" w14:paraId="3962A65F" w14:textId="77777777">
            <w:pPr>
              <w:jc w:val="center"/>
              <w:rPr>
                <w:rFonts w:hint="eastAsia" w:cs="Calibri"/>
                <w:sz w:val="20"/>
                <w:szCs w:val="20"/>
              </w:rPr>
            </w:pPr>
            <w:r>
              <w:rPr>
                <w:rFonts w:cs="Calibri"/>
                <w:sz w:val="20"/>
                <w:szCs w:val="20"/>
              </w:rPr>
              <w:t>n/a</w:t>
            </w:r>
          </w:p>
        </w:tc>
      </w:tr>
      <w:tr w:rsidR="2B7FFB25" w:rsidTr="4F940BA9" w14:paraId="54D1D24B" w14:textId="77777777">
        <w:trPr>
          <w:trHeight w:val="284"/>
        </w:trPr>
        <w:tc>
          <w:tcPr>
            <w:tcW w:w="901" w:type="dxa"/>
            <w:tcMar/>
          </w:tcPr>
          <w:p w:rsidR="2B7FFB25" w:rsidP="2B7FFB25" w:rsidRDefault="2B7FFB25" w14:paraId="5164104F" w14:textId="2BE5727E">
            <w:pPr>
              <w:jc w:val="center"/>
              <w:rPr>
                <w:rFonts w:hint="eastAsia"/>
                <w:sz w:val="20"/>
                <w:szCs w:val="20"/>
              </w:rPr>
            </w:pPr>
            <w:r w:rsidRPr="2B7FFB25">
              <w:rPr>
                <w:sz w:val="20"/>
                <w:szCs w:val="20"/>
              </w:rPr>
              <w:t>8</w:t>
            </w:r>
          </w:p>
        </w:tc>
        <w:tc>
          <w:tcPr>
            <w:tcW w:w="1979" w:type="dxa"/>
            <w:tcMar/>
          </w:tcPr>
          <w:p w:rsidR="2B7FFB25" w:rsidP="2B7FFB25" w:rsidRDefault="2B7FFB25" w14:paraId="3F4D93B4" w14:textId="72E4701D">
            <w:pPr>
              <w:jc w:val="center"/>
              <w:rPr>
                <w:rFonts w:hint="eastAsia"/>
              </w:rPr>
            </w:pPr>
            <w:r w:rsidRPr="2B7FFB25">
              <w:rPr>
                <w:rFonts w:ascii="Aptos" w:hAnsi="Aptos" w:eastAsia="Aptos" w:cs="Aptos"/>
                <w:color w:val="000000" w:themeColor="text1"/>
                <w:sz w:val="19"/>
                <w:szCs w:val="19"/>
              </w:rPr>
              <w:t>Xiaohong Liu, Feng Yang, Jie Wu (2020)</w:t>
            </w:r>
          </w:p>
        </w:tc>
        <w:tc>
          <w:tcPr>
            <w:tcW w:w="2249" w:type="dxa"/>
            <w:tcMar/>
          </w:tcPr>
          <w:p w:rsidR="2B7FFB25" w:rsidP="2B7FFB25" w:rsidRDefault="2B7FFB25" w14:paraId="7F43A99C" w14:textId="306E80B5">
            <w:pPr>
              <w:jc w:val="center"/>
              <w:rPr>
                <w:rFonts w:hint="eastAsia"/>
              </w:rPr>
            </w:pPr>
            <w:r w:rsidRPr="2B7FFB25">
              <w:rPr>
                <w:rFonts w:ascii="Aptos" w:hAnsi="Aptos" w:eastAsia="Aptos" w:cs="Aptos"/>
                <w:color w:val="000000" w:themeColor="text1"/>
                <w:sz w:val="19"/>
                <w:szCs w:val="19"/>
              </w:rPr>
              <w:t>Meta-frontier  DDF model</w:t>
            </w:r>
          </w:p>
        </w:tc>
        <w:tc>
          <w:tcPr>
            <w:tcW w:w="2177" w:type="dxa"/>
            <w:tcMar/>
          </w:tcPr>
          <w:p w:rsidR="2B7FFB25" w:rsidP="2B7FFB25" w:rsidRDefault="2B7FFB25" w14:paraId="236A113E" w14:textId="0A4E174B">
            <w:pPr>
              <w:jc w:val="center"/>
              <w:rPr>
                <w:rFonts w:hint="eastAsia"/>
              </w:rPr>
            </w:pPr>
            <w:r w:rsidRPr="2B7FFB25">
              <w:rPr>
                <w:rFonts w:ascii="Aptos" w:hAnsi="Aptos" w:eastAsia="Aptos" w:cs="Aptos"/>
                <w:color w:val="000000" w:themeColor="text1"/>
                <w:sz w:val="19"/>
                <w:szCs w:val="19"/>
              </w:rPr>
              <w:t>n/a</w:t>
            </w:r>
          </w:p>
        </w:tc>
        <w:tc>
          <w:tcPr>
            <w:tcW w:w="1689" w:type="dxa"/>
            <w:tcMar/>
          </w:tcPr>
          <w:p w:rsidR="2B7FFB25" w:rsidP="2B7FFB25" w:rsidRDefault="2B7FFB25" w14:paraId="43831B71" w14:textId="25D18D1F">
            <w:pPr>
              <w:jc w:val="center"/>
              <w:rPr>
                <w:rFonts w:hint="eastAsia"/>
              </w:rPr>
            </w:pPr>
            <w:r w:rsidRPr="2B7FFB25">
              <w:rPr>
                <w:rFonts w:ascii="Aptos" w:hAnsi="Aptos" w:eastAsia="Aptos" w:cs="Aptos"/>
                <w:color w:val="000000" w:themeColor="text1"/>
                <w:sz w:val="19"/>
                <w:szCs w:val="19"/>
              </w:rPr>
              <w:t>n/a</w:t>
            </w:r>
          </w:p>
        </w:tc>
      </w:tr>
      <w:tr w:rsidR="2B7FFB25" w:rsidTr="4F940BA9" w14:paraId="3D88390D" w14:textId="77777777">
        <w:trPr>
          <w:trHeight w:val="284"/>
        </w:trPr>
        <w:tc>
          <w:tcPr>
            <w:tcW w:w="901" w:type="dxa"/>
            <w:tcMar/>
          </w:tcPr>
          <w:p w:rsidR="2B7FFB25" w:rsidP="2B7FFB25" w:rsidRDefault="2B7FFB25" w14:paraId="2E95DB55" w14:textId="07987C8E">
            <w:pPr>
              <w:jc w:val="center"/>
              <w:rPr>
                <w:rFonts w:hint="eastAsia"/>
                <w:sz w:val="20"/>
                <w:szCs w:val="20"/>
              </w:rPr>
            </w:pPr>
            <w:r w:rsidRPr="2B7FFB25">
              <w:rPr>
                <w:sz w:val="20"/>
                <w:szCs w:val="20"/>
              </w:rPr>
              <w:t>10</w:t>
            </w:r>
          </w:p>
        </w:tc>
        <w:tc>
          <w:tcPr>
            <w:tcW w:w="1979" w:type="dxa"/>
            <w:tcMar/>
          </w:tcPr>
          <w:p w:rsidR="2B7FFB25" w:rsidP="2B7FFB25" w:rsidRDefault="2B7FFB25" w14:paraId="5F87463B" w14:textId="2E696F5C">
            <w:pPr>
              <w:jc w:val="center"/>
              <w:rPr>
                <w:rFonts w:hint="eastAsia" w:cs="Calibri"/>
                <w:sz w:val="20"/>
                <w:szCs w:val="20"/>
                <w:lang w:eastAsia="zh-CN"/>
              </w:rPr>
            </w:pPr>
            <w:r w:rsidRPr="2B7FFB25">
              <w:rPr>
                <w:sz w:val="20"/>
                <w:szCs w:val="20"/>
              </w:rPr>
              <w:t>Wilson and Zhao (2023)</w:t>
            </w:r>
          </w:p>
        </w:tc>
        <w:tc>
          <w:tcPr>
            <w:tcW w:w="2249" w:type="dxa"/>
            <w:tcMar/>
          </w:tcPr>
          <w:p w:rsidR="2B7FFB25" w:rsidP="2B7FFB25" w:rsidRDefault="2B7FFB25" w14:paraId="7D3E7B8E" w14:textId="77777777">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FDH Model</w:t>
            </w:r>
          </w:p>
          <w:p w:rsidR="2B7FFB25" w:rsidP="2B7FFB25" w:rsidRDefault="2B7FFB25" w14:paraId="70557D6F" w14:textId="77777777">
            <w:pPr>
              <w:jc w:val="center"/>
              <w:rPr>
                <w:rFonts w:eastAsia="Arial Unicode MS" w:cs="Arial Unicode MS"/>
                <w:color w:val="000000" w:themeColor="text1"/>
                <w:sz w:val="20"/>
                <w:szCs w:val="20"/>
                <w:lang w:eastAsia="zh-CN"/>
              </w:rPr>
            </w:pPr>
          </w:p>
          <w:p w:rsidR="2B7FFB25" w:rsidP="2B7FFB25" w:rsidRDefault="2B7FFB25" w14:paraId="18644E8D" w14:textId="77777777">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Statistical tests:</w:t>
            </w:r>
          </w:p>
          <w:p w:rsidR="2B7FFB25" w:rsidP="2B7FFB25" w:rsidRDefault="2B7FFB25" w14:paraId="38445DCC" w14:textId="77777777">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Kneip et.al convexity test</w:t>
            </w:r>
          </w:p>
          <w:p w:rsidR="2B7FFB25" w:rsidP="2B7FFB25" w:rsidRDefault="2B7FFB25" w14:paraId="4D5639AA" w14:textId="77777777">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Kneip et.al mean difference test</w:t>
            </w:r>
          </w:p>
        </w:tc>
        <w:tc>
          <w:tcPr>
            <w:tcW w:w="2177" w:type="dxa"/>
            <w:tcMar/>
          </w:tcPr>
          <w:p w:rsidR="2B7FFB25" w:rsidP="2B7FFB25" w:rsidRDefault="2B7FFB25" w14:paraId="06445D03" w14:textId="77777777">
            <w:pPr>
              <w:jc w:val="center"/>
              <w:rPr>
                <w:rFonts w:hint="eastAsia" w:cs="Calibri"/>
                <w:sz w:val="20"/>
                <w:szCs w:val="20"/>
              </w:rPr>
            </w:pPr>
            <w:r w:rsidRPr="2B7FFB25">
              <w:rPr>
                <w:rFonts w:cs="Calibri"/>
                <w:sz w:val="20"/>
                <w:szCs w:val="20"/>
              </w:rPr>
              <w:t>n/a</w:t>
            </w:r>
          </w:p>
        </w:tc>
        <w:tc>
          <w:tcPr>
            <w:tcW w:w="1689" w:type="dxa"/>
            <w:tcMar/>
          </w:tcPr>
          <w:p w:rsidR="2B7FFB25" w:rsidP="2B7FFB25" w:rsidRDefault="2B7FFB25" w14:paraId="039C4DA1" w14:textId="77777777">
            <w:pPr>
              <w:jc w:val="center"/>
              <w:rPr>
                <w:rFonts w:hint="eastAsia" w:cs="Calibri"/>
                <w:sz w:val="20"/>
                <w:szCs w:val="20"/>
              </w:rPr>
            </w:pPr>
            <w:r w:rsidRPr="2B7FFB25">
              <w:rPr>
                <w:rFonts w:cs="Calibri"/>
                <w:sz w:val="20"/>
                <w:szCs w:val="20"/>
              </w:rPr>
              <w:t>n/a</w:t>
            </w:r>
          </w:p>
        </w:tc>
      </w:tr>
      <w:tr w:rsidR="2B7FFB25" w:rsidTr="4F940BA9" w14:paraId="5FDF2284" w14:textId="77777777">
        <w:trPr>
          <w:trHeight w:val="284"/>
        </w:trPr>
        <w:tc>
          <w:tcPr>
            <w:tcW w:w="901" w:type="dxa"/>
            <w:tcMar/>
          </w:tcPr>
          <w:p w:rsidR="2B7FFB25" w:rsidP="2B7FFB25" w:rsidRDefault="2B7FFB25" w14:paraId="7A5A96B3" w14:textId="2C955D0C">
            <w:pPr>
              <w:jc w:val="center"/>
              <w:rPr>
                <w:rFonts w:hint="eastAsia"/>
                <w:sz w:val="20"/>
                <w:szCs w:val="20"/>
              </w:rPr>
            </w:pPr>
            <w:r w:rsidRPr="2B7FFB25">
              <w:rPr>
                <w:sz w:val="20"/>
                <w:szCs w:val="20"/>
              </w:rPr>
              <w:t>13</w:t>
            </w:r>
          </w:p>
        </w:tc>
        <w:tc>
          <w:tcPr>
            <w:tcW w:w="1979" w:type="dxa"/>
            <w:tcMar/>
          </w:tcPr>
          <w:p w:rsidR="2B7FFB25" w:rsidP="2B7FFB25" w:rsidRDefault="2B7FFB25" w14:paraId="07D70EF1" w14:textId="2C564AD5">
            <w:pPr>
              <w:jc w:val="center"/>
              <w:rPr>
                <w:rFonts w:hint="eastAsia"/>
              </w:rPr>
            </w:pPr>
            <w:r w:rsidRPr="2B7FFB25">
              <w:rPr>
                <w:rFonts w:ascii="Aptos" w:hAnsi="Aptos" w:eastAsia="Aptos" w:cs="Aptos"/>
                <w:color w:val="000000" w:themeColor="text1"/>
                <w:sz w:val="19"/>
                <w:szCs w:val="19"/>
              </w:rPr>
              <w:t>Xiao Shi, Libo Wang, Ali Emrouznejad (2023)</w:t>
            </w:r>
          </w:p>
        </w:tc>
        <w:tc>
          <w:tcPr>
            <w:tcW w:w="2249" w:type="dxa"/>
            <w:tcMar/>
          </w:tcPr>
          <w:p w:rsidR="2B7FFB25" w:rsidP="2B7FFB25" w:rsidRDefault="2B7FFB25" w14:paraId="51F24F72" w14:textId="005D2DBB">
            <w:pPr>
              <w:jc w:val="center"/>
              <w:rPr>
                <w:rFonts w:hint="eastAsia"/>
              </w:rPr>
            </w:pPr>
            <w:r w:rsidRPr="2B7FFB25">
              <w:rPr>
                <w:rFonts w:ascii="Aptos" w:hAnsi="Aptos" w:eastAsia="Aptos" w:cs="Aptos"/>
                <w:color w:val="000000" w:themeColor="text1"/>
                <w:sz w:val="19"/>
                <w:szCs w:val="19"/>
              </w:rPr>
              <w:t>SBM Model</w:t>
            </w:r>
          </w:p>
        </w:tc>
        <w:tc>
          <w:tcPr>
            <w:tcW w:w="2177" w:type="dxa"/>
            <w:tcMar/>
          </w:tcPr>
          <w:p w:rsidR="2B7FFB25" w:rsidP="2B7FFB25" w:rsidRDefault="2B7FFB25" w14:paraId="0C43CFED" w14:textId="37297F3B">
            <w:pPr>
              <w:jc w:val="center"/>
              <w:rPr>
                <w:rFonts w:hint="eastAsia"/>
              </w:rPr>
            </w:pPr>
            <w:r w:rsidRPr="2B7FFB25">
              <w:rPr>
                <w:rFonts w:ascii="Aptos" w:hAnsi="Aptos" w:eastAsia="Aptos" w:cs="Aptos"/>
                <w:color w:val="000000" w:themeColor="text1"/>
                <w:sz w:val="19"/>
                <w:szCs w:val="19"/>
              </w:rPr>
              <w:t>n/a</w:t>
            </w:r>
          </w:p>
        </w:tc>
        <w:tc>
          <w:tcPr>
            <w:tcW w:w="1689" w:type="dxa"/>
            <w:tcMar/>
          </w:tcPr>
          <w:p w:rsidR="2B7FFB25" w:rsidP="2B7FFB25" w:rsidRDefault="2B7FFB25" w14:paraId="72A31BB4" w14:textId="7F70435B">
            <w:pPr>
              <w:jc w:val="center"/>
              <w:rPr>
                <w:rFonts w:hint="eastAsia"/>
              </w:rPr>
            </w:pPr>
            <w:r w:rsidRPr="2B7FFB25">
              <w:rPr>
                <w:rFonts w:ascii="Aptos" w:hAnsi="Aptos" w:eastAsia="Aptos" w:cs="Aptos"/>
                <w:color w:val="000000" w:themeColor="text1"/>
                <w:sz w:val="19"/>
                <w:szCs w:val="19"/>
              </w:rPr>
              <w:t>n/a</w:t>
            </w:r>
          </w:p>
        </w:tc>
      </w:tr>
      <w:tr w:rsidRPr="00CE5391" w:rsidR="00331E11" w:rsidTr="4F940BA9" w14:paraId="5DAFA58F" w14:textId="77777777">
        <w:trPr>
          <w:trHeight w:val="284"/>
        </w:trPr>
        <w:tc>
          <w:tcPr>
            <w:tcW w:w="501" w:type="pct"/>
            <w:tcMar/>
          </w:tcPr>
          <w:p w:rsidRPr="00E751D5" w:rsidR="00331E11" w:rsidP="00331E11" w:rsidRDefault="00331E11" w14:paraId="19FFBF33" w14:textId="7DCDE3D0">
            <w:pPr>
              <w:jc w:val="center"/>
              <w:rPr>
                <w:rFonts w:hint="eastAsia" w:cs="Calibri"/>
                <w:sz w:val="20"/>
                <w:szCs w:val="20"/>
                <w:lang w:eastAsia="zh-CN"/>
              </w:rPr>
            </w:pPr>
            <w:r>
              <w:rPr>
                <w:rFonts w:cs="Calibri"/>
                <w:sz w:val="20"/>
                <w:szCs w:val="20"/>
                <w:lang w:eastAsia="zh-CN"/>
              </w:rPr>
              <w:t>15</w:t>
            </w:r>
          </w:p>
        </w:tc>
        <w:tc>
          <w:tcPr>
            <w:tcW w:w="1100" w:type="pct"/>
            <w:tcMar/>
          </w:tcPr>
          <w:p w:rsidRPr="00B40DFB" w:rsidR="00331E11" w:rsidP="00331E11" w:rsidRDefault="00331E11" w14:paraId="372637A2" w14:textId="1E6168D7">
            <w:pPr>
              <w:jc w:val="center"/>
              <w:rPr>
                <w:rFonts w:hint="eastAsia" w:cs="Calibri"/>
                <w:sz w:val="20"/>
                <w:szCs w:val="20"/>
                <w:lang w:eastAsia="zh-CN"/>
              </w:rPr>
            </w:pPr>
            <w:r w:rsidRPr="00E751D5">
              <w:rPr>
                <w:rFonts w:cs="Calibri"/>
                <w:sz w:val="20"/>
                <w:szCs w:val="20"/>
                <w:lang w:eastAsia="zh-CN"/>
              </w:rPr>
              <w:t xml:space="preserve">Asmild and Matthews </w:t>
            </w:r>
            <w:r>
              <w:rPr>
                <w:rFonts w:cs="Calibri"/>
                <w:sz w:val="20"/>
                <w:szCs w:val="20"/>
                <w:lang w:eastAsia="zh-CN"/>
              </w:rPr>
              <w:t>(</w:t>
            </w:r>
            <w:r w:rsidRPr="00E751D5">
              <w:rPr>
                <w:rFonts w:cs="Calibri"/>
                <w:sz w:val="20"/>
                <w:szCs w:val="20"/>
                <w:lang w:eastAsia="zh-CN"/>
              </w:rPr>
              <w:t>2012)</w:t>
            </w:r>
          </w:p>
        </w:tc>
        <w:tc>
          <w:tcPr>
            <w:tcW w:w="1250" w:type="pct"/>
            <w:tcMar/>
          </w:tcPr>
          <w:p w:rsidR="00331E11" w:rsidP="00331E11" w:rsidRDefault="00331E11" w14:paraId="50311E76" w14:textId="77777777">
            <w:pPr>
              <w:jc w:val="center"/>
              <w:rPr>
                <w:rFonts w:eastAsia="Arial Unicode MS" w:cs="Arial Unicode MS"/>
                <w:color w:val="000000" w:themeColor="text1"/>
                <w:sz w:val="20"/>
                <w:szCs w:val="20"/>
                <w:lang w:eastAsia="zh-CN"/>
              </w:rPr>
            </w:pPr>
            <w:r w:rsidRPr="00566962">
              <w:rPr>
                <w:rFonts w:eastAsia="Arial Unicode MS" w:cs="Arial Unicode MS"/>
                <w:sz w:val="20"/>
                <w:szCs w:val="20"/>
                <w:lang w:eastAsia="zh-CN"/>
              </w:rPr>
              <w:t>Multi-directional SBM</w:t>
            </w:r>
          </w:p>
        </w:tc>
        <w:tc>
          <w:tcPr>
            <w:tcW w:w="1210" w:type="pct"/>
            <w:tcMar/>
          </w:tcPr>
          <w:p w:rsidR="00331E11" w:rsidP="00331E11" w:rsidRDefault="00331E11" w14:paraId="076A8231" w14:textId="77777777">
            <w:pPr>
              <w:jc w:val="center"/>
              <w:rPr>
                <w:rFonts w:hint="eastAsia" w:cs="Calibri"/>
                <w:sz w:val="20"/>
                <w:szCs w:val="20"/>
              </w:rPr>
            </w:pPr>
            <w:r>
              <w:rPr>
                <w:rFonts w:cs="Calibri"/>
                <w:sz w:val="20"/>
                <w:szCs w:val="20"/>
              </w:rPr>
              <w:t>n/a</w:t>
            </w:r>
          </w:p>
        </w:tc>
        <w:tc>
          <w:tcPr>
            <w:tcW w:w="939" w:type="pct"/>
            <w:tcMar/>
          </w:tcPr>
          <w:p w:rsidR="00331E11" w:rsidP="00331E11" w:rsidRDefault="00331E11" w14:paraId="1C1145CE" w14:textId="77777777">
            <w:pPr>
              <w:jc w:val="center"/>
              <w:rPr>
                <w:rFonts w:hint="eastAsia" w:cs="Calibri"/>
                <w:sz w:val="20"/>
                <w:szCs w:val="20"/>
              </w:rPr>
            </w:pPr>
            <w:r>
              <w:rPr>
                <w:rFonts w:cs="Calibri"/>
                <w:sz w:val="20"/>
                <w:szCs w:val="20"/>
              </w:rPr>
              <w:t>n/a</w:t>
            </w:r>
          </w:p>
        </w:tc>
      </w:tr>
      <w:tr w:rsidR="2B7FFB25" w:rsidTr="4F940BA9" w14:paraId="09DADED4" w14:textId="77777777">
        <w:trPr>
          <w:trHeight w:val="284"/>
        </w:trPr>
        <w:tc>
          <w:tcPr>
            <w:tcW w:w="901" w:type="dxa"/>
            <w:tcMar/>
          </w:tcPr>
          <w:p w:rsidR="32119245" w:rsidP="2B7FFB25" w:rsidRDefault="32119245" w14:paraId="6EA3FF52" w14:textId="74F3E9E9">
            <w:pPr>
              <w:jc w:val="center"/>
              <w:rPr>
                <w:rFonts w:hint="eastAsia" w:cs="Calibri"/>
                <w:sz w:val="20"/>
                <w:szCs w:val="20"/>
                <w:lang w:eastAsia="zh-CN"/>
              </w:rPr>
            </w:pPr>
            <w:r w:rsidRPr="2B7FFB25">
              <w:rPr>
                <w:rFonts w:cs="Calibri"/>
                <w:sz w:val="20"/>
                <w:szCs w:val="20"/>
                <w:lang w:eastAsia="zh-CN"/>
              </w:rPr>
              <w:t>18</w:t>
            </w:r>
          </w:p>
        </w:tc>
        <w:tc>
          <w:tcPr>
            <w:tcW w:w="1979" w:type="dxa"/>
            <w:tcMar/>
          </w:tcPr>
          <w:p w:rsidR="32119245" w:rsidP="2B7FFB25" w:rsidRDefault="32119245" w14:paraId="3CC264B0" w14:textId="68692A1B">
            <w:pPr>
              <w:jc w:val="center"/>
              <w:rPr>
                <w:rFonts w:hint="eastAsia"/>
              </w:rPr>
            </w:pPr>
            <w:r w:rsidRPr="2B7FFB25">
              <w:rPr>
                <w:rFonts w:ascii="Aptos" w:hAnsi="Aptos" w:eastAsia="Aptos" w:cs="Aptos"/>
                <w:color w:val="000000" w:themeColor="text1"/>
                <w:sz w:val="19"/>
                <w:szCs w:val="19"/>
              </w:rPr>
              <w:t>Kai Du, Andrew C. Worthington, Valentin Zelenyuk (2018)</w:t>
            </w:r>
          </w:p>
        </w:tc>
        <w:tc>
          <w:tcPr>
            <w:tcW w:w="2249" w:type="dxa"/>
            <w:tcMar/>
          </w:tcPr>
          <w:p w:rsidR="2B7FFB25" w:rsidP="2B7FFB25" w:rsidRDefault="2B7FFB25" w14:paraId="36DAC2E6" w14:textId="6A2CC047">
            <w:pPr>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 xml:space="preserve">BCC </w:t>
            </w:r>
            <w:r w:rsidRPr="276D9AEA" w:rsidR="544C7283">
              <w:rPr>
                <w:rFonts w:ascii="Aptos" w:hAnsi="Aptos" w:eastAsia="Aptos" w:cs="Aptos"/>
                <w:color w:val="000000" w:themeColor="text1"/>
                <w:sz w:val="19"/>
                <w:szCs w:val="19"/>
              </w:rPr>
              <w:t xml:space="preserve">and </w:t>
            </w:r>
            <w:r w:rsidRPr="0449B155" w:rsidR="544C7283">
              <w:rPr>
                <w:rFonts w:ascii="Aptos" w:hAnsi="Aptos" w:eastAsia="Aptos" w:cs="Aptos"/>
                <w:color w:val="000000" w:themeColor="text1"/>
                <w:sz w:val="19"/>
                <w:szCs w:val="19"/>
              </w:rPr>
              <w:t>CCR</w:t>
            </w:r>
            <w:r w:rsidRPr="0206382D" w:rsidR="544C7283">
              <w:rPr>
                <w:rFonts w:ascii="Aptos" w:hAnsi="Aptos" w:eastAsia="Aptos" w:cs="Aptos"/>
                <w:color w:val="000000" w:themeColor="text1"/>
                <w:sz w:val="19"/>
                <w:szCs w:val="19"/>
              </w:rPr>
              <w:t xml:space="preserve"> model</w:t>
            </w:r>
          </w:p>
        </w:tc>
        <w:tc>
          <w:tcPr>
            <w:tcW w:w="2177" w:type="dxa"/>
            <w:tcMar/>
          </w:tcPr>
          <w:p w:rsidR="2B7FFB25" w:rsidP="2B7FFB25" w:rsidRDefault="2B7FFB25" w14:paraId="7E771864" w14:textId="36A9CF66">
            <w:pPr>
              <w:jc w:val="center"/>
              <w:rPr>
                <w:rFonts w:hint="eastAsia"/>
              </w:rPr>
            </w:pPr>
            <w:r w:rsidRPr="2B7FFB25">
              <w:rPr>
                <w:rFonts w:ascii="Aptos" w:hAnsi="Aptos" w:eastAsia="Aptos" w:cs="Aptos"/>
                <w:color w:val="000000" w:themeColor="text1"/>
                <w:sz w:val="19"/>
                <w:szCs w:val="19"/>
              </w:rPr>
              <w:t>Truncated regression and double bootstrapping</w:t>
            </w:r>
          </w:p>
        </w:tc>
        <w:tc>
          <w:tcPr>
            <w:tcW w:w="1689" w:type="dxa"/>
            <w:tcMar/>
          </w:tcPr>
          <w:p w:rsidR="2B7FFB25" w:rsidP="2B7FFB25" w:rsidRDefault="2B7FFB25" w14:paraId="4EF9AB0A" w14:textId="18B1917A">
            <w:pPr>
              <w:jc w:val="center"/>
              <w:rPr>
                <w:rFonts w:hint="eastAsia"/>
              </w:rPr>
            </w:pPr>
            <w:r w:rsidRPr="2B7FFB25">
              <w:rPr>
                <w:rFonts w:ascii="Aptos" w:hAnsi="Aptos" w:eastAsia="Aptos" w:cs="Aptos"/>
                <w:color w:val="000000" w:themeColor="text1"/>
                <w:sz w:val="19"/>
                <w:szCs w:val="19"/>
              </w:rPr>
              <w:t>n/a</w:t>
            </w:r>
          </w:p>
        </w:tc>
      </w:tr>
      <w:tr w:rsidR="2B7FFB25" w:rsidTr="4F940BA9" w14:paraId="61279DEB" w14:textId="77777777">
        <w:trPr>
          <w:trHeight w:val="284"/>
        </w:trPr>
        <w:tc>
          <w:tcPr>
            <w:tcW w:w="901" w:type="dxa"/>
            <w:tcMar/>
          </w:tcPr>
          <w:p w:rsidR="329BC9FD" w:rsidP="2B7FFB25" w:rsidRDefault="329BC9FD" w14:paraId="50AC5643" w14:textId="00EE1BD7">
            <w:pPr>
              <w:jc w:val="center"/>
              <w:rPr>
                <w:rFonts w:hint="eastAsia" w:cs="Calibri"/>
                <w:sz w:val="20"/>
                <w:szCs w:val="20"/>
                <w:lang w:eastAsia="zh-CN"/>
              </w:rPr>
            </w:pPr>
            <w:r w:rsidRPr="2B7FFB25">
              <w:rPr>
                <w:rFonts w:cs="Calibri"/>
                <w:sz w:val="20"/>
                <w:szCs w:val="20"/>
                <w:lang w:eastAsia="zh-CN"/>
              </w:rPr>
              <w:t>23</w:t>
            </w:r>
          </w:p>
        </w:tc>
        <w:tc>
          <w:tcPr>
            <w:tcW w:w="1979" w:type="dxa"/>
            <w:tcMar/>
          </w:tcPr>
          <w:p w:rsidR="329BC9FD" w:rsidP="2B7FFB25" w:rsidRDefault="329BC9FD" w14:paraId="0D8BBB75" w14:textId="47E76B63">
            <w:pPr>
              <w:jc w:val="center"/>
              <w:rPr>
                <w:rFonts w:hint="eastAsia"/>
              </w:rPr>
            </w:pPr>
            <w:r w:rsidRPr="2B7FFB25">
              <w:rPr>
                <w:rFonts w:ascii="Aptos" w:hAnsi="Aptos" w:eastAsia="Aptos" w:cs="Aptos"/>
                <w:color w:val="000000" w:themeColor="text1"/>
                <w:sz w:val="19"/>
                <w:szCs w:val="19"/>
              </w:rPr>
              <w:t>James R. Barth, Chen Lin, Yue Ma, Jesús Seade, Frank M. Song (2013)</w:t>
            </w:r>
          </w:p>
        </w:tc>
        <w:tc>
          <w:tcPr>
            <w:tcW w:w="2249" w:type="dxa"/>
            <w:tcMar/>
          </w:tcPr>
          <w:p w:rsidR="329BC9FD" w:rsidP="2B7FFB25" w:rsidRDefault="329BC9FD" w14:paraId="13ED25A5" w14:textId="183A9F43">
            <w:pPr>
              <w:jc w:val="center"/>
              <w:rPr>
                <w:rFonts w:hint="eastAsia"/>
              </w:rPr>
            </w:pPr>
            <w:r w:rsidRPr="2B7FFB25">
              <w:rPr>
                <w:rFonts w:ascii="Aptos" w:hAnsi="Aptos" w:eastAsia="Aptos" w:cs="Aptos"/>
                <w:color w:val="000000" w:themeColor="text1"/>
                <w:sz w:val="19"/>
                <w:szCs w:val="19"/>
              </w:rPr>
              <w:t>BCC model</w:t>
            </w:r>
          </w:p>
        </w:tc>
        <w:tc>
          <w:tcPr>
            <w:tcW w:w="2177" w:type="dxa"/>
            <w:tcMar/>
          </w:tcPr>
          <w:p w:rsidR="2B7FFB25" w:rsidP="2B7FFB25" w:rsidRDefault="2B7FFB25" w14:paraId="1B4045A5" w14:textId="5F63A7DA">
            <w:pPr>
              <w:jc w:val="center"/>
              <w:rPr>
                <w:rFonts w:hint="eastAsia"/>
              </w:rPr>
            </w:pPr>
            <w:r w:rsidRPr="2B7FFB25">
              <w:rPr>
                <w:rFonts w:ascii="Aptos" w:hAnsi="Aptos" w:eastAsia="Aptos" w:cs="Aptos"/>
                <w:color w:val="000000" w:themeColor="text1"/>
                <w:sz w:val="19"/>
                <w:szCs w:val="19"/>
              </w:rPr>
              <w:t>Truncated regression</w:t>
            </w:r>
          </w:p>
        </w:tc>
        <w:tc>
          <w:tcPr>
            <w:tcW w:w="1689" w:type="dxa"/>
            <w:tcMar/>
          </w:tcPr>
          <w:p w:rsidR="2B7FFB25" w:rsidP="2B7FFB25" w:rsidRDefault="2B7FFB25" w14:paraId="1DCD3FAD" w14:textId="2FB29AB5">
            <w:pPr>
              <w:jc w:val="center"/>
              <w:rPr>
                <w:rFonts w:hint="eastAsia"/>
              </w:rPr>
            </w:pPr>
            <w:r w:rsidRPr="2B7FFB25">
              <w:rPr>
                <w:rFonts w:ascii="Aptos" w:hAnsi="Aptos" w:eastAsia="Aptos" w:cs="Aptos"/>
                <w:color w:val="000000" w:themeColor="text1"/>
                <w:sz w:val="19"/>
                <w:szCs w:val="19"/>
              </w:rPr>
              <w:t>n/a</w:t>
            </w:r>
          </w:p>
        </w:tc>
      </w:tr>
      <w:tr w:rsidRPr="00CE5391" w:rsidR="00331E11" w:rsidTr="4F940BA9" w14:paraId="6140BD42" w14:textId="77777777">
        <w:trPr>
          <w:trHeight w:val="284"/>
        </w:trPr>
        <w:tc>
          <w:tcPr>
            <w:tcW w:w="501" w:type="pct"/>
            <w:tcMar/>
          </w:tcPr>
          <w:p w:rsidRPr="00E9480F" w:rsidR="00331E11" w:rsidP="00331E11" w:rsidRDefault="00331E11" w14:paraId="73D94489" w14:textId="5EA99FEA">
            <w:pPr>
              <w:jc w:val="center"/>
              <w:rPr>
                <w:rFonts w:hint="eastAsia" w:cs="Calibri"/>
                <w:sz w:val="20"/>
                <w:szCs w:val="20"/>
                <w:lang w:eastAsia="zh-CN"/>
              </w:rPr>
            </w:pPr>
            <w:r>
              <w:rPr>
                <w:rFonts w:cs="Calibri"/>
                <w:sz w:val="20"/>
                <w:szCs w:val="20"/>
                <w:lang w:eastAsia="zh-CN"/>
              </w:rPr>
              <w:t>25</w:t>
            </w:r>
          </w:p>
        </w:tc>
        <w:tc>
          <w:tcPr>
            <w:tcW w:w="1100" w:type="pct"/>
            <w:tcMar/>
          </w:tcPr>
          <w:p w:rsidRPr="00E751D5" w:rsidR="00331E11" w:rsidP="00331E11" w:rsidRDefault="00331E11" w14:paraId="366F41DB" w14:textId="1B7BB4F1">
            <w:pPr>
              <w:jc w:val="center"/>
              <w:rPr>
                <w:rFonts w:hint="eastAsia" w:cs="Calibri"/>
                <w:sz w:val="20"/>
                <w:szCs w:val="20"/>
                <w:lang w:eastAsia="zh-CN"/>
              </w:rPr>
            </w:pPr>
            <w:r w:rsidRPr="00E9480F">
              <w:rPr>
                <w:rFonts w:cs="Calibri"/>
                <w:sz w:val="20"/>
                <w:szCs w:val="20"/>
                <w:lang w:eastAsia="zh-CN"/>
              </w:rPr>
              <w:t>Xie et al.</w:t>
            </w:r>
            <w:r>
              <w:rPr>
                <w:rFonts w:cs="Calibri"/>
                <w:sz w:val="20"/>
                <w:szCs w:val="20"/>
                <w:lang w:eastAsia="zh-CN"/>
              </w:rPr>
              <w:t xml:space="preserve"> (</w:t>
            </w:r>
            <w:r w:rsidRPr="00E9480F">
              <w:rPr>
                <w:rFonts w:cs="Calibri"/>
                <w:sz w:val="20"/>
                <w:szCs w:val="20"/>
                <w:lang w:eastAsia="zh-CN"/>
              </w:rPr>
              <w:t>2022)</w:t>
            </w:r>
          </w:p>
        </w:tc>
        <w:tc>
          <w:tcPr>
            <w:tcW w:w="1250" w:type="pct"/>
            <w:tcMar/>
          </w:tcPr>
          <w:p w:rsidRPr="00B37EAA" w:rsidR="00331E11" w:rsidP="00331E11" w:rsidRDefault="00331E11" w14:paraId="653E3F67" w14:textId="77777777">
            <w:pPr>
              <w:jc w:val="center"/>
              <w:rPr>
                <w:rFonts w:eastAsia="Arial Unicode MS" w:cs="Arial Unicode MS"/>
                <w:color w:val="FF0000"/>
                <w:sz w:val="20"/>
                <w:szCs w:val="20"/>
                <w:lang w:eastAsia="zh-CN"/>
              </w:rPr>
            </w:pPr>
            <w:r>
              <w:rPr>
                <w:rFonts w:eastAsia="Arial Unicode MS" w:cs="Arial Unicode MS"/>
                <w:sz w:val="20"/>
                <w:szCs w:val="20"/>
                <w:lang w:eastAsia="zh-CN"/>
              </w:rPr>
              <w:t>VRS DDF Model</w:t>
            </w:r>
          </w:p>
        </w:tc>
        <w:tc>
          <w:tcPr>
            <w:tcW w:w="1210" w:type="pct"/>
            <w:tcMar/>
          </w:tcPr>
          <w:p w:rsidR="00331E11" w:rsidP="00331E11" w:rsidRDefault="00331E11" w14:paraId="2013523F" w14:textId="77777777">
            <w:pPr>
              <w:jc w:val="center"/>
              <w:rPr>
                <w:rFonts w:hint="eastAsia" w:cs="Calibri"/>
                <w:sz w:val="20"/>
                <w:szCs w:val="20"/>
              </w:rPr>
            </w:pPr>
            <w:r>
              <w:rPr>
                <w:rFonts w:cs="Calibri"/>
                <w:sz w:val="20"/>
                <w:szCs w:val="20"/>
              </w:rPr>
              <w:t xml:space="preserve">OLS Panel Regression </w:t>
            </w:r>
          </w:p>
        </w:tc>
        <w:tc>
          <w:tcPr>
            <w:tcW w:w="939" w:type="pct"/>
            <w:tcMar/>
          </w:tcPr>
          <w:p w:rsidR="00331E11" w:rsidP="00331E11" w:rsidRDefault="00331E11" w14:paraId="20471015" w14:textId="77777777">
            <w:pPr>
              <w:jc w:val="center"/>
              <w:rPr>
                <w:rFonts w:hint="eastAsia" w:cs="Calibri"/>
                <w:sz w:val="20"/>
                <w:szCs w:val="20"/>
              </w:rPr>
            </w:pPr>
            <w:r>
              <w:rPr>
                <w:rFonts w:cs="Calibri"/>
                <w:sz w:val="20"/>
                <w:szCs w:val="20"/>
              </w:rPr>
              <w:t>n/a</w:t>
            </w:r>
          </w:p>
        </w:tc>
      </w:tr>
      <w:tr w:rsidR="2B7FFB25" w:rsidTr="4F940BA9" w14:paraId="0811EE10" w14:textId="77777777">
        <w:trPr>
          <w:trHeight w:val="284"/>
        </w:trPr>
        <w:tc>
          <w:tcPr>
            <w:tcW w:w="901" w:type="dxa"/>
            <w:tcMar/>
          </w:tcPr>
          <w:p w:rsidR="03F04039" w:rsidP="2B7FFB25" w:rsidRDefault="03F04039" w14:paraId="5A673986" w14:textId="7D802A0A">
            <w:pPr>
              <w:jc w:val="center"/>
              <w:rPr>
                <w:rFonts w:hint="eastAsia" w:cs="Calibri"/>
                <w:sz w:val="20"/>
                <w:szCs w:val="20"/>
                <w:lang w:eastAsia="zh-CN"/>
              </w:rPr>
            </w:pPr>
            <w:r w:rsidRPr="2B7FFB25">
              <w:rPr>
                <w:rFonts w:cs="Calibri"/>
                <w:sz w:val="20"/>
                <w:szCs w:val="20"/>
                <w:lang w:eastAsia="zh-CN"/>
              </w:rPr>
              <w:t>28</w:t>
            </w:r>
          </w:p>
        </w:tc>
        <w:tc>
          <w:tcPr>
            <w:tcW w:w="1979" w:type="dxa"/>
            <w:tcMar/>
          </w:tcPr>
          <w:p w:rsidR="03F04039" w:rsidP="2B7FFB25" w:rsidRDefault="03F04039" w14:paraId="7AB2F3B6" w14:textId="35D2B899">
            <w:pPr>
              <w:jc w:val="center"/>
              <w:rPr>
                <w:rFonts w:hint="eastAsia"/>
              </w:rPr>
            </w:pPr>
            <w:r w:rsidRPr="2B7FFB25">
              <w:rPr>
                <w:rFonts w:ascii="Aptos" w:hAnsi="Aptos" w:eastAsia="Aptos" w:cs="Aptos"/>
                <w:color w:val="000000" w:themeColor="text1"/>
                <w:sz w:val="19"/>
                <w:szCs w:val="19"/>
                <w:lang w:val="en-ID"/>
              </w:rPr>
              <w:t>Mohamed Ariff and Luc Can (2008)</w:t>
            </w:r>
          </w:p>
        </w:tc>
        <w:tc>
          <w:tcPr>
            <w:tcW w:w="2249" w:type="dxa"/>
            <w:tcMar/>
          </w:tcPr>
          <w:p w:rsidR="2B7FFB25" w:rsidP="2B7FFB25" w:rsidRDefault="2B7FFB25" w14:paraId="7AC6DF86" w14:textId="31BFB8F5">
            <w:pPr>
              <w:jc w:val="center"/>
              <w:rPr>
                <w:rFonts w:hint="eastAsia"/>
              </w:rPr>
            </w:pPr>
            <w:r w:rsidRPr="2B7FFB25">
              <w:rPr>
                <w:rFonts w:ascii="Aptos" w:hAnsi="Aptos" w:eastAsia="Aptos" w:cs="Aptos"/>
                <w:color w:val="000000" w:themeColor="text1"/>
                <w:sz w:val="19"/>
                <w:szCs w:val="19"/>
                <w:lang w:val="en-ID"/>
              </w:rPr>
              <w:t>BCC model</w:t>
            </w:r>
          </w:p>
        </w:tc>
        <w:tc>
          <w:tcPr>
            <w:tcW w:w="2177" w:type="dxa"/>
            <w:tcMar/>
          </w:tcPr>
          <w:p w:rsidR="2B7FFB25" w:rsidP="2B7FFB25" w:rsidRDefault="2B7FFB25" w14:paraId="5D5E64F8" w14:textId="1BCCB1C9">
            <w:pPr>
              <w:jc w:val="center"/>
              <w:rPr>
                <w:rFonts w:hint="eastAsia"/>
              </w:rPr>
            </w:pPr>
            <w:r w:rsidRPr="2B7FFB25">
              <w:rPr>
                <w:rFonts w:ascii="Aptos" w:hAnsi="Aptos" w:eastAsia="Aptos" w:cs="Aptos"/>
                <w:color w:val="000000" w:themeColor="text1"/>
                <w:sz w:val="19"/>
                <w:szCs w:val="19"/>
                <w:lang w:val="en-ID"/>
              </w:rPr>
              <w:t>Tobit Regression</w:t>
            </w:r>
          </w:p>
        </w:tc>
        <w:tc>
          <w:tcPr>
            <w:tcW w:w="1689" w:type="dxa"/>
            <w:tcMar/>
          </w:tcPr>
          <w:p w:rsidR="2B7FFB25" w:rsidP="2B7FFB25" w:rsidRDefault="2B7FFB25" w14:paraId="265AFA09" w14:textId="4719B688">
            <w:pPr>
              <w:jc w:val="center"/>
              <w:rPr>
                <w:rFonts w:hint="eastAsia"/>
              </w:rPr>
            </w:pPr>
            <w:r w:rsidRPr="2B7FFB25">
              <w:rPr>
                <w:rFonts w:ascii="Aptos" w:hAnsi="Aptos" w:eastAsia="Aptos" w:cs="Aptos"/>
                <w:color w:val="000000" w:themeColor="text1"/>
                <w:sz w:val="19"/>
                <w:szCs w:val="19"/>
                <w:lang w:val="en-ID"/>
              </w:rPr>
              <w:t>n/a</w:t>
            </w:r>
          </w:p>
        </w:tc>
      </w:tr>
      <w:tr w:rsidRPr="00CE5391" w:rsidR="00331E11" w:rsidTr="4F940BA9" w14:paraId="4136B04C" w14:textId="77777777">
        <w:trPr>
          <w:trHeight w:val="284"/>
        </w:trPr>
        <w:tc>
          <w:tcPr>
            <w:tcW w:w="501" w:type="pct"/>
            <w:tcMar/>
          </w:tcPr>
          <w:p w:rsidRPr="00ED5776" w:rsidR="00331E11" w:rsidP="00331E11" w:rsidRDefault="00331E11" w14:paraId="2FB5D98F" w14:textId="2C68CFDE">
            <w:pPr>
              <w:jc w:val="center"/>
              <w:rPr>
                <w:rFonts w:hint="eastAsia" w:cs="Calibri"/>
                <w:sz w:val="20"/>
                <w:szCs w:val="20"/>
                <w:lang w:eastAsia="zh-CN"/>
              </w:rPr>
            </w:pPr>
            <w:r>
              <w:rPr>
                <w:rFonts w:cs="Calibri"/>
                <w:sz w:val="20"/>
                <w:szCs w:val="20"/>
                <w:lang w:eastAsia="zh-CN"/>
              </w:rPr>
              <w:t>30</w:t>
            </w:r>
          </w:p>
        </w:tc>
        <w:tc>
          <w:tcPr>
            <w:tcW w:w="1100" w:type="pct"/>
            <w:tcMar/>
          </w:tcPr>
          <w:p w:rsidRPr="00E9480F" w:rsidR="00331E11" w:rsidP="00331E11" w:rsidRDefault="00331E11" w14:paraId="0BA97FB2" w14:textId="7E5576A7">
            <w:pPr>
              <w:jc w:val="center"/>
              <w:rPr>
                <w:rFonts w:hint="eastAsia" w:cs="Calibri"/>
                <w:sz w:val="20"/>
                <w:szCs w:val="20"/>
                <w:lang w:eastAsia="zh-CN"/>
              </w:rPr>
            </w:pPr>
            <w:r w:rsidRPr="00ED5776">
              <w:rPr>
                <w:rFonts w:cs="Calibri"/>
                <w:sz w:val="20"/>
                <w:szCs w:val="20"/>
                <w:lang w:eastAsia="zh-CN"/>
              </w:rPr>
              <w:t xml:space="preserve">Fukuyama and Tan </w:t>
            </w:r>
            <w:r>
              <w:rPr>
                <w:rFonts w:cs="Calibri"/>
                <w:sz w:val="20"/>
                <w:szCs w:val="20"/>
                <w:lang w:eastAsia="zh-CN"/>
              </w:rPr>
              <w:t>(</w:t>
            </w:r>
            <w:r w:rsidRPr="00ED5776">
              <w:rPr>
                <w:rFonts w:cs="Calibri"/>
                <w:sz w:val="20"/>
                <w:szCs w:val="20"/>
                <w:lang w:eastAsia="zh-CN"/>
              </w:rPr>
              <w:t>2022)</w:t>
            </w:r>
          </w:p>
        </w:tc>
        <w:tc>
          <w:tcPr>
            <w:tcW w:w="1250" w:type="pct"/>
            <w:tcMar/>
          </w:tcPr>
          <w:p w:rsidR="00331E11" w:rsidP="00331E11" w:rsidRDefault="00331E11" w14:paraId="009486AA" w14:textId="77777777">
            <w:pPr>
              <w:jc w:val="center"/>
              <w:rPr>
                <w:rFonts w:eastAsia="Arial Unicode MS" w:cs="Arial Unicode MS"/>
                <w:sz w:val="20"/>
                <w:szCs w:val="20"/>
                <w:lang w:eastAsia="zh-CN"/>
              </w:rPr>
            </w:pPr>
            <w:r>
              <w:rPr>
                <w:rFonts w:eastAsia="Arial Unicode MS" w:cs="Arial Unicode MS"/>
                <w:sz w:val="20"/>
                <w:szCs w:val="20"/>
                <w:lang w:eastAsia="zh-CN"/>
              </w:rPr>
              <w:t>Three-stage Network DEA Model</w:t>
            </w:r>
          </w:p>
        </w:tc>
        <w:tc>
          <w:tcPr>
            <w:tcW w:w="1210" w:type="pct"/>
            <w:tcMar/>
          </w:tcPr>
          <w:p w:rsidR="00331E11" w:rsidP="00331E11" w:rsidRDefault="00331E11" w14:paraId="5CFEE7AC" w14:textId="77777777">
            <w:pPr>
              <w:jc w:val="center"/>
              <w:rPr>
                <w:rFonts w:hint="eastAsia" w:cs="Calibri"/>
                <w:sz w:val="20"/>
                <w:szCs w:val="20"/>
              </w:rPr>
            </w:pPr>
            <w:r>
              <w:rPr>
                <w:rFonts w:cs="Calibri"/>
                <w:sz w:val="20"/>
                <w:szCs w:val="20"/>
              </w:rPr>
              <w:t>Tobit Regression</w:t>
            </w:r>
          </w:p>
        </w:tc>
        <w:tc>
          <w:tcPr>
            <w:tcW w:w="939" w:type="pct"/>
            <w:tcMar/>
          </w:tcPr>
          <w:p w:rsidR="00331E11" w:rsidP="00331E11" w:rsidRDefault="00331E11" w14:paraId="3A0A8901" w14:textId="77777777">
            <w:pPr>
              <w:jc w:val="center"/>
              <w:rPr>
                <w:rFonts w:hint="eastAsia" w:cs="Calibri"/>
                <w:sz w:val="20"/>
                <w:szCs w:val="20"/>
              </w:rPr>
            </w:pPr>
            <w:r>
              <w:rPr>
                <w:rFonts w:cs="Calibri"/>
                <w:sz w:val="20"/>
                <w:szCs w:val="20"/>
              </w:rPr>
              <w:t>n/a</w:t>
            </w:r>
          </w:p>
        </w:tc>
      </w:tr>
      <w:tr w:rsidR="2B7FFB25" w:rsidTr="4F940BA9" w14:paraId="4D62D174" w14:textId="77777777">
        <w:trPr>
          <w:trHeight w:val="284"/>
        </w:trPr>
        <w:tc>
          <w:tcPr>
            <w:tcW w:w="901" w:type="dxa"/>
            <w:tcMar/>
          </w:tcPr>
          <w:p w:rsidR="454B5B07" w:rsidP="2B7FFB25" w:rsidRDefault="454B5B07" w14:paraId="561B0636" w14:textId="6C4B503D">
            <w:pPr>
              <w:jc w:val="center"/>
              <w:rPr>
                <w:rFonts w:hint="eastAsia" w:cs="Calibri"/>
                <w:sz w:val="20"/>
                <w:szCs w:val="20"/>
                <w:lang w:eastAsia="zh-CN"/>
              </w:rPr>
            </w:pPr>
            <w:r w:rsidRPr="2B7FFB25">
              <w:rPr>
                <w:rFonts w:cs="Calibri"/>
                <w:sz w:val="20"/>
                <w:szCs w:val="20"/>
                <w:lang w:eastAsia="zh-CN"/>
              </w:rPr>
              <w:t>33</w:t>
            </w:r>
          </w:p>
        </w:tc>
        <w:tc>
          <w:tcPr>
            <w:tcW w:w="1979" w:type="dxa"/>
            <w:tcMar/>
          </w:tcPr>
          <w:p w:rsidR="454B5B07" w:rsidP="2B7FFB25" w:rsidRDefault="454B5B07" w14:paraId="59337152" w14:textId="14A431CE">
            <w:pPr>
              <w:jc w:val="center"/>
              <w:rPr>
                <w:rFonts w:hint="eastAsia"/>
              </w:rPr>
            </w:pPr>
            <w:r w:rsidRPr="2B7FFB25">
              <w:rPr>
                <w:rFonts w:ascii="Aptos" w:hAnsi="Aptos" w:eastAsia="Aptos" w:cs="Aptos"/>
                <w:color w:val="000000" w:themeColor="text1"/>
                <w:sz w:val="19"/>
                <w:szCs w:val="19"/>
              </w:rPr>
              <w:t>Xiaohong Liu, Jiasen Sun, Feng Yang, Jie Wu (2020)</w:t>
            </w:r>
          </w:p>
        </w:tc>
        <w:tc>
          <w:tcPr>
            <w:tcW w:w="2249" w:type="dxa"/>
            <w:tcMar/>
          </w:tcPr>
          <w:p w:rsidR="454B5B07" w:rsidP="2B7FFB25" w:rsidRDefault="454B5B07" w14:paraId="20B393D3" w14:textId="3E4C7D36">
            <w:pPr>
              <w:jc w:val="center"/>
              <w:rPr>
                <w:rFonts w:hint="eastAsia"/>
              </w:rPr>
            </w:pPr>
            <w:r w:rsidRPr="2B7FFB25">
              <w:rPr>
                <w:rFonts w:ascii="Aptos" w:hAnsi="Aptos" w:eastAsia="Aptos" w:cs="Aptos"/>
                <w:color w:val="000000" w:themeColor="text1"/>
                <w:sz w:val="19"/>
                <w:szCs w:val="19"/>
                <w:lang w:val="it"/>
              </w:rPr>
              <w:t>Meta-Frontier radial DDF Network Model</w:t>
            </w:r>
          </w:p>
        </w:tc>
        <w:tc>
          <w:tcPr>
            <w:tcW w:w="2177" w:type="dxa"/>
            <w:tcMar/>
          </w:tcPr>
          <w:p w:rsidR="454B5B07" w:rsidP="2B7FFB25" w:rsidRDefault="454B5B07" w14:paraId="7D6FA9FD" w14:textId="1BC4CB46">
            <w:pPr>
              <w:jc w:val="center"/>
              <w:rPr>
                <w:rFonts w:hint="eastAsia"/>
              </w:rPr>
            </w:pPr>
            <w:r w:rsidRPr="2B7FFB25">
              <w:rPr>
                <w:rFonts w:ascii="Aptos" w:hAnsi="Aptos" w:eastAsia="Aptos" w:cs="Aptos"/>
                <w:color w:val="000000" w:themeColor="text1"/>
                <w:sz w:val="19"/>
                <w:szCs w:val="19"/>
                <w:lang w:val="it"/>
              </w:rPr>
              <w:t>Multiple regression</w:t>
            </w:r>
          </w:p>
        </w:tc>
        <w:tc>
          <w:tcPr>
            <w:tcW w:w="1689" w:type="dxa"/>
            <w:tcMar/>
          </w:tcPr>
          <w:p w:rsidR="454B5B07" w:rsidP="2B7FFB25" w:rsidRDefault="454B5B07" w14:paraId="281EBD24" w14:textId="5D345384">
            <w:pPr>
              <w:jc w:val="center"/>
              <w:rPr>
                <w:rFonts w:hint="eastAsia" w:cs="Calibri"/>
                <w:sz w:val="20"/>
                <w:szCs w:val="20"/>
              </w:rPr>
            </w:pPr>
            <w:r w:rsidRPr="2B7FFB25">
              <w:rPr>
                <w:rFonts w:cs="Calibri"/>
                <w:sz w:val="20"/>
                <w:szCs w:val="20"/>
              </w:rPr>
              <w:t>n/a</w:t>
            </w:r>
          </w:p>
        </w:tc>
      </w:tr>
      <w:tr w:rsidRPr="00CE5391" w:rsidR="00331E11" w:rsidTr="4F940BA9" w14:paraId="4BCAAB1E" w14:textId="77777777">
        <w:trPr>
          <w:trHeight w:val="284"/>
        </w:trPr>
        <w:tc>
          <w:tcPr>
            <w:tcW w:w="501" w:type="pct"/>
            <w:tcMar/>
          </w:tcPr>
          <w:p w:rsidRPr="00C61C2E" w:rsidR="00331E11" w:rsidP="00331E11" w:rsidRDefault="00331E11" w14:paraId="4D7098C7" w14:textId="4BFB34CA">
            <w:pPr>
              <w:jc w:val="center"/>
              <w:rPr>
                <w:rFonts w:hint="eastAsia" w:cs="Calibri"/>
                <w:sz w:val="20"/>
                <w:szCs w:val="20"/>
                <w:lang w:eastAsia="zh-CN"/>
              </w:rPr>
            </w:pPr>
            <w:r>
              <w:rPr>
                <w:rFonts w:cs="Calibri"/>
                <w:sz w:val="20"/>
                <w:szCs w:val="20"/>
                <w:lang w:eastAsia="zh-CN"/>
              </w:rPr>
              <w:t>35</w:t>
            </w:r>
          </w:p>
        </w:tc>
        <w:tc>
          <w:tcPr>
            <w:tcW w:w="1100" w:type="pct"/>
            <w:tcMar/>
          </w:tcPr>
          <w:p w:rsidRPr="00ED5776" w:rsidR="00331E11" w:rsidP="00331E11" w:rsidRDefault="00331E11" w14:paraId="6A1631A4" w14:textId="05529D7E">
            <w:pPr>
              <w:jc w:val="center"/>
              <w:rPr>
                <w:rFonts w:hint="eastAsia" w:cs="Calibri"/>
                <w:sz w:val="20"/>
                <w:szCs w:val="20"/>
                <w:lang w:eastAsia="zh-CN"/>
              </w:rPr>
            </w:pPr>
            <w:r w:rsidRPr="00C61C2E">
              <w:rPr>
                <w:rFonts w:cs="Calibri"/>
                <w:sz w:val="20"/>
                <w:szCs w:val="20"/>
                <w:lang w:eastAsia="zh-CN"/>
              </w:rPr>
              <w:t>Yu et al.</w:t>
            </w:r>
            <w:r>
              <w:rPr>
                <w:rFonts w:cs="Calibri"/>
                <w:sz w:val="20"/>
                <w:szCs w:val="20"/>
                <w:lang w:eastAsia="zh-CN"/>
              </w:rPr>
              <w:t xml:space="preserve"> (</w:t>
            </w:r>
            <w:r w:rsidRPr="00C61C2E">
              <w:rPr>
                <w:rFonts w:cs="Calibri"/>
                <w:sz w:val="20"/>
                <w:szCs w:val="20"/>
                <w:lang w:eastAsia="zh-CN"/>
              </w:rPr>
              <w:t>2019)</w:t>
            </w:r>
          </w:p>
        </w:tc>
        <w:tc>
          <w:tcPr>
            <w:tcW w:w="1250" w:type="pct"/>
            <w:tcMar/>
          </w:tcPr>
          <w:p w:rsidR="00331E11" w:rsidP="00331E11" w:rsidRDefault="00331E11" w14:paraId="707B5F34" w14:textId="77777777">
            <w:pPr>
              <w:jc w:val="center"/>
              <w:rPr>
                <w:rFonts w:eastAsia="Arial Unicode MS" w:cs="Arial Unicode MS"/>
                <w:sz w:val="20"/>
                <w:szCs w:val="20"/>
                <w:lang w:eastAsia="zh-CN"/>
              </w:rPr>
            </w:pPr>
            <w:r>
              <w:rPr>
                <w:rFonts w:eastAsia="Arial Unicode MS" w:cs="Arial Unicode MS"/>
                <w:sz w:val="20"/>
                <w:szCs w:val="20"/>
                <w:lang w:eastAsia="zh-CN"/>
              </w:rPr>
              <w:t>CCR Model</w:t>
            </w:r>
          </w:p>
        </w:tc>
        <w:tc>
          <w:tcPr>
            <w:tcW w:w="1210" w:type="pct"/>
            <w:tcMar/>
          </w:tcPr>
          <w:p w:rsidR="00331E11" w:rsidP="00331E11" w:rsidRDefault="00331E11" w14:paraId="48004D0B" w14:textId="77777777">
            <w:pPr>
              <w:jc w:val="center"/>
              <w:rPr>
                <w:rFonts w:hint="eastAsia" w:cs="Calibri"/>
                <w:sz w:val="20"/>
                <w:szCs w:val="20"/>
              </w:rPr>
            </w:pPr>
            <w:r>
              <w:rPr>
                <w:rFonts w:cs="Calibri"/>
                <w:sz w:val="20"/>
                <w:szCs w:val="20"/>
              </w:rPr>
              <w:t>n/a</w:t>
            </w:r>
          </w:p>
        </w:tc>
        <w:tc>
          <w:tcPr>
            <w:tcW w:w="939" w:type="pct"/>
            <w:tcMar/>
          </w:tcPr>
          <w:p w:rsidR="00331E11" w:rsidP="00331E11" w:rsidRDefault="00331E11" w14:paraId="4E988247" w14:textId="77777777">
            <w:pPr>
              <w:jc w:val="center"/>
              <w:rPr>
                <w:rFonts w:hint="eastAsia" w:cs="Calibri"/>
                <w:sz w:val="20"/>
                <w:szCs w:val="20"/>
              </w:rPr>
            </w:pPr>
            <w:r>
              <w:rPr>
                <w:rFonts w:cs="Calibri"/>
                <w:sz w:val="20"/>
                <w:szCs w:val="20"/>
              </w:rPr>
              <w:t>n/a</w:t>
            </w:r>
          </w:p>
        </w:tc>
      </w:tr>
      <w:tr w:rsidR="2B7FFB25" w:rsidTr="4F940BA9" w14:paraId="73443119" w14:textId="77777777">
        <w:trPr>
          <w:trHeight w:val="284"/>
        </w:trPr>
        <w:tc>
          <w:tcPr>
            <w:tcW w:w="901" w:type="dxa"/>
            <w:tcMar/>
          </w:tcPr>
          <w:p w:rsidR="7A2BA9DE" w:rsidP="2B7FFB25" w:rsidRDefault="7A2BA9DE" w14:paraId="57A7F379" w14:textId="415B11AA">
            <w:pPr>
              <w:jc w:val="center"/>
              <w:rPr>
                <w:rFonts w:hint="eastAsia" w:cs="Calibri"/>
                <w:sz w:val="20"/>
                <w:szCs w:val="20"/>
                <w:lang w:eastAsia="zh-CN"/>
              </w:rPr>
            </w:pPr>
            <w:r w:rsidRPr="2B7FFB25">
              <w:rPr>
                <w:rFonts w:cs="Calibri"/>
                <w:sz w:val="20"/>
                <w:szCs w:val="20"/>
                <w:lang w:eastAsia="zh-CN"/>
              </w:rPr>
              <w:t>38</w:t>
            </w:r>
          </w:p>
        </w:tc>
        <w:tc>
          <w:tcPr>
            <w:tcW w:w="1979" w:type="dxa"/>
            <w:tcMar/>
          </w:tcPr>
          <w:p w:rsidR="7A2BA9DE" w:rsidP="2B7FFB25" w:rsidRDefault="7A2BA9DE" w14:paraId="2950D1BA" w14:textId="7CFAA6AC">
            <w:pPr>
              <w:jc w:val="center"/>
              <w:rPr>
                <w:rFonts w:hint="eastAsia"/>
              </w:rPr>
            </w:pPr>
            <w:r w:rsidRPr="2B7FFB25">
              <w:rPr>
                <w:rFonts w:ascii="Aptos" w:hAnsi="Aptos" w:eastAsia="Aptos" w:cs="Aptos"/>
                <w:color w:val="000000" w:themeColor="text1"/>
                <w:sz w:val="19"/>
                <w:szCs w:val="19"/>
                <w:lang w:val="it"/>
              </w:rPr>
              <w:t>Tsui-Yueh Cho, Yi-Shuan Chen (2021)</w:t>
            </w:r>
          </w:p>
        </w:tc>
        <w:tc>
          <w:tcPr>
            <w:tcW w:w="2249" w:type="dxa"/>
            <w:tcMar/>
          </w:tcPr>
          <w:p w:rsidR="2B7FFB25" w:rsidP="2B7FFB25" w:rsidRDefault="2B7FFB25" w14:paraId="31E57D09" w14:textId="0BD46FD4">
            <w:pPr>
              <w:jc w:val="center"/>
              <w:rPr>
                <w:rFonts w:hint="eastAsia"/>
              </w:rPr>
            </w:pPr>
            <w:r w:rsidRPr="2B7FFB25">
              <w:rPr>
                <w:rFonts w:ascii="Aptos" w:hAnsi="Aptos" w:eastAsia="Aptos" w:cs="Aptos"/>
                <w:color w:val="000000" w:themeColor="text1"/>
                <w:sz w:val="19"/>
                <w:szCs w:val="19"/>
                <w:lang w:val="it"/>
              </w:rPr>
              <w:t>BCC model</w:t>
            </w:r>
          </w:p>
        </w:tc>
        <w:tc>
          <w:tcPr>
            <w:tcW w:w="2177" w:type="dxa"/>
            <w:tcMar/>
          </w:tcPr>
          <w:p w:rsidR="2B7FFB25" w:rsidP="2B7FFB25" w:rsidRDefault="2B7FFB25" w14:paraId="6D7E0B00" w14:textId="1B1DB239">
            <w:pPr>
              <w:jc w:val="center"/>
              <w:rPr>
                <w:rFonts w:hint="eastAsia"/>
              </w:rPr>
            </w:pPr>
            <w:r w:rsidRPr="001F15A1">
              <w:rPr>
                <w:rFonts w:ascii="Aptos" w:hAnsi="Aptos" w:eastAsia="Aptos" w:cs="Aptos"/>
                <w:color w:val="000000" w:themeColor="text1"/>
                <w:sz w:val="19"/>
                <w:szCs w:val="19"/>
                <w:highlight w:val="cyan"/>
                <w:lang w:val="it"/>
              </w:rPr>
              <w:t>System-GMM</w:t>
            </w:r>
          </w:p>
        </w:tc>
        <w:tc>
          <w:tcPr>
            <w:tcW w:w="1689" w:type="dxa"/>
            <w:tcMar/>
          </w:tcPr>
          <w:p w:rsidR="2B7FFB25" w:rsidP="2B7FFB25" w:rsidRDefault="2B7FFB25" w14:paraId="4622853E" w14:textId="1764B084">
            <w:pPr>
              <w:jc w:val="center"/>
              <w:rPr>
                <w:rFonts w:hint="eastAsia"/>
              </w:rPr>
            </w:pPr>
            <w:r w:rsidRPr="2B7FFB25">
              <w:rPr>
                <w:rFonts w:ascii="Aptos" w:hAnsi="Aptos" w:eastAsia="Aptos" w:cs="Aptos"/>
                <w:color w:val="000000" w:themeColor="text1"/>
                <w:sz w:val="19"/>
                <w:szCs w:val="19"/>
                <w:lang w:val="it"/>
              </w:rPr>
              <w:t>n/a</w:t>
            </w:r>
          </w:p>
        </w:tc>
      </w:tr>
      <w:tr w:rsidRPr="00CE5391" w:rsidR="00331E11" w:rsidTr="4F940BA9" w14:paraId="1E49489C" w14:textId="77777777">
        <w:trPr>
          <w:trHeight w:val="284"/>
        </w:trPr>
        <w:tc>
          <w:tcPr>
            <w:tcW w:w="501" w:type="pct"/>
            <w:tcMar/>
          </w:tcPr>
          <w:p w:rsidRPr="009F48DA" w:rsidR="00331E11" w:rsidP="00331E11" w:rsidRDefault="00331E11" w14:paraId="2D13D703" w14:textId="7F250B9C">
            <w:pPr>
              <w:jc w:val="center"/>
              <w:rPr>
                <w:rFonts w:hint="eastAsia" w:cs="Calibri"/>
                <w:sz w:val="20"/>
                <w:szCs w:val="20"/>
                <w:lang w:eastAsia="zh-CN"/>
              </w:rPr>
            </w:pPr>
            <w:r>
              <w:rPr>
                <w:rFonts w:cs="Calibri"/>
                <w:sz w:val="20"/>
                <w:szCs w:val="20"/>
                <w:lang w:eastAsia="zh-CN"/>
              </w:rPr>
              <w:t>40</w:t>
            </w:r>
          </w:p>
        </w:tc>
        <w:tc>
          <w:tcPr>
            <w:tcW w:w="1100" w:type="pct"/>
            <w:tcMar/>
          </w:tcPr>
          <w:p w:rsidRPr="00C61C2E" w:rsidR="00331E11" w:rsidP="00331E11" w:rsidRDefault="00331E11" w14:paraId="3913891F" w14:textId="52FF740C">
            <w:pPr>
              <w:jc w:val="center"/>
              <w:rPr>
                <w:rFonts w:hint="eastAsia" w:cs="Calibri"/>
                <w:sz w:val="20"/>
                <w:szCs w:val="20"/>
                <w:lang w:eastAsia="zh-CN"/>
              </w:rPr>
            </w:pPr>
            <w:r w:rsidRPr="009F48DA">
              <w:rPr>
                <w:rFonts w:cs="Calibri"/>
                <w:sz w:val="20"/>
                <w:szCs w:val="20"/>
                <w:lang w:eastAsia="zh-CN"/>
              </w:rPr>
              <w:t>Zhu, Li and Liang (2018)</w:t>
            </w:r>
          </w:p>
        </w:tc>
        <w:tc>
          <w:tcPr>
            <w:tcW w:w="1250" w:type="pct"/>
            <w:tcMar/>
          </w:tcPr>
          <w:p w:rsidR="00331E11" w:rsidP="00331E11" w:rsidRDefault="00331E11" w14:paraId="3D804154" w14:textId="77777777">
            <w:pPr>
              <w:jc w:val="center"/>
              <w:rPr>
                <w:rFonts w:eastAsia="Arial Unicode MS" w:cs="Arial Unicode MS"/>
                <w:sz w:val="20"/>
                <w:szCs w:val="20"/>
                <w:lang w:eastAsia="zh-CN"/>
              </w:rPr>
            </w:pPr>
            <w:r>
              <w:rPr>
                <w:rFonts w:eastAsia="Arial Unicode MS" w:cs="Arial Unicode MS"/>
                <w:sz w:val="20"/>
                <w:szCs w:val="20"/>
                <w:lang w:eastAsia="zh-CN"/>
              </w:rPr>
              <w:t>Two-stage Network SBM Model</w:t>
            </w:r>
          </w:p>
        </w:tc>
        <w:tc>
          <w:tcPr>
            <w:tcW w:w="1210" w:type="pct"/>
            <w:tcMar/>
          </w:tcPr>
          <w:p w:rsidR="00331E11" w:rsidP="00331E11" w:rsidRDefault="00331E11" w14:paraId="7C570FE6" w14:textId="77777777">
            <w:pPr>
              <w:jc w:val="center"/>
              <w:rPr>
                <w:rFonts w:hint="eastAsia" w:cs="Calibri"/>
                <w:sz w:val="20"/>
                <w:szCs w:val="20"/>
              </w:rPr>
            </w:pPr>
            <w:r>
              <w:rPr>
                <w:rFonts w:cs="Calibri"/>
                <w:sz w:val="20"/>
                <w:szCs w:val="20"/>
              </w:rPr>
              <w:t>n/a</w:t>
            </w:r>
          </w:p>
        </w:tc>
        <w:tc>
          <w:tcPr>
            <w:tcW w:w="939" w:type="pct"/>
            <w:tcMar/>
          </w:tcPr>
          <w:p w:rsidR="00331E11" w:rsidP="00331E11" w:rsidRDefault="00331E11" w14:paraId="3309E956" w14:textId="77777777">
            <w:pPr>
              <w:jc w:val="center"/>
              <w:rPr>
                <w:rFonts w:hint="eastAsia" w:cs="Calibri"/>
                <w:sz w:val="20"/>
                <w:szCs w:val="20"/>
              </w:rPr>
            </w:pPr>
            <w:r>
              <w:rPr>
                <w:rFonts w:cs="Calibri"/>
                <w:sz w:val="20"/>
                <w:szCs w:val="20"/>
              </w:rPr>
              <w:t>n/a</w:t>
            </w:r>
          </w:p>
        </w:tc>
      </w:tr>
      <w:tr w:rsidR="2B7FFB25" w:rsidTr="4F940BA9" w14:paraId="030C9498" w14:textId="77777777">
        <w:trPr>
          <w:trHeight w:val="284"/>
        </w:trPr>
        <w:tc>
          <w:tcPr>
            <w:tcW w:w="901" w:type="dxa"/>
            <w:tcMar/>
          </w:tcPr>
          <w:p w:rsidR="56F9B82B" w:rsidP="2B7FFB25" w:rsidRDefault="56F9B82B" w14:paraId="2E444637" w14:textId="143668B9">
            <w:pPr>
              <w:jc w:val="center"/>
              <w:rPr>
                <w:rFonts w:hint="eastAsia" w:cs="Calibri"/>
                <w:sz w:val="20"/>
                <w:szCs w:val="20"/>
                <w:lang w:eastAsia="zh-CN"/>
              </w:rPr>
            </w:pPr>
            <w:r w:rsidRPr="2B7FFB25">
              <w:rPr>
                <w:rFonts w:cs="Calibri"/>
                <w:sz w:val="20"/>
                <w:szCs w:val="20"/>
                <w:lang w:eastAsia="zh-CN"/>
              </w:rPr>
              <w:t>43</w:t>
            </w:r>
          </w:p>
        </w:tc>
        <w:tc>
          <w:tcPr>
            <w:tcW w:w="1979" w:type="dxa"/>
            <w:tcMar/>
          </w:tcPr>
          <w:p w:rsidR="56F9B82B" w:rsidP="2B7FFB25" w:rsidRDefault="56F9B82B" w14:paraId="38C21EB8" w14:textId="0E0EA18C">
            <w:pPr>
              <w:jc w:val="center"/>
              <w:rPr>
                <w:rFonts w:hint="eastAsia"/>
              </w:rPr>
            </w:pPr>
            <w:r w:rsidRPr="2B7FFB25">
              <w:rPr>
                <w:rFonts w:ascii="Aptos" w:hAnsi="Aptos" w:eastAsia="Aptos" w:cs="Aptos"/>
                <w:color w:val="000000" w:themeColor="text1"/>
                <w:sz w:val="19"/>
                <w:szCs w:val="19"/>
                <w:lang w:val="en-ID"/>
              </w:rPr>
              <w:t>Rasoul Rezvanian, Rima Truk Ariss, Sayed M. Mehdian, (2010)</w:t>
            </w:r>
          </w:p>
        </w:tc>
        <w:tc>
          <w:tcPr>
            <w:tcW w:w="2249" w:type="dxa"/>
            <w:tcMar/>
          </w:tcPr>
          <w:p w:rsidR="2B7FFB25" w:rsidP="2B7FFB25" w:rsidRDefault="2B7FFB25" w14:paraId="7E3E556E" w14:textId="794C20F6">
            <w:pPr>
              <w:jc w:val="center"/>
              <w:rPr>
                <w:rFonts w:hint="eastAsia"/>
              </w:rPr>
            </w:pPr>
            <w:r w:rsidRPr="2B7FFB25">
              <w:rPr>
                <w:rFonts w:ascii="Aptos" w:hAnsi="Aptos" w:eastAsia="Aptos" w:cs="Aptos"/>
                <w:color w:val="000000" w:themeColor="text1"/>
                <w:sz w:val="19"/>
                <w:szCs w:val="19"/>
                <w:lang w:val="en-ID"/>
              </w:rPr>
              <w:t>BCC model</w:t>
            </w:r>
          </w:p>
        </w:tc>
        <w:tc>
          <w:tcPr>
            <w:tcW w:w="2177" w:type="dxa"/>
            <w:tcMar/>
          </w:tcPr>
          <w:p w:rsidR="2B7FFB25" w:rsidP="2B7FFB25" w:rsidRDefault="2B7FFB25" w14:paraId="6889E5F1" w14:textId="1E8CF662">
            <w:pPr>
              <w:jc w:val="center"/>
              <w:rPr>
                <w:rFonts w:hint="eastAsia"/>
              </w:rPr>
            </w:pPr>
            <w:r w:rsidRPr="2B7FFB25">
              <w:rPr>
                <w:rFonts w:ascii="Aptos" w:hAnsi="Aptos" w:eastAsia="Aptos" w:cs="Aptos"/>
                <w:color w:val="000000" w:themeColor="text1"/>
                <w:sz w:val="19"/>
                <w:szCs w:val="19"/>
                <w:lang w:val="en-ID"/>
              </w:rPr>
              <w:t>Tobit Regression</w:t>
            </w:r>
          </w:p>
        </w:tc>
        <w:tc>
          <w:tcPr>
            <w:tcW w:w="1689" w:type="dxa"/>
            <w:tcMar/>
          </w:tcPr>
          <w:p w:rsidR="2B7FFB25" w:rsidP="2B7FFB25" w:rsidRDefault="2B7FFB25" w14:paraId="2EFF6BAC" w14:textId="25AA709C">
            <w:pPr>
              <w:jc w:val="center"/>
              <w:rPr>
                <w:rFonts w:hint="eastAsia"/>
              </w:rPr>
            </w:pPr>
            <w:r w:rsidRPr="2B7FFB25">
              <w:rPr>
                <w:rFonts w:ascii="Aptos" w:hAnsi="Aptos" w:eastAsia="Aptos" w:cs="Aptos"/>
                <w:color w:val="000000" w:themeColor="text1"/>
                <w:sz w:val="19"/>
                <w:szCs w:val="19"/>
                <w:lang w:val="en-ID"/>
              </w:rPr>
              <w:t>n/a</w:t>
            </w:r>
          </w:p>
        </w:tc>
      </w:tr>
      <w:tr w:rsidRPr="00CE5391" w:rsidR="00331E11" w:rsidTr="4F940BA9" w14:paraId="11119C05" w14:textId="77777777">
        <w:trPr>
          <w:trHeight w:val="284"/>
        </w:trPr>
        <w:tc>
          <w:tcPr>
            <w:tcW w:w="501" w:type="pct"/>
            <w:tcMar/>
          </w:tcPr>
          <w:p w:rsidRPr="00386881" w:rsidR="00331E11" w:rsidP="00331E11" w:rsidRDefault="00331E11" w14:paraId="7926C36E" w14:textId="4B3B64E5">
            <w:pPr>
              <w:jc w:val="center"/>
              <w:rPr>
                <w:rFonts w:hint="eastAsia" w:cs="Calibri"/>
                <w:sz w:val="20"/>
                <w:szCs w:val="20"/>
                <w:lang w:eastAsia="zh-CN"/>
              </w:rPr>
            </w:pPr>
            <w:r>
              <w:rPr>
                <w:rFonts w:cs="Calibri"/>
                <w:sz w:val="20"/>
                <w:szCs w:val="20"/>
                <w:lang w:eastAsia="zh-CN"/>
              </w:rPr>
              <w:t>45</w:t>
            </w:r>
          </w:p>
        </w:tc>
        <w:tc>
          <w:tcPr>
            <w:tcW w:w="1100" w:type="pct"/>
            <w:tcMar/>
          </w:tcPr>
          <w:p w:rsidRPr="009F48DA" w:rsidR="00331E11" w:rsidP="00331E11" w:rsidRDefault="00331E11" w14:paraId="7C733D45" w14:textId="6D8A9944">
            <w:pPr>
              <w:jc w:val="center"/>
              <w:rPr>
                <w:rFonts w:hint="eastAsia" w:cs="Calibri"/>
                <w:sz w:val="20"/>
                <w:szCs w:val="20"/>
                <w:lang w:eastAsia="zh-CN"/>
              </w:rPr>
            </w:pPr>
            <w:r w:rsidRPr="00386881">
              <w:rPr>
                <w:rFonts w:cs="Calibri"/>
                <w:sz w:val="20"/>
                <w:szCs w:val="20"/>
                <w:lang w:eastAsia="zh-CN"/>
              </w:rPr>
              <w:t xml:space="preserve">Wu et al. </w:t>
            </w:r>
            <w:r>
              <w:rPr>
                <w:rFonts w:cs="Calibri"/>
                <w:sz w:val="20"/>
                <w:szCs w:val="20"/>
                <w:lang w:eastAsia="zh-CN"/>
              </w:rPr>
              <w:t>(</w:t>
            </w:r>
            <w:r w:rsidRPr="00386881">
              <w:rPr>
                <w:rFonts w:cs="Calibri"/>
                <w:sz w:val="20"/>
                <w:szCs w:val="20"/>
                <w:lang w:eastAsia="zh-CN"/>
              </w:rPr>
              <w:t>2023)</w:t>
            </w:r>
          </w:p>
        </w:tc>
        <w:tc>
          <w:tcPr>
            <w:tcW w:w="1250" w:type="pct"/>
            <w:tcMar/>
          </w:tcPr>
          <w:p w:rsidR="00331E11" w:rsidP="00331E11" w:rsidRDefault="00331E11" w14:paraId="6C026D89" w14:textId="7D1A486F">
            <w:pPr>
              <w:jc w:val="center"/>
              <w:rPr>
                <w:rFonts w:eastAsia="Arial Unicode MS" w:cs="Arial Unicode MS"/>
                <w:sz w:val="20"/>
                <w:szCs w:val="20"/>
                <w:lang w:eastAsia="zh-CN"/>
              </w:rPr>
            </w:pPr>
            <w:r>
              <w:rPr>
                <w:rFonts w:eastAsia="Arial Unicode MS" w:cs="Arial Unicode MS"/>
                <w:sz w:val="20"/>
                <w:szCs w:val="20"/>
                <w:lang w:eastAsia="zh-CN"/>
              </w:rPr>
              <w:t>Two-stage Network SBM Model</w:t>
            </w:r>
          </w:p>
        </w:tc>
        <w:tc>
          <w:tcPr>
            <w:tcW w:w="1210" w:type="pct"/>
            <w:tcMar/>
          </w:tcPr>
          <w:p w:rsidR="00331E11" w:rsidP="00331E11" w:rsidRDefault="00331E11" w14:paraId="34310925" w14:textId="77777777">
            <w:pPr>
              <w:jc w:val="center"/>
              <w:rPr>
                <w:rFonts w:hint="eastAsia" w:cs="Calibri"/>
                <w:sz w:val="20"/>
                <w:szCs w:val="20"/>
              </w:rPr>
            </w:pPr>
            <w:r>
              <w:rPr>
                <w:rFonts w:cs="Calibri"/>
                <w:sz w:val="20"/>
                <w:szCs w:val="20"/>
              </w:rPr>
              <w:t>Tobit Regression</w:t>
            </w:r>
          </w:p>
        </w:tc>
        <w:tc>
          <w:tcPr>
            <w:tcW w:w="939" w:type="pct"/>
            <w:tcMar/>
          </w:tcPr>
          <w:p w:rsidR="00331E11" w:rsidP="00331E11" w:rsidRDefault="00331E11" w14:paraId="5838AB54" w14:textId="77777777">
            <w:pPr>
              <w:jc w:val="center"/>
              <w:rPr>
                <w:rFonts w:hint="eastAsia" w:cs="Calibri"/>
                <w:sz w:val="20"/>
                <w:szCs w:val="20"/>
              </w:rPr>
            </w:pPr>
            <w:r>
              <w:rPr>
                <w:rFonts w:cs="Calibri"/>
                <w:sz w:val="20"/>
                <w:szCs w:val="20"/>
              </w:rPr>
              <w:t>n/a</w:t>
            </w:r>
          </w:p>
        </w:tc>
      </w:tr>
      <w:tr w:rsidR="2B7FFB25" w:rsidTr="4F940BA9" w14:paraId="4F6F8973" w14:textId="77777777">
        <w:trPr>
          <w:trHeight w:val="284"/>
        </w:trPr>
        <w:tc>
          <w:tcPr>
            <w:tcW w:w="901" w:type="dxa"/>
            <w:tcMar/>
          </w:tcPr>
          <w:p w:rsidR="2B7FFB25" w:rsidP="2B7FFB25" w:rsidRDefault="2B7FFB25" w14:paraId="0E169D62" w14:textId="5B2D6B87">
            <w:pPr>
              <w:jc w:val="center"/>
              <w:rPr>
                <w:rFonts w:hint="eastAsia" w:cs="Calibri"/>
                <w:sz w:val="20"/>
                <w:szCs w:val="20"/>
                <w:lang w:eastAsia="zh-CN"/>
              </w:rPr>
            </w:pPr>
            <w:r w:rsidRPr="2B7FFB25">
              <w:rPr>
                <w:rFonts w:cs="Calibri"/>
                <w:sz w:val="20"/>
                <w:szCs w:val="20"/>
                <w:lang w:eastAsia="zh-CN"/>
              </w:rPr>
              <w:t>1</w:t>
            </w:r>
          </w:p>
        </w:tc>
        <w:tc>
          <w:tcPr>
            <w:tcW w:w="1979" w:type="dxa"/>
            <w:tcMar/>
          </w:tcPr>
          <w:p w:rsidR="2B7FFB25" w:rsidP="2B7FFB25" w:rsidRDefault="2B7FFB25" w14:paraId="739EA293" w14:textId="32AC6CD0">
            <w:pPr>
              <w:spacing w:line="259" w:lineRule="auto"/>
              <w:jc w:val="center"/>
              <w:rPr>
                <w:rFonts w:hint="eastAsia" w:cs="Calibri"/>
                <w:sz w:val="20"/>
                <w:szCs w:val="20"/>
                <w:lang w:eastAsia="zh-CN"/>
              </w:rPr>
            </w:pPr>
            <w:r w:rsidRPr="2B7FFB25">
              <w:rPr>
                <w:rFonts w:cs="Calibri"/>
                <w:sz w:val="20"/>
                <w:szCs w:val="20"/>
                <w:lang w:eastAsia="zh-CN"/>
              </w:rPr>
              <w:t>Necmi K. Avkiran (2011)</w:t>
            </w:r>
          </w:p>
        </w:tc>
        <w:tc>
          <w:tcPr>
            <w:tcW w:w="2249" w:type="dxa"/>
            <w:tcMar/>
          </w:tcPr>
          <w:p w:rsidR="2B7FFB25" w:rsidP="2B7FFB25" w:rsidRDefault="2B7FFB25" w14:paraId="7D42CED6" w14:textId="708A08B2">
            <w:pPr>
              <w:spacing w:line="259" w:lineRule="auto"/>
              <w:jc w:val="center"/>
              <w:rPr>
                <w:rFonts w:hint="eastAsia" w:cs="Calibri"/>
                <w:sz w:val="20"/>
                <w:szCs w:val="20"/>
                <w:lang w:eastAsia="zh-CN"/>
              </w:rPr>
            </w:pPr>
            <w:r w:rsidRPr="2B7FFB25">
              <w:rPr>
                <w:rFonts w:cs="Calibri"/>
                <w:sz w:val="20"/>
                <w:szCs w:val="20"/>
                <w:lang w:eastAsia="zh-CN"/>
              </w:rPr>
              <w:t>Core profitability model – SBM</w:t>
            </w:r>
          </w:p>
          <w:p w:rsidR="2B7FFB25" w:rsidP="2B7FFB25" w:rsidRDefault="2B7FFB25" w14:paraId="49C3DDC6" w14:textId="35649E85">
            <w:pPr>
              <w:spacing w:line="259" w:lineRule="auto"/>
              <w:jc w:val="center"/>
              <w:rPr>
                <w:rFonts w:hint="eastAsia" w:cs="Calibri"/>
                <w:sz w:val="20"/>
                <w:szCs w:val="20"/>
                <w:lang w:eastAsia="zh-CN"/>
              </w:rPr>
            </w:pPr>
            <w:r w:rsidRPr="2B7FFB25">
              <w:rPr>
                <w:rFonts w:cs="Calibri"/>
                <w:sz w:val="20"/>
                <w:szCs w:val="20"/>
                <w:lang w:eastAsia="zh-CN"/>
              </w:rPr>
              <w:t xml:space="preserve"> </w:t>
            </w:r>
          </w:p>
          <w:p w:rsidR="2B7FFB25" w:rsidP="2B7FFB25" w:rsidRDefault="2B7FFB25" w14:paraId="701A6BD9" w14:textId="5CF0A4F4">
            <w:pPr>
              <w:spacing w:line="259" w:lineRule="auto"/>
              <w:jc w:val="center"/>
              <w:rPr>
                <w:rFonts w:hint="eastAsia" w:cs="Calibri"/>
                <w:sz w:val="20"/>
                <w:szCs w:val="20"/>
                <w:lang w:eastAsia="zh-CN"/>
              </w:rPr>
            </w:pPr>
            <w:r w:rsidRPr="2B7FFB25">
              <w:rPr>
                <w:rFonts w:cs="Calibri"/>
                <w:sz w:val="20"/>
                <w:szCs w:val="20"/>
                <w:lang w:eastAsia="zh-CN"/>
              </w:rPr>
              <w:t>Expanded profitability model – SBM</w:t>
            </w:r>
          </w:p>
          <w:p w:rsidR="2B7FFB25" w:rsidP="2B7FFB25" w:rsidRDefault="2B7FFB25" w14:paraId="64727747" w14:textId="06770602">
            <w:pPr>
              <w:spacing w:line="259" w:lineRule="auto"/>
              <w:jc w:val="center"/>
              <w:rPr>
                <w:rFonts w:hint="eastAsia" w:cs="Calibri"/>
                <w:sz w:val="20"/>
                <w:szCs w:val="20"/>
                <w:lang w:eastAsia="zh-CN"/>
              </w:rPr>
            </w:pPr>
            <w:r w:rsidRPr="2B7FFB25">
              <w:rPr>
                <w:rFonts w:cs="Calibri"/>
                <w:sz w:val="20"/>
                <w:szCs w:val="20"/>
                <w:lang w:eastAsia="zh-CN"/>
              </w:rPr>
              <w:t xml:space="preserve"> </w:t>
            </w:r>
          </w:p>
          <w:p w:rsidR="2B7FFB25" w:rsidP="2B7FFB25" w:rsidRDefault="2B7FFB25" w14:paraId="66974547" w14:textId="02DB02E1">
            <w:pPr>
              <w:spacing w:line="259" w:lineRule="auto"/>
              <w:jc w:val="center"/>
              <w:rPr>
                <w:rFonts w:hint="eastAsia" w:cs="Calibri"/>
                <w:sz w:val="20"/>
                <w:szCs w:val="20"/>
                <w:lang w:eastAsia="zh-CN"/>
              </w:rPr>
            </w:pPr>
            <w:r w:rsidRPr="2B7FFB25">
              <w:rPr>
                <w:rFonts w:cs="Calibri"/>
                <w:sz w:val="20"/>
                <w:szCs w:val="20"/>
                <w:lang w:eastAsia="zh-CN"/>
              </w:rPr>
              <w:t>Financial Ratio Model - SBM</w:t>
            </w:r>
          </w:p>
        </w:tc>
        <w:tc>
          <w:tcPr>
            <w:tcW w:w="2177" w:type="dxa"/>
            <w:tcMar/>
          </w:tcPr>
          <w:p w:rsidR="2B7FFB25" w:rsidP="2B7FFB25" w:rsidRDefault="2B7FFB25" w14:paraId="06DEC810" w14:textId="37C4B478">
            <w:pPr>
              <w:spacing w:line="259" w:lineRule="auto"/>
              <w:jc w:val="center"/>
              <w:rPr>
                <w:rFonts w:hint="eastAsia" w:cs="Calibri"/>
                <w:sz w:val="20"/>
                <w:szCs w:val="20"/>
                <w:lang w:eastAsia="zh-CN"/>
              </w:rPr>
            </w:pPr>
            <w:r w:rsidRPr="2B7FFB25">
              <w:rPr>
                <w:rFonts w:cs="Calibri"/>
                <w:sz w:val="20"/>
                <w:szCs w:val="20"/>
                <w:lang w:eastAsia="zh-CN"/>
              </w:rPr>
              <w:t>Statistical Test: Simple Regression</w:t>
            </w:r>
          </w:p>
        </w:tc>
        <w:tc>
          <w:tcPr>
            <w:tcW w:w="1689" w:type="dxa"/>
            <w:tcMar/>
          </w:tcPr>
          <w:p w:rsidR="2B7FFB25" w:rsidP="2B7FFB25" w:rsidRDefault="2B7FFB25" w14:paraId="76FEC495" w14:textId="03B2B94D">
            <w:pPr>
              <w:spacing w:line="259" w:lineRule="auto"/>
              <w:jc w:val="center"/>
              <w:rPr>
                <w:rFonts w:hint="eastAsia" w:cs="Calibri"/>
                <w:sz w:val="20"/>
                <w:szCs w:val="20"/>
                <w:lang w:eastAsia="zh-CN"/>
              </w:rPr>
            </w:pPr>
            <w:r w:rsidRPr="2B7FFB25">
              <w:rPr>
                <w:rFonts w:cs="Calibri"/>
                <w:sz w:val="20"/>
                <w:szCs w:val="20"/>
                <w:lang w:eastAsia="zh-CN"/>
              </w:rPr>
              <w:t xml:space="preserve"> </w:t>
            </w:r>
          </w:p>
        </w:tc>
      </w:tr>
      <w:tr w:rsidR="2B7FFB25" w:rsidTr="4F940BA9" w14:paraId="162BFCC4" w14:textId="77777777">
        <w:trPr>
          <w:trHeight w:val="284"/>
        </w:trPr>
        <w:tc>
          <w:tcPr>
            <w:tcW w:w="901" w:type="dxa"/>
            <w:tcMar/>
          </w:tcPr>
          <w:p w:rsidR="2B7FFB25" w:rsidP="2B7FFB25" w:rsidRDefault="2B7FFB25" w14:paraId="3433875E" w14:textId="275A64CF">
            <w:pPr>
              <w:jc w:val="center"/>
              <w:rPr>
                <w:rFonts w:hint="eastAsia" w:cs="Calibri"/>
                <w:sz w:val="20"/>
                <w:szCs w:val="20"/>
                <w:lang w:eastAsia="zh-CN"/>
              </w:rPr>
            </w:pPr>
            <w:r w:rsidRPr="2B7FFB25">
              <w:rPr>
                <w:rFonts w:cs="Calibri"/>
                <w:sz w:val="20"/>
                <w:szCs w:val="20"/>
                <w:lang w:eastAsia="zh-CN"/>
              </w:rPr>
              <w:t>6</w:t>
            </w:r>
          </w:p>
        </w:tc>
        <w:tc>
          <w:tcPr>
            <w:tcW w:w="1979" w:type="dxa"/>
            <w:tcMar/>
          </w:tcPr>
          <w:p w:rsidR="2B7FFB25" w:rsidP="2B7FFB25" w:rsidRDefault="2B7FFB25" w14:paraId="1E1B1AA0" w14:textId="5313F299">
            <w:pPr>
              <w:spacing w:line="259" w:lineRule="auto"/>
              <w:jc w:val="center"/>
              <w:rPr>
                <w:rFonts w:hint="eastAsia" w:cs="Calibri"/>
                <w:sz w:val="20"/>
                <w:szCs w:val="20"/>
                <w:lang w:eastAsia="zh-CN"/>
              </w:rPr>
            </w:pPr>
            <w:r w:rsidRPr="2B7FFB25">
              <w:rPr>
                <w:rFonts w:cs="Calibri"/>
                <w:sz w:val="20"/>
                <w:szCs w:val="20"/>
                <w:lang w:eastAsia="zh-CN"/>
              </w:rPr>
              <w:t>Tan, Wänke,  Antunes,  Emrouznejad</w:t>
            </w:r>
            <w:r w:rsidRPr="2E56052F" w:rsidR="7B96D67E">
              <w:rPr>
                <w:rFonts w:cs="Calibri"/>
                <w:sz w:val="20"/>
                <w:szCs w:val="20"/>
                <w:lang w:eastAsia="zh-CN"/>
              </w:rPr>
              <w:t xml:space="preserve"> (</w:t>
            </w:r>
            <w:r w:rsidRPr="2B7FFB25">
              <w:rPr>
                <w:rFonts w:cs="Calibri"/>
                <w:sz w:val="20"/>
                <w:szCs w:val="20"/>
                <w:lang w:eastAsia="zh-CN"/>
              </w:rPr>
              <w:t>2024</w:t>
            </w:r>
            <w:r w:rsidRPr="2E56052F" w:rsidR="70D12306">
              <w:rPr>
                <w:rFonts w:cs="Calibri"/>
                <w:sz w:val="20"/>
                <w:szCs w:val="20"/>
                <w:lang w:eastAsia="zh-CN"/>
              </w:rPr>
              <w:t>)</w:t>
            </w:r>
          </w:p>
        </w:tc>
        <w:tc>
          <w:tcPr>
            <w:tcW w:w="2249" w:type="dxa"/>
            <w:tcMar/>
          </w:tcPr>
          <w:p w:rsidR="2B7FFB25" w:rsidP="2B7FFB25" w:rsidRDefault="2B7FFB25" w14:paraId="704C83E3" w14:textId="4B3A0D32">
            <w:pPr>
              <w:spacing w:line="259" w:lineRule="auto"/>
              <w:jc w:val="center"/>
              <w:rPr>
                <w:rFonts w:hint="eastAsia" w:cs="Calibri"/>
                <w:sz w:val="20"/>
                <w:szCs w:val="20"/>
                <w:lang w:eastAsia="zh-CN"/>
              </w:rPr>
            </w:pPr>
            <w:r w:rsidRPr="2B7FFB25">
              <w:rPr>
                <w:rFonts w:cs="Calibri"/>
                <w:sz w:val="20"/>
                <w:szCs w:val="20"/>
                <w:lang w:eastAsia="zh-CN"/>
              </w:rPr>
              <w:t>GMSS – DEA Model</w:t>
            </w:r>
          </w:p>
        </w:tc>
        <w:tc>
          <w:tcPr>
            <w:tcW w:w="2177" w:type="dxa"/>
            <w:tcMar/>
          </w:tcPr>
          <w:p w:rsidR="2B7FFB25" w:rsidP="2B7FFB25" w:rsidRDefault="00820A40" w14:paraId="0D308C66" w14:textId="6BF399D4">
            <w:pPr>
              <w:spacing w:line="259" w:lineRule="auto"/>
              <w:jc w:val="center"/>
              <w:rPr>
                <w:rFonts w:hint="eastAsia" w:cs="Calibri"/>
                <w:sz w:val="20"/>
                <w:szCs w:val="20"/>
                <w:lang w:eastAsia="zh-CN"/>
              </w:rPr>
            </w:pPr>
            <w:r>
              <w:rPr>
                <w:rFonts w:cs="Calibri"/>
                <w:sz w:val="20"/>
                <w:szCs w:val="20"/>
                <w:lang w:eastAsia="zh-CN"/>
              </w:rPr>
              <w:t>OLS</w:t>
            </w:r>
            <w:r w:rsidRPr="2B7FFB25" w:rsidR="2B7FFB25">
              <w:rPr>
                <w:rFonts w:cs="Calibri"/>
                <w:sz w:val="20"/>
                <w:szCs w:val="20"/>
                <w:lang w:eastAsia="zh-CN"/>
              </w:rPr>
              <w:t xml:space="preserve"> Regression Model</w:t>
            </w:r>
          </w:p>
        </w:tc>
        <w:tc>
          <w:tcPr>
            <w:tcW w:w="1689" w:type="dxa"/>
            <w:tcMar/>
          </w:tcPr>
          <w:p w:rsidR="2B7FFB25" w:rsidP="2B7FFB25" w:rsidRDefault="2B7FFB25" w14:paraId="0F95E6CD" w14:textId="56031669">
            <w:pPr>
              <w:spacing w:line="259" w:lineRule="auto"/>
              <w:jc w:val="center"/>
              <w:rPr>
                <w:rFonts w:hint="eastAsia" w:cs="Calibri"/>
                <w:sz w:val="20"/>
                <w:szCs w:val="20"/>
                <w:lang w:eastAsia="zh-CN"/>
              </w:rPr>
            </w:pPr>
            <w:r w:rsidRPr="2B7FFB25">
              <w:rPr>
                <w:rFonts w:cs="Calibri"/>
                <w:sz w:val="20"/>
                <w:szCs w:val="20"/>
                <w:lang w:eastAsia="zh-CN"/>
              </w:rPr>
              <w:t>n/a</w:t>
            </w:r>
          </w:p>
        </w:tc>
      </w:tr>
      <w:tr w:rsidR="2B7FFB25" w:rsidTr="4F940BA9" w14:paraId="130BBB0F" w14:textId="77777777">
        <w:trPr>
          <w:trHeight w:val="284"/>
        </w:trPr>
        <w:tc>
          <w:tcPr>
            <w:tcW w:w="901" w:type="dxa"/>
            <w:tcMar/>
          </w:tcPr>
          <w:p w:rsidR="2B7FFB25" w:rsidP="2B7FFB25" w:rsidRDefault="2B7FFB25" w14:paraId="0F9C9EB1" w14:textId="38D62509">
            <w:pPr>
              <w:jc w:val="center"/>
              <w:rPr>
                <w:rFonts w:hint="eastAsia" w:cs="Calibri"/>
                <w:sz w:val="20"/>
                <w:szCs w:val="20"/>
                <w:lang w:eastAsia="zh-CN"/>
              </w:rPr>
            </w:pPr>
            <w:r w:rsidRPr="2B7FFB25">
              <w:rPr>
                <w:rFonts w:cs="Calibri"/>
                <w:sz w:val="20"/>
                <w:szCs w:val="20"/>
                <w:lang w:eastAsia="zh-CN"/>
              </w:rPr>
              <w:t>11</w:t>
            </w:r>
          </w:p>
        </w:tc>
        <w:tc>
          <w:tcPr>
            <w:tcW w:w="1979" w:type="dxa"/>
            <w:shd w:val="clear" w:color="auto" w:fill="1E8BCD"/>
            <w:tcMar/>
          </w:tcPr>
          <w:p w:rsidR="2B7FFB25" w:rsidP="2B7FFB25" w:rsidRDefault="2B7FFB25" w14:paraId="3CBDF2D0" w14:textId="543E076F">
            <w:pPr>
              <w:spacing w:line="259" w:lineRule="auto"/>
              <w:jc w:val="center"/>
              <w:rPr>
                <w:rFonts w:hint="eastAsia" w:cs="Calibri"/>
                <w:sz w:val="20"/>
                <w:szCs w:val="20"/>
                <w:lang w:eastAsia="zh-CN"/>
              </w:rPr>
            </w:pPr>
            <w:r w:rsidRPr="2B7FFB25">
              <w:rPr>
                <w:rFonts w:cs="Calibri"/>
                <w:sz w:val="20"/>
                <w:szCs w:val="20"/>
                <w:lang w:eastAsia="zh-CN"/>
              </w:rPr>
              <w:t>An, Chen, Liang &amp; Wu</w:t>
            </w:r>
            <w:r w:rsidRPr="2E56052F" w:rsidR="10F918C8">
              <w:rPr>
                <w:rFonts w:cs="Calibri"/>
                <w:sz w:val="20"/>
                <w:szCs w:val="20"/>
                <w:lang w:eastAsia="zh-CN"/>
              </w:rPr>
              <w:t xml:space="preserve"> (</w:t>
            </w:r>
            <w:r w:rsidRPr="2B7FFB25">
              <w:rPr>
                <w:rFonts w:cs="Calibri"/>
                <w:sz w:val="20"/>
                <w:szCs w:val="20"/>
                <w:lang w:eastAsia="zh-CN"/>
              </w:rPr>
              <w:t>2015)</w:t>
            </w:r>
          </w:p>
        </w:tc>
        <w:tc>
          <w:tcPr>
            <w:tcW w:w="2249" w:type="dxa"/>
            <w:shd w:val="clear" w:color="auto" w:fill="1E8BCD"/>
            <w:tcMar/>
          </w:tcPr>
          <w:p w:rsidR="2B7FFB25" w:rsidP="7018C8AF" w:rsidRDefault="2B7FFB25" w14:paraId="0731D1ED" w14:textId="1E98AD91">
            <w:pPr>
              <w:spacing w:line="259" w:lineRule="auto"/>
              <w:jc w:val="center"/>
              <w:rPr>
                <w:rFonts w:hint="eastAsia" w:cs="Calibri"/>
                <w:sz w:val="20"/>
                <w:szCs w:val="20"/>
                <w:lang w:eastAsia="zh-CN"/>
              </w:rPr>
            </w:pPr>
            <w:r w:rsidRPr="2B7FFB25">
              <w:rPr>
                <w:rFonts w:cs="Calibri"/>
                <w:sz w:val="20"/>
                <w:szCs w:val="20"/>
                <w:lang w:eastAsia="zh-CN"/>
              </w:rPr>
              <w:t>Slack-based measure model (Deposit Generation Stage)</w:t>
            </w:r>
          </w:p>
          <w:p w:rsidR="2B7FFB25" w:rsidP="7018C8AF" w:rsidRDefault="2B7FFB25" w14:paraId="17B7ED9C" w14:textId="54E4F45C">
            <w:pPr>
              <w:spacing w:line="259" w:lineRule="auto"/>
              <w:jc w:val="center"/>
              <w:rPr>
                <w:rFonts w:hint="eastAsia" w:cs="Calibri"/>
                <w:sz w:val="20"/>
                <w:szCs w:val="20"/>
                <w:lang w:eastAsia="zh-CN"/>
              </w:rPr>
            </w:pPr>
          </w:p>
          <w:p w:rsidR="2B7FFB25" w:rsidP="7018C8AF" w:rsidRDefault="05B648CB" w14:paraId="419206E5" w14:textId="74352D4A">
            <w:pPr>
              <w:spacing w:line="259" w:lineRule="auto"/>
              <w:jc w:val="center"/>
              <w:rPr>
                <w:rFonts w:hint="eastAsia" w:cs="Calibri"/>
                <w:sz w:val="20"/>
                <w:szCs w:val="20"/>
                <w:highlight w:val="cyan"/>
                <w:lang w:eastAsia="zh-CN"/>
              </w:rPr>
            </w:pPr>
            <w:r w:rsidRPr="7018C8AF">
              <w:rPr>
                <w:rFonts w:cs="Calibri"/>
                <w:sz w:val="20"/>
                <w:szCs w:val="20"/>
                <w:highlight w:val="cyan"/>
                <w:lang w:eastAsia="zh-CN"/>
              </w:rPr>
              <w:t>Slack-based measure model</w:t>
            </w:r>
          </w:p>
          <w:p w:rsidR="2B7FFB25" w:rsidP="7018C8AF" w:rsidRDefault="05B648CB" w14:paraId="5F5891A8" w14:textId="28BE272D">
            <w:pPr>
              <w:spacing w:line="259" w:lineRule="auto"/>
              <w:jc w:val="center"/>
              <w:rPr>
                <w:rFonts w:hint="eastAsia" w:cs="Calibri"/>
                <w:sz w:val="20"/>
                <w:szCs w:val="20"/>
                <w:lang w:eastAsia="zh-CN"/>
              </w:rPr>
            </w:pPr>
            <w:r w:rsidRPr="7018C8AF">
              <w:rPr>
                <w:rFonts w:cs="Calibri"/>
                <w:sz w:val="20"/>
                <w:szCs w:val="20"/>
                <w:highlight w:val="cyan"/>
                <w:lang w:eastAsia="zh-CN"/>
              </w:rPr>
              <w:t>(Deposit utilizing stage)</w:t>
            </w:r>
          </w:p>
          <w:p w:rsidR="2B7FFB25" w:rsidP="2B7FFB25" w:rsidRDefault="2B7FFB25" w14:paraId="3C1398ED" w14:textId="48FFC55A">
            <w:pPr>
              <w:spacing w:line="259" w:lineRule="auto"/>
              <w:jc w:val="center"/>
              <w:rPr>
                <w:rFonts w:hint="eastAsia" w:cs="Calibri"/>
                <w:sz w:val="20"/>
                <w:szCs w:val="20"/>
                <w:lang w:eastAsia="zh-CN"/>
              </w:rPr>
            </w:pPr>
          </w:p>
        </w:tc>
        <w:tc>
          <w:tcPr>
            <w:tcW w:w="2177" w:type="dxa"/>
            <w:shd w:val="clear" w:color="auto" w:fill="1E8BCD"/>
            <w:tcMar/>
          </w:tcPr>
          <w:p w:rsidR="2B7FFB25" w:rsidP="2B7FFB25" w:rsidRDefault="0206F771" w14:paraId="2F50B10D" w14:textId="1F5AC976">
            <w:pPr>
              <w:spacing w:line="259" w:lineRule="auto"/>
              <w:jc w:val="center"/>
              <w:rPr>
                <w:rFonts w:hint="eastAsia" w:cs="Calibri"/>
                <w:sz w:val="20"/>
                <w:szCs w:val="20"/>
                <w:highlight w:val="cyan"/>
                <w:lang w:eastAsia="zh-CN"/>
              </w:rPr>
            </w:pPr>
            <w:r w:rsidRPr="7018C8AF">
              <w:rPr>
                <w:rFonts w:cs="Calibri"/>
                <w:sz w:val="20"/>
                <w:szCs w:val="20"/>
                <w:highlight w:val="cyan"/>
                <w:lang w:eastAsia="zh-CN"/>
              </w:rPr>
              <w:t>n/a</w:t>
            </w:r>
          </w:p>
        </w:tc>
        <w:tc>
          <w:tcPr>
            <w:tcW w:w="1689" w:type="dxa"/>
            <w:shd w:val="clear" w:color="auto" w:fill="1E8BCD"/>
            <w:tcMar/>
          </w:tcPr>
          <w:p w:rsidR="2B7FFB25" w:rsidP="2B7FFB25" w:rsidRDefault="2B7FFB25" w14:paraId="41278679" w14:textId="4F182C41">
            <w:pPr>
              <w:spacing w:line="259" w:lineRule="auto"/>
              <w:jc w:val="center"/>
              <w:rPr>
                <w:rFonts w:hint="eastAsia" w:cs="Calibri"/>
                <w:sz w:val="20"/>
                <w:szCs w:val="20"/>
                <w:lang w:eastAsia="zh-CN"/>
              </w:rPr>
            </w:pPr>
            <w:r w:rsidRPr="2B7FFB25">
              <w:rPr>
                <w:rFonts w:cs="Calibri"/>
                <w:sz w:val="20"/>
                <w:szCs w:val="20"/>
                <w:lang w:eastAsia="zh-CN"/>
              </w:rPr>
              <w:t>n/a</w:t>
            </w:r>
          </w:p>
        </w:tc>
      </w:tr>
      <w:tr w:rsidR="2B7FFB25" w:rsidTr="4F940BA9" w14:paraId="78586CCD" w14:textId="77777777">
        <w:trPr>
          <w:trHeight w:val="284"/>
        </w:trPr>
        <w:tc>
          <w:tcPr>
            <w:tcW w:w="901" w:type="dxa"/>
            <w:tcMar/>
          </w:tcPr>
          <w:p w:rsidR="2B7FFB25" w:rsidP="2B7FFB25" w:rsidRDefault="2B7FFB25" w14:paraId="50357206" w14:textId="38447D46">
            <w:pPr>
              <w:jc w:val="center"/>
              <w:rPr>
                <w:rFonts w:hint="eastAsia" w:cs="Calibri"/>
                <w:sz w:val="20"/>
                <w:szCs w:val="20"/>
                <w:lang w:eastAsia="zh-CN"/>
              </w:rPr>
            </w:pPr>
            <w:r w:rsidRPr="2B7FFB25">
              <w:rPr>
                <w:rFonts w:cs="Calibri"/>
                <w:sz w:val="20"/>
                <w:szCs w:val="20"/>
                <w:lang w:eastAsia="zh-CN"/>
              </w:rPr>
              <w:t>16</w:t>
            </w:r>
          </w:p>
        </w:tc>
        <w:tc>
          <w:tcPr>
            <w:tcW w:w="1979" w:type="dxa"/>
            <w:tcMar/>
          </w:tcPr>
          <w:p w:rsidR="2B7FFB25" w:rsidP="2B7FFB25" w:rsidRDefault="2B7FFB25" w14:paraId="51B5829E" w14:textId="5537210E">
            <w:pPr>
              <w:spacing w:line="259" w:lineRule="auto"/>
              <w:jc w:val="center"/>
              <w:rPr>
                <w:rFonts w:hint="eastAsia" w:cs="Calibri"/>
                <w:sz w:val="20"/>
                <w:szCs w:val="20"/>
                <w:lang w:eastAsia="zh-CN"/>
              </w:rPr>
            </w:pPr>
            <w:r w:rsidRPr="2B7FFB25">
              <w:rPr>
                <w:rFonts w:cs="Calibri"/>
                <w:sz w:val="20"/>
                <w:szCs w:val="20"/>
                <w:lang w:eastAsia="zh-CN"/>
              </w:rPr>
              <w:t>Hirofumi Fukuyamaa , Yong Tan (2022)</w:t>
            </w:r>
          </w:p>
        </w:tc>
        <w:tc>
          <w:tcPr>
            <w:tcW w:w="2249" w:type="dxa"/>
            <w:tcMar/>
          </w:tcPr>
          <w:p w:rsidR="2B7FFB25" w:rsidP="2B7FFB25" w:rsidRDefault="2B7FFB25" w14:paraId="602A3FF1" w14:textId="5FF26DB9">
            <w:pPr>
              <w:spacing w:line="259" w:lineRule="auto"/>
              <w:jc w:val="center"/>
              <w:rPr>
                <w:rFonts w:hint="eastAsia" w:cs="Calibri"/>
                <w:sz w:val="20"/>
                <w:szCs w:val="20"/>
                <w:lang w:eastAsia="zh-CN"/>
              </w:rPr>
            </w:pPr>
            <w:r w:rsidRPr="2B7FFB25">
              <w:rPr>
                <w:rFonts w:cs="Calibri"/>
                <w:sz w:val="20"/>
                <w:szCs w:val="20"/>
                <w:lang w:eastAsia="zh-CN"/>
              </w:rPr>
              <w:t>Slack-based measure model</w:t>
            </w:r>
          </w:p>
          <w:p w:rsidR="2B7FFB25" w:rsidP="2B7FFB25" w:rsidRDefault="2B7FFB25" w14:paraId="306BE4FE" w14:textId="077233F3">
            <w:pPr>
              <w:spacing w:line="259" w:lineRule="auto"/>
              <w:jc w:val="center"/>
              <w:rPr>
                <w:rFonts w:hint="eastAsia" w:cs="Calibri"/>
                <w:sz w:val="20"/>
                <w:szCs w:val="20"/>
                <w:lang w:eastAsia="zh-CN"/>
              </w:rPr>
            </w:pPr>
            <w:r w:rsidRPr="2B7FFB25">
              <w:rPr>
                <w:rFonts w:cs="Calibri"/>
                <w:sz w:val="20"/>
                <w:szCs w:val="20"/>
                <w:lang w:eastAsia="zh-CN"/>
              </w:rPr>
              <w:t xml:space="preserve"> </w:t>
            </w:r>
          </w:p>
          <w:p w:rsidR="2B7FFB25" w:rsidP="2B7FFB25" w:rsidRDefault="2B7FFB25" w14:paraId="70A4E88B" w14:textId="707D89F4">
            <w:pPr>
              <w:spacing w:line="259" w:lineRule="auto"/>
              <w:jc w:val="center"/>
              <w:rPr>
                <w:rFonts w:hint="eastAsia" w:cs="Calibri"/>
                <w:sz w:val="20"/>
                <w:szCs w:val="20"/>
                <w:lang w:eastAsia="zh-CN"/>
              </w:rPr>
            </w:pPr>
            <w:r w:rsidRPr="2B7FFB25">
              <w:rPr>
                <w:rFonts w:cs="Calibri"/>
                <w:sz w:val="20"/>
                <w:szCs w:val="20"/>
                <w:lang w:eastAsia="zh-CN"/>
              </w:rPr>
              <w:t>Non-radial DEA model, Directional distance function (NON RADIAL DDF)</w:t>
            </w:r>
          </w:p>
        </w:tc>
        <w:tc>
          <w:tcPr>
            <w:tcW w:w="2177" w:type="dxa"/>
            <w:tcMar/>
          </w:tcPr>
          <w:p w:rsidR="2B7FFB25" w:rsidP="2B7FFB25" w:rsidRDefault="2B7FFB25" w14:paraId="67EAD5B7" w14:textId="47602A8B">
            <w:pPr>
              <w:spacing w:line="259" w:lineRule="auto"/>
              <w:jc w:val="center"/>
              <w:rPr>
                <w:rFonts w:hint="eastAsia" w:cs="Calibri"/>
                <w:sz w:val="20"/>
                <w:szCs w:val="20"/>
                <w:lang w:eastAsia="zh-CN"/>
              </w:rPr>
            </w:pPr>
            <w:r w:rsidRPr="2B7FFB25">
              <w:rPr>
                <w:rFonts w:cs="Calibri"/>
                <w:sz w:val="20"/>
                <w:szCs w:val="20"/>
                <w:lang w:eastAsia="zh-CN"/>
              </w:rPr>
              <w:t>n/a</w:t>
            </w:r>
          </w:p>
        </w:tc>
        <w:tc>
          <w:tcPr>
            <w:tcW w:w="1689" w:type="dxa"/>
            <w:tcMar/>
          </w:tcPr>
          <w:p w:rsidR="2B7FFB25" w:rsidP="2B7FFB25" w:rsidRDefault="2B7FFB25" w14:paraId="630245C0" w14:textId="0F6C0293">
            <w:pPr>
              <w:spacing w:line="259" w:lineRule="auto"/>
              <w:jc w:val="center"/>
              <w:rPr>
                <w:rFonts w:hint="eastAsia" w:cs="Calibri"/>
                <w:sz w:val="20"/>
                <w:szCs w:val="20"/>
                <w:lang w:eastAsia="zh-CN"/>
              </w:rPr>
            </w:pPr>
            <w:r w:rsidRPr="2B7FFB25">
              <w:rPr>
                <w:rFonts w:cs="Calibri"/>
                <w:sz w:val="20"/>
                <w:szCs w:val="20"/>
                <w:lang w:eastAsia="zh-CN"/>
              </w:rPr>
              <w:t>n/a</w:t>
            </w:r>
          </w:p>
        </w:tc>
      </w:tr>
      <w:tr w:rsidR="2B7FFB25" w:rsidTr="4F940BA9" w14:paraId="1A38D52D" w14:textId="77777777">
        <w:trPr>
          <w:trHeight w:val="284"/>
        </w:trPr>
        <w:tc>
          <w:tcPr>
            <w:tcW w:w="901" w:type="dxa"/>
            <w:tcMar/>
          </w:tcPr>
          <w:p w:rsidR="2B7FFB25" w:rsidP="2B7FFB25" w:rsidRDefault="2B7FFB25" w14:paraId="7BD06A37" w14:textId="3E747C6B">
            <w:pPr>
              <w:jc w:val="center"/>
              <w:rPr>
                <w:rFonts w:hint="eastAsia" w:cs="Calibri"/>
                <w:sz w:val="20"/>
                <w:szCs w:val="20"/>
                <w:lang w:eastAsia="zh-CN"/>
              </w:rPr>
            </w:pPr>
            <w:r w:rsidRPr="2B7FFB25">
              <w:rPr>
                <w:rFonts w:cs="Calibri"/>
                <w:sz w:val="20"/>
                <w:szCs w:val="20"/>
                <w:lang w:eastAsia="zh-CN"/>
              </w:rPr>
              <w:t>21</w:t>
            </w:r>
          </w:p>
        </w:tc>
        <w:tc>
          <w:tcPr>
            <w:tcW w:w="1979" w:type="dxa"/>
            <w:tcMar/>
          </w:tcPr>
          <w:p w:rsidR="2B7FFB25" w:rsidP="2B7FFB25" w:rsidRDefault="2B7FFB25" w14:paraId="5A142598" w14:textId="3776F236">
            <w:pPr>
              <w:spacing w:line="259" w:lineRule="auto"/>
              <w:jc w:val="center"/>
              <w:rPr>
                <w:rFonts w:hint="eastAsia" w:cs="Calibri"/>
                <w:sz w:val="20"/>
                <w:szCs w:val="20"/>
                <w:lang w:eastAsia="zh-CN"/>
              </w:rPr>
            </w:pPr>
            <w:r w:rsidRPr="2B7FFB25">
              <w:rPr>
                <w:rFonts w:cs="Calibri"/>
                <w:sz w:val="20"/>
                <w:szCs w:val="20"/>
                <w:lang w:eastAsia="zh-CN"/>
              </w:rPr>
              <w:t>Hirofumi Fukuyamaa , Roman Matousek (2017)</w:t>
            </w:r>
          </w:p>
        </w:tc>
        <w:tc>
          <w:tcPr>
            <w:tcW w:w="2249" w:type="dxa"/>
            <w:tcMar/>
          </w:tcPr>
          <w:p w:rsidR="2B7FFB25" w:rsidP="2B7FFB25" w:rsidRDefault="2B7FFB25" w14:paraId="03CF44AC" w14:textId="6A5F29D9">
            <w:pPr>
              <w:spacing w:line="259" w:lineRule="auto"/>
              <w:jc w:val="center"/>
              <w:rPr>
                <w:rFonts w:hint="eastAsia" w:cs="Calibri"/>
                <w:sz w:val="20"/>
                <w:szCs w:val="20"/>
                <w:lang w:eastAsia="zh-CN"/>
              </w:rPr>
            </w:pPr>
            <w:r w:rsidRPr="2B7FFB25">
              <w:rPr>
                <w:rFonts w:cs="Calibri"/>
                <w:sz w:val="20"/>
                <w:szCs w:val="20"/>
                <w:lang w:eastAsia="zh-CN"/>
              </w:rPr>
              <w:t>Two-stage Network DEA Model for bank analysis</w:t>
            </w:r>
          </w:p>
          <w:p w:rsidR="2B7FFB25" w:rsidP="2B7FFB25" w:rsidRDefault="2B7FFB25" w14:paraId="5B95B624" w14:textId="1D4E397B">
            <w:pPr>
              <w:spacing w:line="259" w:lineRule="auto"/>
              <w:jc w:val="center"/>
              <w:rPr>
                <w:rFonts w:hint="eastAsia" w:cs="Calibri"/>
                <w:sz w:val="20"/>
                <w:szCs w:val="20"/>
                <w:lang w:eastAsia="zh-CN"/>
              </w:rPr>
            </w:pPr>
            <w:r w:rsidRPr="2B7FFB25">
              <w:rPr>
                <w:rFonts w:cs="Calibri"/>
                <w:sz w:val="20"/>
                <w:szCs w:val="20"/>
                <w:lang w:eastAsia="zh-CN"/>
              </w:rPr>
              <w:t xml:space="preserve"> </w:t>
            </w:r>
          </w:p>
          <w:p w:rsidR="2B7FFB25" w:rsidP="2B7FFB25" w:rsidRDefault="2B7FFB25" w14:paraId="4E8FAA56" w14:textId="6FE40E3B">
            <w:pPr>
              <w:spacing w:line="259" w:lineRule="auto"/>
              <w:jc w:val="center"/>
              <w:rPr>
                <w:rFonts w:hint="eastAsia" w:cs="Calibri"/>
                <w:sz w:val="20"/>
                <w:szCs w:val="20"/>
                <w:lang w:eastAsia="zh-CN"/>
              </w:rPr>
            </w:pPr>
            <w:r w:rsidRPr="2B7FFB25">
              <w:rPr>
                <w:rFonts w:cs="Calibri"/>
                <w:sz w:val="20"/>
                <w:szCs w:val="20"/>
                <w:lang w:eastAsia="zh-CN"/>
              </w:rPr>
              <w:t>Series Structure</w:t>
            </w:r>
          </w:p>
          <w:p w:rsidR="2B7FFB25" w:rsidP="2B7FFB25" w:rsidRDefault="2B7FFB25" w14:paraId="303648CB" w14:textId="26187328">
            <w:pPr>
              <w:spacing w:line="259" w:lineRule="auto"/>
              <w:jc w:val="center"/>
              <w:rPr>
                <w:rFonts w:hint="eastAsia" w:cs="Calibri"/>
                <w:sz w:val="20"/>
                <w:szCs w:val="20"/>
                <w:lang w:eastAsia="zh-CN"/>
              </w:rPr>
            </w:pPr>
            <w:r w:rsidRPr="2B7FFB25">
              <w:rPr>
                <w:rFonts w:cs="Calibri"/>
                <w:sz w:val="20"/>
                <w:szCs w:val="20"/>
                <w:lang w:eastAsia="zh-CN"/>
              </w:rPr>
              <w:t xml:space="preserve"> </w:t>
            </w:r>
          </w:p>
        </w:tc>
        <w:tc>
          <w:tcPr>
            <w:tcW w:w="2177" w:type="dxa"/>
            <w:tcMar/>
          </w:tcPr>
          <w:p w:rsidR="2B7FFB25" w:rsidP="2B7FFB25" w:rsidRDefault="2B7FFB25" w14:paraId="5E5BF830" w14:textId="0907B12D">
            <w:pPr>
              <w:spacing w:line="259" w:lineRule="auto"/>
              <w:jc w:val="center"/>
              <w:rPr>
                <w:rFonts w:hint="eastAsia" w:cs="Calibri"/>
                <w:sz w:val="20"/>
                <w:szCs w:val="20"/>
                <w:lang w:eastAsia="zh-CN"/>
              </w:rPr>
            </w:pPr>
            <w:r w:rsidRPr="00F266EE">
              <w:rPr>
                <w:rFonts w:cs="Calibri"/>
                <w:sz w:val="20"/>
                <w:szCs w:val="20"/>
                <w:highlight w:val="cyan"/>
                <w:lang w:eastAsia="zh-CN"/>
              </w:rPr>
              <w:t xml:space="preserve"> regression</w:t>
            </w:r>
          </w:p>
        </w:tc>
        <w:tc>
          <w:tcPr>
            <w:tcW w:w="1689" w:type="dxa"/>
            <w:tcMar/>
          </w:tcPr>
          <w:p w:rsidR="2B7FFB25" w:rsidP="2B7FFB25" w:rsidRDefault="2B7FFB25" w14:paraId="0A30A654" w14:textId="35EEC1B3">
            <w:pPr>
              <w:spacing w:line="259" w:lineRule="auto"/>
              <w:jc w:val="center"/>
              <w:rPr>
                <w:rFonts w:hint="eastAsia" w:cs="Calibri"/>
                <w:sz w:val="20"/>
                <w:szCs w:val="20"/>
                <w:lang w:eastAsia="zh-CN"/>
              </w:rPr>
            </w:pPr>
            <w:r w:rsidRPr="2B7FFB25">
              <w:rPr>
                <w:rFonts w:cs="Calibri"/>
                <w:sz w:val="20"/>
                <w:szCs w:val="20"/>
                <w:lang w:eastAsia="zh-CN"/>
              </w:rPr>
              <w:t>- n/a</w:t>
            </w:r>
          </w:p>
        </w:tc>
      </w:tr>
      <w:tr w:rsidR="2B7FFB25" w:rsidTr="4F940BA9" w14:paraId="5736CB2A" w14:textId="77777777">
        <w:trPr>
          <w:trHeight w:val="284"/>
        </w:trPr>
        <w:tc>
          <w:tcPr>
            <w:tcW w:w="901" w:type="dxa"/>
            <w:tcMar/>
          </w:tcPr>
          <w:p w:rsidR="2B7FFB25" w:rsidP="2B7FFB25" w:rsidRDefault="2B7FFB25" w14:paraId="1ADFA341" w14:textId="5A37F5DF">
            <w:pPr>
              <w:jc w:val="center"/>
              <w:rPr>
                <w:rFonts w:hint="eastAsia" w:cs="Calibri"/>
                <w:sz w:val="20"/>
                <w:szCs w:val="20"/>
                <w:lang w:eastAsia="zh-CN"/>
              </w:rPr>
            </w:pPr>
            <w:r w:rsidRPr="2B7FFB25">
              <w:rPr>
                <w:rFonts w:cs="Calibri"/>
                <w:sz w:val="20"/>
                <w:szCs w:val="20"/>
                <w:lang w:eastAsia="zh-CN"/>
              </w:rPr>
              <w:t>26</w:t>
            </w:r>
          </w:p>
        </w:tc>
        <w:tc>
          <w:tcPr>
            <w:tcW w:w="1979" w:type="dxa"/>
            <w:tcMar/>
          </w:tcPr>
          <w:p w:rsidR="2B7FFB25" w:rsidP="2B7FFB25" w:rsidRDefault="2B7FFB25" w14:paraId="6A28AEEA" w14:textId="118D7968">
            <w:pPr>
              <w:spacing w:line="259" w:lineRule="auto"/>
              <w:jc w:val="center"/>
              <w:rPr>
                <w:rFonts w:hint="eastAsia" w:cs="Calibri"/>
                <w:sz w:val="20"/>
                <w:szCs w:val="20"/>
                <w:lang w:eastAsia="zh-CN"/>
              </w:rPr>
            </w:pPr>
            <w:r w:rsidRPr="2B7FFB25">
              <w:rPr>
                <w:rFonts w:cs="Calibri"/>
                <w:sz w:val="20"/>
                <w:szCs w:val="20"/>
                <w:lang w:eastAsia="zh-CN"/>
              </w:rPr>
              <w:t>Kent Matthews a , Zhiguo Xiao (2020)</w:t>
            </w:r>
          </w:p>
        </w:tc>
        <w:tc>
          <w:tcPr>
            <w:tcW w:w="2249" w:type="dxa"/>
            <w:tcMar/>
          </w:tcPr>
          <w:p w:rsidR="2B7FFB25" w:rsidP="2B7FFB25" w:rsidRDefault="2B7FFB25" w14:paraId="618FA25D" w14:textId="116972B9">
            <w:pPr>
              <w:spacing w:line="259" w:lineRule="auto"/>
              <w:jc w:val="center"/>
              <w:rPr>
                <w:rFonts w:hint="eastAsia" w:cs="Calibri"/>
                <w:sz w:val="20"/>
                <w:szCs w:val="20"/>
                <w:lang w:eastAsia="zh-CN"/>
              </w:rPr>
            </w:pPr>
            <w:r w:rsidRPr="2B7FFB25">
              <w:rPr>
                <w:rFonts w:cs="Calibri"/>
                <w:sz w:val="20"/>
                <w:szCs w:val="20"/>
                <w:lang w:eastAsia="zh-CN"/>
              </w:rPr>
              <w:t>CCR-DEA Model</w:t>
            </w:r>
          </w:p>
        </w:tc>
        <w:tc>
          <w:tcPr>
            <w:tcW w:w="2177" w:type="dxa"/>
            <w:tcMar/>
          </w:tcPr>
          <w:p w:rsidR="2B7FFB25" w:rsidP="2B7FFB25" w:rsidRDefault="2B7FFB25" w14:paraId="359A9216" w14:textId="250D6A34">
            <w:pPr>
              <w:spacing w:line="259" w:lineRule="auto"/>
              <w:jc w:val="center"/>
              <w:rPr>
                <w:rFonts w:hint="eastAsia" w:cs="Calibri"/>
                <w:sz w:val="20"/>
                <w:szCs w:val="20"/>
                <w:lang w:eastAsia="zh-CN"/>
              </w:rPr>
            </w:pPr>
            <w:r w:rsidRPr="2B7FFB25">
              <w:rPr>
                <w:rFonts w:cs="Calibri"/>
                <w:sz w:val="20"/>
                <w:szCs w:val="20"/>
                <w:lang w:eastAsia="zh-CN"/>
              </w:rPr>
              <w:t>n/a</w:t>
            </w:r>
          </w:p>
        </w:tc>
        <w:tc>
          <w:tcPr>
            <w:tcW w:w="1689" w:type="dxa"/>
            <w:tcMar/>
          </w:tcPr>
          <w:p w:rsidR="2B7FFB25" w:rsidP="2B7FFB25" w:rsidRDefault="2B7FFB25" w14:paraId="3A1D65F4" w14:textId="3B575264">
            <w:pPr>
              <w:spacing w:line="259" w:lineRule="auto"/>
              <w:jc w:val="center"/>
              <w:rPr>
                <w:rFonts w:hint="eastAsia" w:cs="Calibri"/>
                <w:sz w:val="20"/>
                <w:szCs w:val="20"/>
                <w:lang w:eastAsia="zh-CN"/>
              </w:rPr>
            </w:pPr>
            <w:r w:rsidRPr="2B7FFB25">
              <w:rPr>
                <w:rFonts w:cs="Calibri"/>
                <w:sz w:val="20"/>
                <w:szCs w:val="20"/>
                <w:lang w:eastAsia="zh-CN"/>
              </w:rPr>
              <w:t>n/a</w:t>
            </w:r>
          </w:p>
        </w:tc>
      </w:tr>
      <w:tr w:rsidR="2B7FFB25" w:rsidTr="4F940BA9" w14:paraId="578D2F50" w14:textId="77777777">
        <w:trPr>
          <w:trHeight w:val="284"/>
        </w:trPr>
        <w:tc>
          <w:tcPr>
            <w:tcW w:w="901" w:type="dxa"/>
            <w:tcMar/>
          </w:tcPr>
          <w:p w:rsidR="2B7FFB25" w:rsidP="2B7FFB25" w:rsidRDefault="2B7FFB25" w14:paraId="6B080D0C" w14:textId="0BF7029E">
            <w:pPr>
              <w:jc w:val="center"/>
              <w:rPr>
                <w:rFonts w:hint="eastAsia" w:cs="Calibri"/>
                <w:sz w:val="20"/>
                <w:szCs w:val="20"/>
                <w:lang w:eastAsia="zh-CN"/>
              </w:rPr>
            </w:pPr>
            <w:r w:rsidRPr="2B7FFB25">
              <w:rPr>
                <w:rFonts w:cs="Calibri"/>
                <w:sz w:val="20"/>
                <w:szCs w:val="20"/>
                <w:lang w:eastAsia="zh-CN"/>
              </w:rPr>
              <w:t>31</w:t>
            </w:r>
          </w:p>
        </w:tc>
        <w:tc>
          <w:tcPr>
            <w:tcW w:w="1979" w:type="dxa"/>
            <w:tcMar/>
          </w:tcPr>
          <w:p w:rsidR="2B7FFB25" w:rsidP="2B7FFB25" w:rsidRDefault="2B7FFB25" w14:paraId="6C3EC04D" w14:textId="53010C09">
            <w:pPr>
              <w:spacing w:line="259" w:lineRule="auto"/>
              <w:jc w:val="center"/>
              <w:rPr>
                <w:rFonts w:hint="eastAsia" w:cs="Calibri"/>
                <w:sz w:val="20"/>
                <w:szCs w:val="20"/>
                <w:lang w:eastAsia="zh-CN"/>
              </w:rPr>
            </w:pPr>
            <w:r w:rsidRPr="2B7FFB25">
              <w:rPr>
                <w:rFonts w:cs="Calibri"/>
                <w:sz w:val="20"/>
                <w:szCs w:val="20"/>
                <w:lang w:eastAsia="zh-CN"/>
              </w:rPr>
              <w:t>Fukuyama, Tsionas, Tan (2023)</w:t>
            </w:r>
          </w:p>
        </w:tc>
        <w:tc>
          <w:tcPr>
            <w:tcW w:w="2249" w:type="dxa"/>
            <w:tcMar/>
          </w:tcPr>
          <w:p w:rsidR="2B7FFB25" w:rsidP="2B7FFB25" w:rsidRDefault="2B7FFB25" w14:paraId="182B3CCA" w14:textId="69A5CED5">
            <w:pPr>
              <w:spacing w:line="259" w:lineRule="auto"/>
              <w:jc w:val="center"/>
              <w:rPr>
                <w:rFonts w:hint="eastAsia" w:cs="Calibri"/>
                <w:sz w:val="20"/>
                <w:szCs w:val="20"/>
                <w:lang w:eastAsia="zh-CN"/>
              </w:rPr>
            </w:pPr>
            <w:r w:rsidRPr="2B7FFB25">
              <w:rPr>
                <w:rFonts w:cs="Calibri"/>
                <w:sz w:val="20"/>
                <w:szCs w:val="20"/>
                <w:lang w:eastAsia="zh-CN"/>
              </w:rPr>
              <w:t>Dynamic Network Bank</w:t>
            </w:r>
          </w:p>
        </w:tc>
        <w:tc>
          <w:tcPr>
            <w:tcW w:w="2177" w:type="dxa"/>
            <w:tcMar/>
          </w:tcPr>
          <w:p w:rsidR="2B7FFB25" w:rsidP="2B7FFB25" w:rsidRDefault="2B7FFB25" w14:paraId="7F9400AB" w14:textId="2CB1659B">
            <w:pPr>
              <w:spacing w:line="259" w:lineRule="auto"/>
              <w:jc w:val="center"/>
              <w:rPr>
                <w:rFonts w:hint="eastAsia" w:cs="Calibri"/>
                <w:sz w:val="20"/>
                <w:szCs w:val="20"/>
                <w:lang w:eastAsia="zh-CN"/>
              </w:rPr>
            </w:pPr>
            <w:r w:rsidRPr="2B7FFB25">
              <w:rPr>
                <w:rFonts w:cs="Calibri"/>
                <w:sz w:val="20"/>
                <w:szCs w:val="20"/>
                <w:lang w:eastAsia="zh-CN"/>
              </w:rPr>
              <w:t>Truncuted Regression and Tobit Regression</w:t>
            </w:r>
          </w:p>
        </w:tc>
        <w:tc>
          <w:tcPr>
            <w:tcW w:w="1689" w:type="dxa"/>
            <w:tcMar/>
          </w:tcPr>
          <w:p w:rsidR="2B7FFB25" w:rsidP="2B7FFB25" w:rsidRDefault="2B7FFB25" w14:paraId="7F657D4A" w14:textId="783C4DBF">
            <w:pPr>
              <w:spacing w:line="259" w:lineRule="auto"/>
              <w:jc w:val="center"/>
              <w:rPr>
                <w:rFonts w:hint="eastAsia" w:cs="Calibri"/>
                <w:sz w:val="20"/>
                <w:szCs w:val="20"/>
                <w:lang w:eastAsia="zh-CN"/>
              </w:rPr>
            </w:pPr>
            <w:r w:rsidRPr="2B7FFB25">
              <w:rPr>
                <w:rFonts w:cs="Calibri"/>
                <w:sz w:val="20"/>
                <w:szCs w:val="20"/>
                <w:lang w:eastAsia="zh-CN"/>
              </w:rPr>
              <w:t>n/a</w:t>
            </w:r>
          </w:p>
        </w:tc>
      </w:tr>
      <w:tr w:rsidR="2B7FFB25" w:rsidTr="4F940BA9" w14:paraId="1B456359" w14:textId="77777777">
        <w:trPr>
          <w:trHeight w:val="284"/>
        </w:trPr>
        <w:tc>
          <w:tcPr>
            <w:tcW w:w="901" w:type="dxa"/>
            <w:tcMar/>
          </w:tcPr>
          <w:p w:rsidR="2B7FFB25" w:rsidP="2B7FFB25" w:rsidRDefault="2B7FFB25" w14:paraId="11BB8E7D" w14:textId="3FFB19EA">
            <w:pPr>
              <w:jc w:val="center"/>
              <w:rPr>
                <w:rFonts w:hint="eastAsia" w:cs="Calibri"/>
                <w:sz w:val="20"/>
                <w:szCs w:val="20"/>
                <w:lang w:eastAsia="zh-CN"/>
              </w:rPr>
            </w:pPr>
            <w:r w:rsidRPr="2B7FFB25">
              <w:rPr>
                <w:rFonts w:cs="Calibri"/>
                <w:sz w:val="20"/>
                <w:szCs w:val="20"/>
                <w:lang w:eastAsia="zh-CN"/>
              </w:rPr>
              <w:t>36</w:t>
            </w:r>
          </w:p>
        </w:tc>
        <w:tc>
          <w:tcPr>
            <w:tcW w:w="1979" w:type="dxa"/>
            <w:tcMar/>
          </w:tcPr>
          <w:p w:rsidR="2B7FFB25" w:rsidP="2B7FFB25" w:rsidRDefault="2B7FFB25" w14:paraId="1990FE9A" w14:textId="2F1EA956">
            <w:pPr>
              <w:spacing w:line="259" w:lineRule="auto"/>
              <w:jc w:val="center"/>
              <w:rPr>
                <w:rFonts w:hint="eastAsia" w:cs="Calibri"/>
                <w:sz w:val="20"/>
                <w:szCs w:val="20"/>
                <w:lang w:eastAsia="zh-CN"/>
              </w:rPr>
            </w:pPr>
            <w:r w:rsidRPr="2B7FFB25">
              <w:rPr>
                <w:rFonts w:cs="Calibri"/>
                <w:sz w:val="20"/>
                <w:szCs w:val="20"/>
                <w:lang w:eastAsia="zh-CN"/>
              </w:rPr>
              <w:t>Necmi K. Avkiran, Hiroshi Morita (2010)</w:t>
            </w:r>
          </w:p>
        </w:tc>
        <w:tc>
          <w:tcPr>
            <w:tcW w:w="2249" w:type="dxa"/>
            <w:tcMar/>
          </w:tcPr>
          <w:p w:rsidR="2B7FFB25" w:rsidP="2B7FFB25" w:rsidRDefault="2B7FFB25" w14:paraId="3B03CAB8" w14:textId="0755EEF1">
            <w:pPr>
              <w:spacing w:line="259" w:lineRule="auto"/>
              <w:jc w:val="center"/>
              <w:rPr>
                <w:rFonts w:hint="eastAsia" w:cs="Calibri"/>
                <w:sz w:val="20"/>
                <w:szCs w:val="20"/>
                <w:lang w:eastAsia="zh-CN"/>
              </w:rPr>
            </w:pPr>
            <w:r w:rsidRPr="2B7FFB25">
              <w:rPr>
                <w:rFonts w:cs="Calibri"/>
                <w:sz w:val="20"/>
                <w:szCs w:val="20"/>
                <w:lang w:eastAsia="zh-CN"/>
              </w:rPr>
              <w:t>Non-radial DEA Model</w:t>
            </w:r>
          </w:p>
          <w:p w:rsidR="2B7FFB25" w:rsidP="2B7FFB25" w:rsidRDefault="2B7FFB25" w14:paraId="20C964C7" w14:textId="086DB1A5">
            <w:pPr>
              <w:spacing w:line="259" w:lineRule="auto"/>
              <w:jc w:val="center"/>
              <w:rPr>
                <w:rFonts w:hint="eastAsia" w:cs="Calibri"/>
                <w:sz w:val="20"/>
                <w:szCs w:val="20"/>
                <w:lang w:eastAsia="zh-CN"/>
              </w:rPr>
            </w:pPr>
            <w:r w:rsidRPr="2B7FFB25">
              <w:rPr>
                <w:rFonts w:cs="Calibri"/>
                <w:sz w:val="20"/>
                <w:szCs w:val="20"/>
                <w:lang w:eastAsia="zh-CN"/>
              </w:rPr>
              <w:t xml:space="preserve"> </w:t>
            </w:r>
          </w:p>
          <w:p w:rsidR="2B7FFB25" w:rsidP="2B7FFB25" w:rsidRDefault="2B7FFB25" w14:paraId="758E67B1" w14:textId="31271B3C">
            <w:pPr>
              <w:spacing w:line="259" w:lineRule="auto"/>
              <w:jc w:val="center"/>
              <w:rPr>
                <w:rFonts w:hint="eastAsia" w:cs="Calibri"/>
                <w:sz w:val="20"/>
                <w:szCs w:val="20"/>
                <w:lang w:eastAsia="zh-CN"/>
              </w:rPr>
            </w:pPr>
            <w:r w:rsidRPr="2B7FFB25">
              <w:rPr>
                <w:rFonts w:cs="Calibri"/>
                <w:sz w:val="20"/>
                <w:szCs w:val="20"/>
                <w:lang w:eastAsia="zh-CN"/>
              </w:rPr>
              <w:t>Range-adjusted Measure (RAM) and Super-efficiency Range-adjusted Measure (SRAM)</w:t>
            </w:r>
          </w:p>
        </w:tc>
        <w:tc>
          <w:tcPr>
            <w:tcW w:w="2177" w:type="dxa"/>
            <w:tcMar/>
          </w:tcPr>
          <w:p w:rsidR="2B7FFB25" w:rsidP="2B7FFB25" w:rsidRDefault="2B7FFB25" w14:paraId="00911718" w14:textId="0A8EA774">
            <w:pPr>
              <w:spacing w:line="259" w:lineRule="auto"/>
              <w:jc w:val="center"/>
              <w:rPr>
                <w:rFonts w:hint="eastAsia" w:cs="Calibri"/>
                <w:sz w:val="20"/>
                <w:szCs w:val="20"/>
                <w:lang w:eastAsia="zh-CN"/>
              </w:rPr>
            </w:pPr>
            <w:r w:rsidRPr="2B7FFB25">
              <w:rPr>
                <w:rFonts w:cs="Calibri"/>
                <w:sz w:val="20"/>
                <w:szCs w:val="20"/>
                <w:lang w:eastAsia="zh-CN"/>
              </w:rPr>
              <w:t>n/a</w:t>
            </w:r>
          </w:p>
        </w:tc>
        <w:tc>
          <w:tcPr>
            <w:tcW w:w="1689" w:type="dxa"/>
            <w:tcMar/>
          </w:tcPr>
          <w:p w:rsidR="2B7FFB25" w:rsidP="2B7FFB25" w:rsidRDefault="2B7FFB25" w14:paraId="42A82254" w14:textId="45CD169A">
            <w:pPr>
              <w:spacing w:line="259" w:lineRule="auto"/>
              <w:jc w:val="center"/>
              <w:rPr>
                <w:rFonts w:hint="eastAsia" w:cs="Calibri"/>
                <w:sz w:val="20"/>
                <w:szCs w:val="20"/>
                <w:lang w:eastAsia="zh-CN"/>
              </w:rPr>
            </w:pPr>
            <w:r w:rsidRPr="2B7FFB25">
              <w:rPr>
                <w:rFonts w:cs="Calibri"/>
                <w:sz w:val="20"/>
                <w:szCs w:val="20"/>
                <w:lang w:eastAsia="zh-CN"/>
              </w:rPr>
              <w:t>n/a</w:t>
            </w:r>
          </w:p>
        </w:tc>
      </w:tr>
      <w:tr w:rsidR="2B7FFB25" w:rsidTr="4F940BA9" w14:paraId="4EC8AEAC" w14:textId="77777777">
        <w:trPr>
          <w:trHeight w:val="284"/>
        </w:trPr>
        <w:tc>
          <w:tcPr>
            <w:tcW w:w="901" w:type="dxa"/>
            <w:tcMar/>
          </w:tcPr>
          <w:p w:rsidR="2B7FFB25" w:rsidP="2B7FFB25" w:rsidRDefault="2B7FFB25" w14:paraId="4FD5C8A7" w14:textId="0F960152">
            <w:pPr>
              <w:spacing w:line="259" w:lineRule="auto"/>
              <w:jc w:val="center"/>
              <w:rPr>
                <w:rFonts w:hint="eastAsia" w:cs="Calibri"/>
                <w:sz w:val="20"/>
                <w:szCs w:val="20"/>
                <w:lang w:eastAsia="zh-CN"/>
              </w:rPr>
            </w:pPr>
            <w:r w:rsidRPr="2B7FFB25">
              <w:rPr>
                <w:rFonts w:cs="Calibri"/>
                <w:sz w:val="20"/>
                <w:szCs w:val="20"/>
                <w:lang w:eastAsia="zh-CN"/>
              </w:rPr>
              <w:t>41</w:t>
            </w:r>
          </w:p>
        </w:tc>
        <w:tc>
          <w:tcPr>
            <w:tcW w:w="1979" w:type="dxa"/>
            <w:tcMar/>
          </w:tcPr>
          <w:p w:rsidR="2B7FFB25" w:rsidP="2B7FFB25" w:rsidRDefault="2B7FFB25" w14:paraId="47757D8C" w14:textId="60171D5B">
            <w:pPr>
              <w:spacing w:line="259" w:lineRule="auto"/>
              <w:jc w:val="center"/>
              <w:rPr>
                <w:rFonts w:hint="eastAsia" w:cs="Calibri"/>
                <w:sz w:val="20"/>
                <w:szCs w:val="20"/>
                <w:lang w:eastAsia="zh-CN"/>
              </w:rPr>
            </w:pPr>
            <w:r w:rsidRPr="2B7FFB25">
              <w:rPr>
                <w:rFonts w:cs="Calibri"/>
                <w:sz w:val="20"/>
                <w:szCs w:val="20"/>
                <w:lang w:eastAsia="zh-CN"/>
              </w:rPr>
              <w:t>Guangcheng Xu and Zhixiang Zhou (2020)</w:t>
            </w:r>
          </w:p>
        </w:tc>
        <w:tc>
          <w:tcPr>
            <w:tcW w:w="2249" w:type="dxa"/>
            <w:tcMar/>
          </w:tcPr>
          <w:p w:rsidR="2B7FFB25" w:rsidP="2B7FFB25" w:rsidRDefault="2B7FFB25" w14:paraId="2F81624A" w14:textId="2C4909E5">
            <w:pPr>
              <w:spacing w:line="259" w:lineRule="auto"/>
              <w:jc w:val="center"/>
              <w:rPr>
                <w:rFonts w:hint="eastAsia" w:cs="Calibri"/>
                <w:sz w:val="20"/>
                <w:szCs w:val="20"/>
                <w:lang w:eastAsia="zh-CN"/>
              </w:rPr>
            </w:pPr>
            <w:r w:rsidRPr="2B7FFB25">
              <w:rPr>
                <w:rFonts w:cs="Calibri"/>
                <w:sz w:val="20"/>
                <w:szCs w:val="20"/>
                <w:lang w:eastAsia="zh-CN"/>
              </w:rPr>
              <w:t>BCC Model (Assurance Region (AR) Model)</w:t>
            </w:r>
          </w:p>
        </w:tc>
        <w:tc>
          <w:tcPr>
            <w:tcW w:w="2177" w:type="dxa"/>
            <w:tcMar/>
          </w:tcPr>
          <w:p w:rsidR="2B7FFB25" w:rsidP="2B7FFB25" w:rsidRDefault="63C76565" w14:paraId="5B7BBAAC" w14:textId="1BA21AC9">
            <w:pPr>
              <w:spacing w:line="259" w:lineRule="auto"/>
              <w:jc w:val="center"/>
              <w:rPr>
                <w:rFonts w:hint="eastAsia"/>
              </w:rPr>
            </w:pPr>
            <w:r w:rsidRPr="3C27F0DB">
              <w:rPr>
                <w:rFonts w:cs="Calibri"/>
                <w:sz w:val="20"/>
                <w:szCs w:val="20"/>
                <w:highlight w:val="cyan"/>
                <w:lang w:eastAsia="zh-CN"/>
              </w:rPr>
              <w:t>Multiple Regression</w:t>
            </w:r>
          </w:p>
        </w:tc>
        <w:tc>
          <w:tcPr>
            <w:tcW w:w="1689" w:type="dxa"/>
            <w:tcMar/>
          </w:tcPr>
          <w:p w:rsidR="2B7FFB25" w:rsidP="2B7FFB25" w:rsidRDefault="2B7FFB25" w14:paraId="5B50269B" w14:textId="68428143">
            <w:pPr>
              <w:spacing w:line="259" w:lineRule="auto"/>
              <w:jc w:val="center"/>
              <w:rPr>
                <w:rFonts w:hint="eastAsia" w:cs="Calibri"/>
                <w:sz w:val="20"/>
                <w:szCs w:val="20"/>
                <w:lang w:eastAsia="zh-CN"/>
              </w:rPr>
            </w:pPr>
            <w:r w:rsidRPr="2B7FFB25">
              <w:rPr>
                <w:rFonts w:cs="Calibri"/>
                <w:sz w:val="20"/>
                <w:szCs w:val="20"/>
                <w:lang w:eastAsia="zh-CN"/>
              </w:rPr>
              <w:t>n/a</w:t>
            </w:r>
          </w:p>
        </w:tc>
      </w:tr>
      <w:tr w:rsidR="2B7FFB25" w:rsidTr="4F940BA9" w14:paraId="4387AE6D" w14:textId="77777777">
        <w:trPr>
          <w:trHeight w:val="284"/>
        </w:trPr>
        <w:tc>
          <w:tcPr>
            <w:tcW w:w="901" w:type="dxa"/>
            <w:tcMar/>
          </w:tcPr>
          <w:p w:rsidR="2B7FFB25" w:rsidP="2B7FFB25" w:rsidRDefault="2B7FFB25" w14:paraId="3D59DC1B" w14:textId="75483B72">
            <w:pPr>
              <w:jc w:val="center"/>
              <w:rPr>
                <w:rFonts w:hint="eastAsia" w:cs="Calibri"/>
                <w:sz w:val="20"/>
                <w:szCs w:val="20"/>
                <w:lang w:eastAsia="zh-CN"/>
              </w:rPr>
            </w:pPr>
            <w:r w:rsidRPr="2B7FFB25">
              <w:rPr>
                <w:rFonts w:cs="Calibri"/>
                <w:sz w:val="20"/>
                <w:szCs w:val="20"/>
                <w:lang w:eastAsia="zh-CN"/>
              </w:rPr>
              <w:t>7</w:t>
            </w:r>
          </w:p>
        </w:tc>
        <w:tc>
          <w:tcPr>
            <w:tcW w:w="1979" w:type="dxa"/>
            <w:tcMar/>
          </w:tcPr>
          <w:p w:rsidR="2B7FFB25" w:rsidP="2B7FFB25" w:rsidRDefault="2B7FFB25" w14:paraId="2B3BC412" w14:textId="20B6AA56">
            <w:pPr>
              <w:jc w:val="center"/>
              <w:rPr>
                <w:rFonts w:hint="eastAsia"/>
              </w:rPr>
            </w:pPr>
            <w:r w:rsidRPr="2B7FFB25">
              <w:rPr>
                <w:rFonts w:ascii="Aptos" w:hAnsi="Aptos" w:eastAsia="Aptos" w:cs="Aptos"/>
                <w:sz w:val="20"/>
                <w:szCs w:val="20"/>
              </w:rPr>
              <w:t>Matthews, et al. (2010)</w:t>
            </w:r>
          </w:p>
        </w:tc>
        <w:tc>
          <w:tcPr>
            <w:tcW w:w="2249" w:type="dxa"/>
            <w:tcMar/>
          </w:tcPr>
          <w:p w:rsidR="2B7FFB25" w:rsidP="2B7FFB25" w:rsidRDefault="2B7FFB25" w14:paraId="519A6BBC" w14:textId="10F314D4">
            <w:pPr>
              <w:jc w:val="center"/>
              <w:rPr>
                <w:rFonts w:hint="eastAsia"/>
              </w:rPr>
            </w:pPr>
            <w:r w:rsidRPr="2B7FFB25">
              <w:rPr>
                <w:rFonts w:ascii="Aptos" w:hAnsi="Aptos" w:eastAsia="Aptos" w:cs="Aptos"/>
                <w:color w:val="000000" w:themeColor="text1"/>
                <w:sz w:val="20"/>
                <w:szCs w:val="20"/>
              </w:rPr>
              <w:t>Polyhedral cone-ratio DEA model [Charnes (1990)]</w:t>
            </w:r>
          </w:p>
        </w:tc>
        <w:tc>
          <w:tcPr>
            <w:tcW w:w="2177" w:type="dxa"/>
            <w:tcMar/>
          </w:tcPr>
          <w:p w:rsidR="2B7FFB25" w:rsidP="2B7FFB25" w:rsidRDefault="2B7FFB25" w14:paraId="5F2F590F" w14:textId="3F9690E7">
            <w:pPr>
              <w:jc w:val="center"/>
              <w:rPr>
                <w:rFonts w:hint="eastAsia"/>
              </w:rPr>
            </w:pPr>
            <w:r w:rsidRPr="2B7FFB25">
              <w:rPr>
                <w:rFonts w:ascii="Aptos" w:hAnsi="Aptos" w:eastAsia="Aptos" w:cs="Aptos"/>
              </w:rPr>
              <w:t xml:space="preserve"> n/a</w:t>
            </w:r>
          </w:p>
        </w:tc>
        <w:tc>
          <w:tcPr>
            <w:tcW w:w="1689" w:type="dxa"/>
            <w:tcMar/>
          </w:tcPr>
          <w:p w:rsidR="2B7FFB25" w:rsidP="2B7FFB25" w:rsidRDefault="2B7FFB25" w14:paraId="315676E5" w14:textId="202664A1">
            <w:pPr>
              <w:jc w:val="center"/>
              <w:rPr>
                <w:rFonts w:hint="eastAsia"/>
              </w:rPr>
            </w:pPr>
            <w:r w:rsidRPr="2B7FFB25">
              <w:rPr>
                <w:rFonts w:ascii="Aptos" w:hAnsi="Aptos" w:eastAsia="Aptos" w:cs="Aptos"/>
              </w:rPr>
              <w:t xml:space="preserve">n/a </w:t>
            </w:r>
          </w:p>
        </w:tc>
      </w:tr>
      <w:tr w:rsidR="2B7FFB25" w:rsidTr="4F940BA9" w14:paraId="0995AC3E" w14:textId="77777777">
        <w:trPr>
          <w:trHeight w:val="284"/>
        </w:trPr>
        <w:tc>
          <w:tcPr>
            <w:tcW w:w="901" w:type="dxa"/>
            <w:tcMar/>
          </w:tcPr>
          <w:p w:rsidR="2B7FFB25" w:rsidP="2B7FFB25" w:rsidRDefault="2B7FFB25" w14:paraId="714C9DC5" w14:textId="584F9138">
            <w:pPr>
              <w:jc w:val="center"/>
              <w:rPr>
                <w:rFonts w:hint="eastAsia" w:cs="Calibri"/>
                <w:sz w:val="20"/>
                <w:szCs w:val="20"/>
                <w:lang w:eastAsia="zh-CN"/>
              </w:rPr>
            </w:pPr>
            <w:r w:rsidRPr="2B7FFB25">
              <w:rPr>
                <w:rFonts w:cs="Calibri"/>
                <w:sz w:val="20"/>
                <w:szCs w:val="20"/>
                <w:lang w:eastAsia="zh-CN"/>
              </w:rPr>
              <w:t>27</w:t>
            </w:r>
          </w:p>
        </w:tc>
        <w:tc>
          <w:tcPr>
            <w:tcW w:w="1979" w:type="dxa"/>
            <w:tcMar/>
          </w:tcPr>
          <w:p w:rsidR="2B7FFB25" w:rsidP="2B7FFB25" w:rsidRDefault="2B7FFB25" w14:paraId="6E1A8649" w14:textId="366FF5EB">
            <w:pPr>
              <w:jc w:val="center"/>
              <w:rPr>
                <w:rFonts w:hint="eastAsia"/>
              </w:rPr>
            </w:pPr>
            <w:r w:rsidRPr="2B7FFB25">
              <w:rPr>
                <w:rFonts w:ascii="Aptos" w:hAnsi="Aptos" w:eastAsia="Aptos" w:cs="Aptos"/>
                <w:sz w:val="20"/>
                <w:szCs w:val="20"/>
                <w:lang w:val="en-US"/>
              </w:rPr>
              <w:t>Hou, et al. (2014)</w:t>
            </w:r>
          </w:p>
        </w:tc>
        <w:tc>
          <w:tcPr>
            <w:tcW w:w="2249" w:type="dxa"/>
            <w:tcMar/>
          </w:tcPr>
          <w:p w:rsidR="2B7FFB25" w:rsidP="2B7FFB25" w:rsidRDefault="2B7FFB25" w14:paraId="46EBAACB" w14:textId="784829B4">
            <w:pPr>
              <w:jc w:val="center"/>
              <w:rPr>
                <w:rFonts w:hint="eastAsia"/>
              </w:rPr>
            </w:pPr>
            <w:r w:rsidRPr="2B7FFB25">
              <w:rPr>
                <w:rFonts w:ascii="Aptos" w:hAnsi="Aptos" w:eastAsia="Aptos" w:cs="Aptos"/>
                <w:color w:val="000000" w:themeColor="text1"/>
                <w:sz w:val="20"/>
                <w:szCs w:val="20"/>
              </w:rPr>
              <w:t>CCR</w:t>
            </w:r>
          </w:p>
        </w:tc>
        <w:tc>
          <w:tcPr>
            <w:tcW w:w="2177" w:type="dxa"/>
            <w:tcMar/>
          </w:tcPr>
          <w:p w:rsidR="2B7FFB25" w:rsidP="2B7FFB25" w:rsidRDefault="2B7FFB25" w14:paraId="409762AD" w14:textId="4A7E906E">
            <w:pPr>
              <w:jc w:val="center"/>
              <w:rPr>
                <w:rFonts w:hint="eastAsia"/>
              </w:rPr>
            </w:pPr>
            <w:r w:rsidRPr="2B7FFB25">
              <w:rPr>
                <w:rFonts w:ascii="Aptos" w:hAnsi="Aptos" w:eastAsia="Aptos" w:cs="Aptos"/>
                <w:sz w:val="20"/>
                <w:szCs w:val="20"/>
              </w:rPr>
              <w:t>Tobit</w:t>
            </w:r>
          </w:p>
        </w:tc>
        <w:tc>
          <w:tcPr>
            <w:tcW w:w="1689" w:type="dxa"/>
            <w:tcMar/>
          </w:tcPr>
          <w:p w:rsidR="2B7FFB25" w:rsidP="2B7FFB25" w:rsidRDefault="2B7FFB25" w14:paraId="3E51EB10" w14:textId="232BB5BF">
            <w:pPr>
              <w:jc w:val="center"/>
              <w:rPr>
                <w:rFonts w:hint="eastAsia"/>
              </w:rPr>
            </w:pPr>
            <w:r w:rsidRPr="2B7FFB25">
              <w:rPr>
                <w:rFonts w:ascii="Aptos" w:hAnsi="Aptos" w:eastAsia="Aptos" w:cs="Aptos"/>
                <w:sz w:val="20"/>
                <w:szCs w:val="20"/>
              </w:rPr>
              <w:t>n/a</w:t>
            </w:r>
          </w:p>
        </w:tc>
      </w:tr>
      <w:tr w:rsidR="2B7FFB25" w:rsidTr="4F940BA9" w14:paraId="08ACDDE0" w14:textId="77777777">
        <w:trPr>
          <w:trHeight w:val="284"/>
        </w:trPr>
        <w:tc>
          <w:tcPr>
            <w:tcW w:w="901" w:type="dxa"/>
            <w:tcMar/>
          </w:tcPr>
          <w:p w:rsidR="2B7FFB25" w:rsidP="2B7FFB25" w:rsidRDefault="2B7FFB25" w14:paraId="1A55C1CC" w14:textId="0D5FEFEC">
            <w:pPr>
              <w:jc w:val="center"/>
              <w:rPr>
                <w:rFonts w:hint="eastAsia" w:cs="Calibri"/>
                <w:sz w:val="20"/>
                <w:szCs w:val="20"/>
                <w:lang w:eastAsia="zh-CN"/>
              </w:rPr>
            </w:pPr>
            <w:r w:rsidRPr="2B7FFB25">
              <w:rPr>
                <w:rFonts w:cs="Calibri"/>
                <w:sz w:val="20"/>
                <w:szCs w:val="20"/>
                <w:lang w:eastAsia="zh-CN"/>
              </w:rPr>
              <w:t>32</w:t>
            </w:r>
          </w:p>
        </w:tc>
        <w:tc>
          <w:tcPr>
            <w:tcW w:w="1979" w:type="dxa"/>
            <w:tcMar/>
          </w:tcPr>
          <w:p w:rsidR="2B7FFB25" w:rsidP="2B7FFB25" w:rsidRDefault="2B7FFB25" w14:paraId="679276F7" w14:textId="49B1DEC5">
            <w:pPr>
              <w:jc w:val="center"/>
              <w:rPr>
                <w:rFonts w:hint="eastAsia"/>
              </w:rPr>
            </w:pPr>
            <w:r w:rsidRPr="2B7FFB25">
              <w:rPr>
                <w:rFonts w:ascii="Aptos" w:hAnsi="Aptos" w:eastAsia="Aptos" w:cs="Aptos"/>
                <w:sz w:val="20"/>
                <w:szCs w:val="20"/>
              </w:rPr>
              <w:t>Fukuyama, H., Tan, Y. (2021)</w:t>
            </w:r>
          </w:p>
        </w:tc>
        <w:tc>
          <w:tcPr>
            <w:tcW w:w="2249" w:type="dxa"/>
            <w:tcMar/>
          </w:tcPr>
          <w:p w:rsidR="2B7FFB25" w:rsidP="2B7FFB25" w:rsidRDefault="2B7FFB25" w14:paraId="1126643A" w14:textId="16F559E4">
            <w:pPr>
              <w:jc w:val="center"/>
              <w:rPr>
                <w:rFonts w:hint="eastAsia"/>
              </w:rPr>
            </w:pPr>
            <w:r w:rsidRPr="2B7FFB25">
              <w:rPr>
                <w:rFonts w:ascii="Aptos" w:hAnsi="Aptos" w:eastAsia="Aptos" w:cs="Aptos"/>
                <w:color w:val="000000" w:themeColor="text1"/>
                <w:sz w:val="20"/>
                <w:szCs w:val="20"/>
              </w:rPr>
              <w:t>network SBI models</w:t>
            </w:r>
          </w:p>
        </w:tc>
        <w:tc>
          <w:tcPr>
            <w:tcW w:w="2177" w:type="dxa"/>
            <w:tcMar/>
          </w:tcPr>
          <w:p w:rsidR="2B7FFB25" w:rsidP="2B7FFB25" w:rsidRDefault="2B7FFB25" w14:paraId="0A75FCB8" w14:textId="1F49348F">
            <w:pPr>
              <w:jc w:val="center"/>
              <w:rPr>
                <w:rFonts w:hint="eastAsia"/>
              </w:rPr>
            </w:pPr>
            <w:r w:rsidRPr="2B7FFB25">
              <w:rPr>
                <w:rFonts w:ascii="Aptos" w:hAnsi="Aptos" w:eastAsia="Aptos" w:cs="Aptos"/>
                <w:sz w:val="20"/>
                <w:szCs w:val="20"/>
              </w:rPr>
              <w:t>regression analysis</w:t>
            </w:r>
          </w:p>
        </w:tc>
        <w:tc>
          <w:tcPr>
            <w:tcW w:w="1689" w:type="dxa"/>
            <w:tcMar/>
          </w:tcPr>
          <w:p w:rsidR="2B7FFB25" w:rsidP="2B7FFB25" w:rsidRDefault="2B7FFB25" w14:paraId="6BA83441" w14:textId="7F9E1FF0">
            <w:pPr>
              <w:jc w:val="center"/>
              <w:rPr>
                <w:rFonts w:hint="eastAsia"/>
              </w:rPr>
            </w:pPr>
            <w:r w:rsidRPr="2B7FFB25">
              <w:rPr>
                <w:rFonts w:ascii="DengXian" w:hAnsi="DengXian" w:eastAsia="DengXian" w:cs="DengXian"/>
                <w:sz w:val="20"/>
                <w:szCs w:val="20"/>
              </w:rPr>
              <w:t>n/</w:t>
            </w:r>
            <w:r w:rsidRPr="2B7FFB25">
              <w:rPr>
                <w:rFonts w:ascii="Aptos" w:hAnsi="Aptos" w:eastAsia="Aptos" w:cs="Aptos"/>
                <w:sz w:val="20"/>
                <w:szCs w:val="20"/>
              </w:rPr>
              <w:t>a</w:t>
            </w:r>
          </w:p>
        </w:tc>
      </w:tr>
      <w:tr w:rsidR="2B7FFB25" w:rsidTr="4F940BA9" w14:paraId="2D50C976" w14:textId="77777777">
        <w:trPr>
          <w:trHeight w:val="284"/>
        </w:trPr>
        <w:tc>
          <w:tcPr>
            <w:tcW w:w="901" w:type="dxa"/>
            <w:tcMar/>
          </w:tcPr>
          <w:p w:rsidR="2B7FFB25" w:rsidP="2B7FFB25" w:rsidRDefault="2B7FFB25" w14:paraId="166AD6F9" w14:textId="4C8A35F8">
            <w:pPr>
              <w:jc w:val="center"/>
              <w:rPr>
                <w:rFonts w:hint="eastAsia" w:cs="Calibri"/>
                <w:sz w:val="20"/>
                <w:szCs w:val="20"/>
                <w:lang w:eastAsia="zh-CN"/>
              </w:rPr>
            </w:pPr>
            <w:r w:rsidRPr="2B7FFB25">
              <w:rPr>
                <w:rFonts w:cs="Calibri"/>
                <w:sz w:val="20"/>
                <w:szCs w:val="20"/>
                <w:lang w:eastAsia="zh-CN"/>
              </w:rPr>
              <w:t>22</w:t>
            </w:r>
          </w:p>
        </w:tc>
        <w:tc>
          <w:tcPr>
            <w:tcW w:w="1979" w:type="dxa"/>
            <w:tcMar/>
          </w:tcPr>
          <w:p w:rsidR="2B7FFB25" w:rsidP="2B7FFB25" w:rsidRDefault="2B7FFB25" w14:paraId="307C2C64" w14:textId="24D89AD6">
            <w:pPr>
              <w:jc w:val="center"/>
              <w:rPr>
                <w:rFonts w:hint="eastAsia"/>
              </w:rPr>
            </w:pPr>
            <w:r w:rsidRPr="2B7FFB25">
              <w:rPr>
                <w:rFonts w:ascii="Aptos" w:hAnsi="Aptos" w:eastAsia="Aptos" w:cs="Aptos"/>
                <w:sz w:val="20"/>
                <w:szCs w:val="20"/>
              </w:rPr>
              <w:t>Fukuyama, et al. (2021)</w:t>
            </w:r>
          </w:p>
        </w:tc>
        <w:tc>
          <w:tcPr>
            <w:tcW w:w="2249" w:type="dxa"/>
            <w:tcMar/>
          </w:tcPr>
          <w:p w:rsidR="2B7FFB25" w:rsidP="2B7FFB25" w:rsidRDefault="2B7FFB25" w14:paraId="2140DC45" w14:textId="22686766">
            <w:pPr>
              <w:jc w:val="center"/>
              <w:rPr>
                <w:rFonts w:hint="eastAsia"/>
              </w:rPr>
            </w:pPr>
            <w:r w:rsidRPr="2B7FFB25">
              <w:rPr>
                <w:rFonts w:ascii="Aptos" w:hAnsi="Aptos" w:eastAsia="Aptos" w:cs="Aptos"/>
                <w:color w:val="000000" w:themeColor="text1"/>
                <w:sz w:val="20"/>
                <w:szCs w:val="20"/>
              </w:rPr>
              <w:t>BCC</w:t>
            </w:r>
          </w:p>
        </w:tc>
        <w:tc>
          <w:tcPr>
            <w:tcW w:w="2177" w:type="dxa"/>
            <w:tcMar/>
          </w:tcPr>
          <w:p w:rsidR="2B7FFB25" w:rsidP="2B7FFB25" w:rsidRDefault="2B7FFB25" w14:paraId="1203E04E" w14:textId="701F8578">
            <w:pPr>
              <w:jc w:val="center"/>
              <w:rPr>
                <w:rFonts w:hint="eastAsia"/>
              </w:rPr>
            </w:pPr>
            <w:r w:rsidRPr="2B7FFB25">
              <w:rPr>
                <w:rFonts w:ascii="Aptos" w:hAnsi="Aptos" w:eastAsia="Aptos" w:cs="Aptos"/>
                <w:sz w:val="20"/>
                <w:szCs w:val="20"/>
              </w:rPr>
              <w:t>Bootstrapped truncated regression &amp; Ordinary least square regression</w:t>
            </w:r>
          </w:p>
        </w:tc>
        <w:tc>
          <w:tcPr>
            <w:tcW w:w="1689" w:type="dxa"/>
            <w:tcMar/>
          </w:tcPr>
          <w:p w:rsidR="2B7FFB25" w:rsidP="2B7FFB25" w:rsidRDefault="2B7FFB25" w14:paraId="27319D68" w14:textId="2C9AD9AF">
            <w:pPr>
              <w:jc w:val="center"/>
              <w:rPr>
                <w:rFonts w:hint="eastAsia"/>
              </w:rPr>
            </w:pPr>
            <w:r w:rsidRPr="2B7FFB25">
              <w:rPr>
                <w:rFonts w:ascii="Aptos" w:hAnsi="Aptos" w:eastAsia="Aptos" w:cs="Aptos"/>
                <w:sz w:val="20"/>
                <w:szCs w:val="20"/>
              </w:rPr>
              <w:t>n/a</w:t>
            </w:r>
          </w:p>
        </w:tc>
      </w:tr>
      <w:tr w:rsidR="2B7FFB25" w:rsidTr="4F940BA9" w14:paraId="67B86468" w14:textId="77777777">
        <w:trPr>
          <w:trHeight w:val="284"/>
        </w:trPr>
        <w:tc>
          <w:tcPr>
            <w:tcW w:w="901" w:type="dxa"/>
            <w:tcMar/>
          </w:tcPr>
          <w:p w:rsidR="2B7FFB25" w:rsidP="2B7FFB25" w:rsidRDefault="2B7FFB25" w14:paraId="7FA34F12" w14:textId="6D9A1F1B">
            <w:pPr>
              <w:jc w:val="center"/>
              <w:rPr>
                <w:rFonts w:hint="eastAsia" w:cs="Calibri"/>
                <w:sz w:val="20"/>
                <w:szCs w:val="20"/>
                <w:lang w:eastAsia="zh-CN"/>
              </w:rPr>
            </w:pPr>
            <w:r w:rsidRPr="2B7FFB25">
              <w:rPr>
                <w:rFonts w:cs="Calibri"/>
                <w:sz w:val="20"/>
                <w:szCs w:val="20"/>
                <w:lang w:eastAsia="zh-CN"/>
              </w:rPr>
              <w:t>17</w:t>
            </w:r>
          </w:p>
        </w:tc>
        <w:tc>
          <w:tcPr>
            <w:tcW w:w="1979" w:type="dxa"/>
            <w:tcMar/>
          </w:tcPr>
          <w:p w:rsidR="2B7FFB25" w:rsidP="2B7FFB25" w:rsidRDefault="2B7FFB25" w14:paraId="1DA6BF66" w14:textId="1AAAA82D">
            <w:pPr>
              <w:jc w:val="center"/>
              <w:rPr>
                <w:rFonts w:hint="eastAsia"/>
              </w:rPr>
            </w:pPr>
            <w:r w:rsidRPr="2B7FFB25">
              <w:rPr>
                <w:rFonts w:ascii="Aptos" w:hAnsi="Aptos" w:eastAsia="Aptos" w:cs="Aptos"/>
                <w:sz w:val="20"/>
                <w:szCs w:val="20"/>
              </w:rPr>
              <w:t>Dong et al. (2016)</w:t>
            </w:r>
          </w:p>
        </w:tc>
        <w:tc>
          <w:tcPr>
            <w:tcW w:w="2249" w:type="dxa"/>
            <w:tcMar/>
          </w:tcPr>
          <w:p w:rsidR="2B7FFB25" w:rsidP="2B7FFB25" w:rsidRDefault="2B7FFB25" w14:paraId="04E406D2" w14:textId="3DA7FD9C">
            <w:pPr>
              <w:jc w:val="center"/>
              <w:rPr>
                <w:rFonts w:hint="eastAsia"/>
              </w:rPr>
            </w:pPr>
            <w:r w:rsidRPr="2B7FFB25">
              <w:rPr>
                <w:rFonts w:ascii="Aptos" w:hAnsi="Aptos" w:eastAsia="Aptos" w:cs="Aptos"/>
                <w:color w:val="000000" w:themeColor="text1"/>
                <w:sz w:val="20"/>
                <w:szCs w:val="20"/>
              </w:rPr>
              <w:t>SFA</w:t>
            </w:r>
          </w:p>
        </w:tc>
        <w:tc>
          <w:tcPr>
            <w:tcW w:w="2177" w:type="dxa"/>
            <w:tcMar/>
          </w:tcPr>
          <w:p w:rsidR="2B7FFB25" w:rsidP="2B7FFB25" w:rsidRDefault="2B7FFB25" w14:paraId="63E698F7" w14:textId="3930BCC8">
            <w:pPr>
              <w:jc w:val="center"/>
              <w:rPr>
                <w:rFonts w:hint="eastAsia"/>
              </w:rPr>
            </w:pPr>
            <w:r w:rsidRPr="2B7FFB25">
              <w:rPr>
                <w:rFonts w:ascii="Aptos" w:hAnsi="Aptos" w:eastAsia="Aptos" w:cs="Aptos"/>
                <w:sz w:val="20"/>
                <w:szCs w:val="20"/>
              </w:rPr>
              <w:t>n/a</w:t>
            </w:r>
          </w:p>
        </w:tc>
        <w:tc>
          <w:tcPr>
            <w:tcW w:w="1689" w:type="dxa"/>
            <w:tcMar/>
          </w:tcPr>
          <w:p w:rsidR="2B7FFB25" w:rsidP="2B7FFB25" w:rsidRDefault="2B7FFB25" w14:paraId="669066A2" w14:textId="1EBE336F">
            <w:pPr>
              <w:jc w:val="center"/>
              <w:rPr>
                <w:rFonts w:hint="eastAsia"/>
              </w:rPr>
            </w:pPr>
            <w:r w:rsidRPr="2B7FFB25">
              <w:rPr>
                <w:rFonts w:ascii="Aptos" w:hAnsi="Aptos" w:eastAsia="Aptos" w:cs="Aptos"/>
                <w:sz w:val="20"/>
                <w:szCs w:val="20"/>
              </w:rPr>
              <w:t>n/a</w:t>
            </w:r>
          </w:p>
        </w:tc>
      </w:tr>
      <w:tr w:rsidR="2B7FFB25" w:rsidTr="4F940BA9" w14:paraId="493B4199" w14:textId="77777777">
        <w:trPr>
          <w:trHeight w:val="284"/>
        </w:trPr>
        <w:tc>
          <w:tcPr>
            <w:tcW w:w="901" w:type="dxa"/>
            <w:tcMar/>
          </w:tcPr>
          <w:p w:rsidR="2B7FFB25" w:rsidP="2B7FFB25" w:rsidRDefault="2B7FFB25" w14:paraId="4E50C4FA" w14:textId="350FF14F">
            <w:pPr>
              <w:jc w:val="center"/>
              <w:rPr>
                <w:rFonts w:hint="eastAsia" w:cs="Calibri"/>
                <w:sz w:val="20"/>
                <w:szCs w:val="20"/>
                <w:lang w:eastAsia="zh-CN"/>
              </w:rPr>
            </w:pPr>
            <w:r w:rsidRPr="2B7FFB25">
              <w:rPr>
                <w:rFonts w:cs="Calibri"/>
                <w:sz w:val="20"/>
                <w:szCs w:val="20"/>
                <w:lang w:eastAsia="zh-CN"/>
              </w:rPr>
              <w:t>12</w:t>
            </w:r>
          </w:p>
        </w:tc>
        <w:tc>
          <w:tcPr>
            <w:tcW w:w="1979" w:type="dxa"/>
            <w:tcMar/>
          </w:tcPr>
          <w:p w:rsidR="2B7FFB25" w:rsidP="2B7FFB25" w:rsidRDefault="2B7FFB25" w14:paraId="3A2D1DC1" w14:textId="6B5EBADB">
            <w:pPr>
              <w:jc w:val="center"/>
              <w:rPr>
                <w:rFonts w:hint="eastAsia"/>
              </w:rPr>
            </w:pPr>
            <w:r w:rsidRPr="2B7FFB25">
              <w:rPr>
                <w:rFonts w:ascii="Aptos" w:hAnsi="Aptos" w:eastAsia="Aptos" w:cs="Aptos"/>
                <w:sz w:val="20"/>
                <w:szCs w:val="20"/>
              </w:rPr>
              <w:t>Luo et al. (2011)</w:t>
            </w:r>
          </w:p>
        </w:tc>
        <w:tc>
          <w:tcPr>
            <w:tcW w:w="2249" w:type="dxa"/>
            <w:tcMar/>
          </w:tcPr>
          <w:p w:rsidR="2B7FFB25" w:rsidP="2B7FFB25" w:rsidRDefault="2B7FFB25" w14:paraId="7A495309" w14:textId="66E9B711">
            <w:pPr>
              <w:jc w:val="center"/>
              <w:rPr>
                <w:rFonts w:hint="eastAsia"/>
              </w:rPr>
            </w:pPr>
            <w:r w:rsidRPr="2B7FFB25">
              <w:rPr>
                <w:rFonts w:ascii="Aptos" w:hAnsi="Aptos" w:eastAsia="Aptos" w:cs="Aptos"/>
              </w:rPr>
              <w:t>CCR-CRS &amp; BCC-VRS</w:t>
            </w:r>
          </w:p>
        </w:tc>
        <w:tc>
          <w:tcPr>
            <w:tcW w:w="2177" w:type="dxa"/>
            <w:tcMar/>
          </w:tcPr>
          <w:p w:rsidR="2B7FFB25" w:rsidP="2B7FFB25" w:rsidRDefault="2B7FFB25" w14:paraId="587AC70F" w14:textId="7BCF76A2">
            <w:pPr>
              <w:jc w:val="center"/>
              <w:rPr>
                <w:rFonts w:hint="eastAsia"/>
              </w:rPr>
            </w:pPr>
            <w:r w:rsidRPr="2B7FFB25">
              <w:rPr>
                <w:rFonts w:ascii="Aptos" w:hAnsi="Aptos" w:eastAsia="Aptos" w:cs="Aptos"/>
                <w:sz w:val="20"/>
                <w:szCs w:val="20"/>
              </w:rPr>
              <w:t>n/a</w:t>
            </w:r>
          </w:p>
        </w:tc>
        <w:tc>
          <w:tcPr>
            <w:tcW w:w="1689" w:type="dxa"/>
            <w:tcMar/>
          </w:tcPr>
          <w:p w:rsidR="2B7FFB25" w:rsidP="2B7FFB25" w:rsidRDefault="2B7FFB25" w14:paraId="0264DC4D" w14:textId="022AAB6F">
            <w:pPr>
              <w:jc w:val="center"/>
              <w:rPr>
                <w:rFonts w:hint="eastAsia"/>
              </w:rPr>
            </w:pPr>
            <w:r w:rsidRPr="2B7FFB25">
              <w:rPr>
                <w:rFonts w:ascii="Aptos" w:hAnsi="Aptos" w:eastAsia="Aptos" w:cs="Aptos"/>
                <w:sz w:val="20"/>
                <w:szCs w:val="20"/>
              </w:rPr>
              <w:t>n/a</w:t>
            </w:r>
          </w:p>
        </w:tc>
      </w:tr>
      <w:tr w:rsidR="2B7FFB25" w:rsidTr="4F940BA9" w14:paraId="4DADED82" w14:textId="77777777">
        <w:trPr>
          <w:trHeight w:val="284"/>
        </w:trPr>
        <w:tc>
          <w:tcPr>
            <w:tcW w:w="901" w:type="dxa"/>
            <w:tcMar/>
          </w:tcPr>
          <w:p w:rsidR="2B7FFB25" w:rsidP="2B7FFB25" w:rsidRDefault="2B7FFB25" w14:paraId="67A3E29C" w14:textId="7FC87F23">
            <w:pPr>
              <w:jc w:val="center"/>
              <w:rPr>
                <w:rFonts w:hint="eastAsia" w:cs="Calibri"/>
                <w:sz w:val="20"/>
                <w:szCs w:val="20"/>
                <w:lang w:eastAsia="zh-CN"/>
              </w:rPr>
            </w:pPr>
            <w:r w:rsidRPr="2B7FFB25">
              <w:rPr>
                <w:rFonts w:cs="Calibri"/>
                <w:sz w:val="20"/>
                <w:szCs w:val="20"/>
                <w:lang w:eastAsia="zh-CN"/>
              </w:rPr>
              <w:t>2</w:t>
            </w:r>
          </w:p>
          <w:p w:rsidR="2B7FFB25" w:rsidP="2B7FFB25" w:rsidRDefault="2B7FFB25" w14:paraId="2368DE30" w14:textId="7C20EA47">
            <w:pPr>
              <w:jc w:val="center"/>
              <w:rPr>
                <w:rFonts w:hint="eastAsia" w:cs="Calibri"/>
                <w:sz w:val="20"/>
                <w:szCs w:val="20"/>
                <w:lang w:eastAsia="zh-CN"/>
              </w:rPr>
            </w:pPr>
          </w:p>
        </w:tc>
        <w:tc>
          <w:tcPr>
            <w:tcW w:w="1979" w:type="dxa"/>
            <w:tcMar/>
          </w:tcPr>
          <w:p w:rsidR="2B7FFB25" w:rsidP="2B7FFB25" w:rsidRDefault="2B7FFB25" w14:paraId="653900B6" w14:textId="7D078CBF">
            <w:pPr>
              <w:jc w:val="center"/>
              <w:rPr>
                <w:rFonts w:hint="eastAsia"/>
              </w:rPr>
            </w:pPr>
            <w:r w:rsidRPr="2B7FFB25">
              <w:rPr>
                <w:rFonts w:ascii="Aptos" w:hAnsi="Aptos" w:eastAsia="Aptos" w:cs="Aptos"/>
                <w:sz w:val="20"/>
                <w:szCs w:val="20"/>
              </w:rPr>
              <w:t>Antunes et al. (2022)</w:t>
            </w:r>
          </w:p>
        </w:tc>
        <w:tc>
          <w:tcPr>
            <w:tcW w:w="2249" w:type="dxa"/>
            <w:tcMar/>
          </w:tcPr>
          <w:p w:rsidR="2B7FFB25" w:rsidP="2B7FFB25" w:rsidRDefault="2B7FFB25" w14:paraId="62F5591B" w14:textId="5A2E7028">
            <w:pPr>
              <w:jc w:val="center"/>
              <w:rPr>
                <w:rFonts w:hint="eastAsia"/>
              </w:rPr>
            </w:pPr>
            <w:r w:rsidRPr="2B7FFB25">
              <w:rPr>
                <w:rFonts w:ascii="Aptos" w:hAnsi="Aptos" w:eastAsia="Aptos" w:cs="Aptos"/>
              </w:rPr>
              <w:t>SBM</w:t>
            </w:r>
          </w:p>
        </w:tc>
        <w:tc>
          <w:tcPr>
            <w:tcW w:w="2177" w:type="dxa"/>
            <w:tcMar/>
          </w:tcPr>
          <w:p w:rsidR="2B7FFB25" w:rsidP="2B7FFB25" w:rsidRDefault="2B7FFB25" w14:paraId="7BB3F3AB" w14:textId="1A53A46C">
            <w:pPr>
              <w:jc w:val="center"/>
              <w:rPr>
                <w:rFonts w:hint="eastAsia"/>
              </w:rPr>
            </w:pPr>
            <w:r w:rsidRPr="2B7FFB25">
              <w:rPr>
                <w:rFonts w:ascii="Aptos" w:hAnsi="Aptos" w:eastAsia="Aptos" w:cs="Aptos"/>
                <w:sz w:val="20"/>
                <w:szCs w:val="20"/>
              </w:rPr>
              <w:t>Robust</w:t>
            </w:r>
          </w:p>
          <w:p w:rsidR="2B7FFB25" w:rsidP="2B7FFB25" w:rsidRDefault="2B7FFB25" w14:paraId="6F5641FB" w14:textId="22018B0E">
            <w:pPr>
              <w:jc w:val="center"/>
              <w:rPr>
                <w:rFonts w:hint="eastAsia"/>
              </w:rPr>
            </w:pPr>
            <w:r w:rsidRPr="2B7FFB25">
              <w:rPr>
                <w:rFonts w:ascii="Aptos" w:hAnsi="Aptos" w:eastAsia="Aptos" w:cs="Aptos"/>
                <w:sz w:val="20"/>
                <w:szCs w:val="20"/>
              </w:rPr>
              <w:t>Endogenous Neural Network Analysis</w:t>
            </w:r>
          </w:p>
        </w:tc>
        <w:tc>
          <w:tcPr>
            <w:tcW w:w="1689" w:type="dxa"/>
            <w:tcMar/>
          </w:tcPr>
          <w:p w:rsidR="2B7FFB25" w:rsidP="2B7FFB25" w:rsidRDefault="2B7FFB25" w14:paraId="627F1C28" w14:textId="76BDDBD9">
            <w:pPr>
              <w:jc w:val="center"/>
              <w:rPr>
                <w:rFonts w:hint="eastAsia"/>
              </w:rPr>
            </w:pPr>
            <w:r w:rsidRPr="2B7FFB25">
              <w:rPr>
                <w:rFonts w:ascii="Aptos" w:hAnsi="Aptos" w:eastAsia="Aptos" w:cs="Aptos"/>
                <w:sz w:val="20"/>
                <w:szCs w:val="20"/>
              </w:rPr>
              <w:t>n/a</w:t>
            </w:r>
          </w:p>
        </w:tc>
      </w:tr>
      <w:tr w:rsidR="2B7FFB25" w:rsidTr="4F940BA9" w14:paraId="3A892CF8" w14:textId="77777777">
        <w:trPr>
          <w:trHeight w:val="284"/>
        </w:trPr>
        <w:tc>
          <w:tcPr>
            <w:tcW w:w="901" w:type="dxa"/>
            <w:tcMar/>
          </w:tcPr>
          <w:p w:rsidR="2B7FFB25" w:rsidP="2B7FFB25" w:rsidRDefault="2B7FFB25" w14:paraId="56AD3214" w14:textId="059C9C80">
            <w:pPr>
              <w:jc w:val="center"/>
              <w:rPr>
                <w:rFonts w:hint="eastAsia" w:cs="Calibri"/>
                <w:sz w:val="20"/>
                <w:szCs w:val="20"/>
                <w:lang w:eastAsia="zh-CN"/>
              </w:rPr>
            </w:pPr>
            <w:r w:rsidRPr="2B7FFB25">
              <w:rPr>
                <w:rFonts w:cs="Calibri"/>
                <w:sz w:val="20"/>
                <w:szCs w:val="20"/>
                <w:lang w:eastAsia="zh-CN"/>
              </w:rPr>
              <w:t>46</w:t>
            </w:r>
          </w:p>
        </w:tc>
        <w:tc>
          <w:tcPr>
            <w:tcW w:w="1979" w:type="dxa"/>
            <w:tcMar/>
          </w:tcPr>
          <w:p w:rsidR="2B7FFB25" w:rsidP="2B7FFB25" w:rsidRDefault="2B7FFB25" w14:paraId="24C2F968" w14:textId="47F85057">
            <w:pPr>
              <w:jc w:val="center"/>
              <w:rPr>
                <w:rFonts w:hint="eastAsia"/>
              </w:rPr>
            </w:pPr>
            <w:r w:rsidRPr="2B7FFB25">
              <w:rPr>
                <w:rFonts w:ascii="Aptos" w:hAnsi="Aptos" w:eastAsia="Aptos" w:cs="Aptos"/>
                <w:sz w:val="20"/>
                <w:szCs w:val="20"/>
              </w:rPr>
              <w:t>Bingquan et al. (2019)</w:t>
            </w:r>
          </w:p>
        </w:tc>
        <w:tc>
          <w:tcPr>
            <w:tcW w:w="2249" w:type="dxa"/>
            <w:tcMar/>
          </w:tcPr>
          <w:p w:rsidR="2B7FFB25" w:rsidP="2B7FFB25" w:rsidRDefault="2B7FFB25" w14:paraId="327D93B4" w14:textId="07BBF2E0">
            <w:pPr>
              <w:jc w:val="center"/>
              <w:rPr>
                <w:rFonts w:hint="eastAsia"/>
              </w:rPr>
            </w:pPr>
            <w:r w:rsidRPr="2B7FFB25">
              <w:rPr>
                <w:rFonts w:ascii="Aptos" w:hAnsi="Aptos" w:eastAsia="Aptos" w:cs="Aptos"/>
              </w:rPr>
              <w:t>spatial Durbin production frontier model</w:t>
            </w:r>
          </w:p>
        </w:tc>
        <w:tc>
          <w:tcPr>
            <w:tcW w:w="2177" w:type="dxa"/>
            <w:tcMar/>
          </w:tcPr>
          <w:p w:rsidR="2B7FFB25" w:rsidP="2B7FFB25" w:rsidRDefault="2B7FFB25" w14:paraId="7D40F542" w14:textId="1BC87130">
            <w:pPr>
              <w:jc w:val="center"/>
              <w:rPr>
                <w:rFonts w:hint="eastAsia"/>
              </w:rPr>
            </w:pPr>
            <w:r w:rsidRPr="2B7FFB25">
              <w:rPr>
                <w:rFonts w:ascii="Aptos" w:hAnsi="Aptos" w:eastAsia="Aptos" w:cs="Aptos"/>
                <w:sz w:val="20"/>
                <w:szCs w:val="20"/>
              </w:rPr>
              <w:t>n/a</w:t>
            </w:r>
          </w:p>
        </w:tc>
        <w:tc>
          <w:tcPr>
            <w:tcW w:w="1689" w:type="dxa"/>
            <w:tcMar/>
          </w:tcPr>
          <w:p w:rsidR="2B7FFB25" w:rsidP="2B7FFB25" w:rsidRDefault="2B7FFB25" w14:paraId="09BFA18A" w14:textId="0761B076">
            <w:pPr>
              <w:jc w:val="center"/>
              <w:rPr>
                <w:rFonts w:hint="eastAsia"/>
              </w:rPr>
            </w:pPr>
            <w:r w:rsidRPr="2B7FFB25">
              <w:rPr>
                <w:rFonts w:ascii="Aptos" w:hAnsi="Aptos" w:eastAsia="Aptos" w:cs="Aptos"/>
                <w:sz w:val="20"/>
                <w:szCs w:val="20"/>
              </w:rPr>
              <w:t>n/a</w:t>
            </w:r>
          </w:p>
        </w:tc>
      </w:tr>
      <w:tr w:rsidR="2B7FFB25" w:rsidTr="4F940BA9" w14:paraId="4B586D83" w14:textId="77777777">
        <w:trPr>
          <w:trHeight w:val="284"/>
        </w:trPr>
        <w:tc>
          <w:tcPr>
            <w:tcW w:w="901" w:type="dxa"/>
            <w:tcMar/>
          </w:tcPr>
          <w:p w:rsidR="2B7FFB25" w:rsidP="2B7FFB25" w:rsidRDefault="2B7FFB25" w14:paraId="2AA7004D" w14:textId="682078A4">
            <w:pPr>
              <w:jc w:val="center"/>
              <w:rPr>
                <w:rFonts w:hint="eastAsia" w:cs="Calibri"/>
                <w:sz w:val="20"/>
                <w:szCs w:val="20"/>
                <w:lang w:eastAsia="zh-CN"/>
              </w:rPr>
            </w:pPr>
            <w:r w:rsidRPr="2B7FFB25">
              <w:rPr>
                <w:rFonts w:cs="Calibri"/>
                <w:sz w:val="20"/>
                <w:szCs w:val="20"/>
                <w:lang w:eastAsia="zh-CN"/>
              </w:rPr>
              <w:t>42</w:t>
            </w:r>
          </w:p>
        </w:tc>
        <w:tc>
          <w:tcPr>
            <w:tcW w:w="1979" w:type="dxa"/>
            <w:tcMar/>
          </w:tcPr>
          <w:p w:rsidR="2B7FFB25" w:rsidP="2B7FFB25" w:rsidRDefault="2B7FFB25" w14:paraId="011EE622" w14:textId="5AE37ED0">
            <w:pPr>
              <w:jc w:val="center"/>
              <w:rPr>
                <w:rFonts w:hint="eastAsia"/>
              </w:rPr>
            </w:pPr>
            <w:r w:rsidRPr="2B7FFB25">
              <w:rPr>
                <w:rFonts w:ascii="Aptos" w:hAnsi="Aptos" w:eastAsia="Aptos" w:cs="Aptos"/>
                <w:sz w:val="20"/>
                <w:szCs w:val="20"/>
              </w:rPr>
              <w:t>Luo et al. (2010)</w:t>
            </w:r>
          </w:p>
        </w:tc>
        <w:tc>
          <w:tcPr>
            <w:tcW w:w="2249" w:type="dxa"/>
            <w:tcMar/>
          </w:tcPr>
          <w:p w:rsidR="2B7FFB25" w:rsidP="2B7FFB25" w:rsidRDefault="2B7FFB25" w14:paraId="2E7BC9EB" w14:textId="181B7F4D">
            <w:pPr>
              <w:jc w:val="center"/>
              <w:rPr>
                <w:rFonts w:hint="eastAsia"/>
              </w:rPr>
            </w:pPr>
            <w:r w:rsidRPr="2B7FFB25">
              <w:rPr>
                <w:rFonts w:ascii="Aptos" w:hAnsi="Aptos" w:eastAsia="Aptos" w:cs="Aptos"/>
              </w:rPr>
              <w:t>CCR &amp; BCC</w:t>
            </w:r>
          </w:p>
        </w:tc>
        <w:tc>
          <w:tcPr>
            <w:tcW w:w="2177" w:type="dxa"/>
            <w:tcMar/>
          </w:tcPr>
          <w:p w:rsidR="2B7FFB25" w:rsidP="2B7FFB25" w:rsidRDefault="2B7FFB25" w14:paraId="179F96E7" w14:textId="26DDBF9B">
            <w:pPr>
              <w:jc w:val="center"/>
              <w:rPr>
                <w:rFonts w:hint="eastAsia"/>
              </w:rPr>
            </w:pPr>
            <w:r w:rsidRPr="2B7FFB25">
              <w:rPr>
                <w:rFonts w:ascii="Aptos" w:hAnsi="Aptos" w:eastAsia="Aptos" w:cs="Aptos"/>
                <w:sz w:val="20"/>
                <w:szCs w:val="20"/>
              </w:rPr>
              <w:t>n/a</w:t>
            </w:r>
          </w:p>
        </w:tc>
        <w:tc>
          <w:tcPr>
            <w:tcW w:w="1689" w:type="dxa"/>
            <w:tcMar/>
          </w:tcPr>
          <w:p w:rsidR="2B7FFB25" w:rsidP="2B7FFB25" w:rsidRDefault="2B7FFB25" w14:paraId="70EEFE60" w14:textId="6069D036">
            <w:pPr>
              <w:jc w:val="center"/>
              <w:rPr>
                <w:rFonts w:hint="eastAsia"/>
              </w:rPr>
            </w:pPr>
            <w:r w:rsidRPr="2B7FFB25">
              <w:rPr>
                <w:rFonts w:ascii="Aptos" w:hAnsi="Aptos" w:eastAsia="Aptos" w:cs="Aptos"/>
                <w:sz w:val="20"/>
                <w:szCs w:val="20"/>
              </w:rPr>
              <w:t>n/a</w:t>
            </w:r>
          </w:p>
        </w:tc>
      </w:tr>
      <w:tr w:rsidR="4F940BA9" w:rsidTr="4F940BA9" w14:paraId="462C3060">
        <w:trPr>
          <w:trHeight w:val="284"/>
        </w:trPr>
        <w:tc>
          <w:tcPr>
            <w:tcW w:w="901" w:type="dxa"/>
            <w:tcMar/>
          </w:tcPr>
          <w:p w:rsidR="5072E2A4" w:rsidP="4F940BA9" w:rsidRDefault="5072E2A4" w14:paraId="5F99A15E" w14:textId="2263BEB0">
            <w:pPr>
              <w:pStyle w:val="Normal"/>
              <w:jc w:val="center"/>
              <w:rPr>
                <w:rFonts w:cs="Calibri"/>
                <w:sz w:val="20"/>
                <w:szCs w:val="20"/>
                <w:lang w:eastAsia="zh-CN"/>
              </w:rPr>
            </w:pPr>
            <w:r w:rsidRPr="4F940BA9" w:rsidR="5072E2A4">
              <w:rPr>
                <w:rFonts w:cs="Calibri"/>
                <w:sz w:val="20"/>
                <w:szCs w:val="20"/>
                <w:lang w:eastAsia="zh-CN"/>
              </w:rPr>
              <w:t>4</w:t>
            </w:r>
          </w:p>
        </w:tc>
        <w:tc>
          <w:tcPr>
            <w:tcW w:w="1979" w:type="dxa"/>
            <w:tcMar/>
          </w:tcPr>
          <w:p w:rsidR="4F940BA9" w:rsidP="4F940BA9" w:rsidRDefault="4F940BA9" w14:paraId="2D612ABE" w14:textId="2AA95549">
            <w:pPr>
              <w:spacing w:before="0" w:beforeAutospacing="off" w:after="0" w:afterAutospacing="off"/>
              <w:ind w:left="-20" w:right="-20"/>
              <w:jc w:val="center"/>
            </w:pPr>
            <w:r w:rsidRPr="4F940BA9" w:rsidR="4F940BA9">
              <w:rPr>
                <w:rFonts w:ascii="Calibri" w:hAnsi="Calibri" w:eastAsia="Calibri" w:cs="Calibri"/>
                <w:sz w:val="20"/>
                <w:szCs w:val="20"/>
                <w:lang w:val="en-GB"/>
              </w:rPr>
              <w:t>Wang et al. (2014)</w:t>
            </w:r>
          </w:p>
        </w:tc>
        <w:tc>
          <w:tcPr>
            <w:tcW w:w="2249" w:type="dxa"/>
            <w:tcMar/>
          </w:tcPr>
          <w:p w:rsidR="4F940BA9" w:rsidP="4F940BA9" w:rsidRDefault="4F940BA9" w14:paraId="312C3BD4" w14:textId="34D49F59">
            <w:pPr>
              <w:spacing w:before="0" w:beforeAutospacing="off" w:after="0" w:afterAutospacing="off"/>
              <w:ind w:left="-20" w:right="-20"/>
            </w:pPr>
            <w:r w:rsidRPr="4F940BA9" w:rsidR="4F940BA9">
              <w:rPr>
                <w:rFonts w:ascii="Calibri" w:hAnsi="Calibri" w:eastAsia="Calibri" w:cs="Calibri"/>
                <w:sz w:val="22"/>
                <w:szCs w:val="22"/>
                <w:lang w:val="en-GB"/>
              </w:rPr>
              <w:t>Additive Two-stage DEA for banking efficiency evaluation</w:t>
            </w:r>
          </w:p>
          <w:p w:rsidR="4F940BA9" w:rsidP="4F940BA9" w:rsidRDefault="4F940BA9" w14:paraId="75DC5CFA" w14:textId="2BEB27BE">
            <w:pPr>
              <w:spacing w:before="0" w:beforeAutospacing="off" w:after="0" w:afterAutospacing="off"/>
              <w:ind w:left="-20" w:right="-20"/>
            </w:pPr>
            <w:r w:rsidRPr="4F940BA9" w:rsidR="4F940BA9">
              <w:rPr>
                <w:rFonts w:ascii="Calibri" w:hAnsi="Calibri" w:eastAsia="Calibri" w:cs="Calibri"/>
                <w:sz w:val="22"/>
                <w:szCs w:val="22"/>
                <w:lang w:val="en-GB"/>
              </w:rPr>
              <w:t xml:space="preserve">-the deposit-producing sub-process </w:t>
            </w:r>
          </w:p>
          <w:p w:rsidR="4F940BA9" w:rsidP="4F940BA9" w:rsidRDefault="4F940BA9" w14:paraId="18FFF5EA" w14:textId="1B3D4E47">
            <w:pPr>
              <w:spacing w:before="0" w:beforeAutospacing="off" w:after="0" w:afterAutospacing="off"/>
              <w:ind w:left="-20" w:right="-20"/>
            </w:pPr>
            <w:r w:rsidRPr="4F940BA9" w:rsidR="4F940BA9">
              <w:rPr>
                <w:rFonts w:ascii="Calibri" w:hAnsi="Calibri" w:eastAsia="Calibri" w:cs="Calibri"/>
                <w:sz w:val="22"/>
                <w:szCs w:val="22"/>
                <w:lang w:val="en-GB"/>
              </w:rPr>
              <w:t>-the profit-earning sub-process</w:t>
            </w:r>
            <w:r w:rsidRPr="4F940BA9" w:rsidR="4F940BA9">
              <w:rPr>
                <w:rFonts w:ascii="Calibri" w:hAnsi="Calibri" w:eastAsia="Calibri" w:cs="Calibri"/>
                <w:sz w:val="20"/>
                <w:szCs w:val="20"/>
                <w:lang w:val="en-GB"/>
              </w:rPr>
              <w:t xml:space="preserve"> </w:t>
            </w:r>
          </w:p>
        </w:tc>
        <w:tc>
          <w:tcPr>
            <w:tcW w:w="2177" w:type="dxa"/>
            <w:tcMar/>
          </w:tcPr>
          <w:p w:rsidR="4F940BA9" w:rsidP="4F940BA9" w:rsidRDefault="4F940BA9" w14:paraId="1BBC00D2" w14:textId="4215CC10">
            <w:pPr>
              <w:spacing w:before="0" w:beforeAutospacing="off" w:after="0" w:afterAutospacing="off"/>
              <w:ind w:left="-20" w:right="-20"/>
            </w:pPr>
            <w:r w:rsidRPr="4F940BA9" w:rsidR="4F940BA9">
              <w:rPr>
                <w:rFonts w:ascii="Calibri" w:hAnsi="Calibri" w:eastAsia="Calibri" w:cs="Calibri"/>
                <w:sz w:val="20"/>
                <w:szCs w:val="20"/>
                <w:lang w:val="en-GB"/>
              </w:rPr>
              <w:t>n\a</w:t>
            </w:r>
          </w:p>
        </w:tc>
        <w:tc>
          <w:tcPr>
            <w:tcW w:w="1689" w:type="dxa"/>
            <w:tcMar/>
          </w:tcPr>
          <w:p w:rsidR="4F940BA9" w:rsidP="4F940BA9" w:rsidRDefault="4F940BA9" w14:paraId="1FF9DFFF" w14:textId="57FC2745">
            <w:pPr>
              <w:spacing w:before="0" w:beforeAutospacing="off" w:after="0" w:afterAutospacing="off"/>
              <w:ind w:left="-20" w:right="-20"/>
              <w:jc w:val="center"/>
            </w:pPr>
            <w:r w:rsidRPr="4F940BA9" w:rsidR="4F940BA9">
              <w:rPr>
                <w:rFonts w:ascii="Calibri" w:hAnsi="Calibri" w:eastAsia="Calibri" w:cs="Calibri"/>
                <w:sz w:val="20"/>
                <w:szCs w:val="20"/>
                <w:lang w:val="en-GB"/>
              </w:rPr>
              <w:t>n\a</w:t>
            </w:r>
          </w:p>
        </w:tc>
      </w:tr>
      <w:tr w:rsidR="4F940BA9" w:rsidTr="4F940BA9" w14:paraId="36E76E38">
        <w:trPr>
          <w:trHeight w:val="284"/>
        </w:trPr>
        <w:tc>
          <w:tcPr>
            <w:tcW w:w="901" w:type="dxa"/>
            <w:tcMar/>
          </w:tcPr>
          <w:p w:rsidR="5F1F6E33" w:rsidP="4F940BA9" w:rsidRDefault="5F1F6E33" w14:paraId="2BFAA6A6" w14:textId="67DFD248">
            <w:pPr>
              <w:pStyle w:val="Normal"/>
              <w:jc w:val="center"/>
              <w:rPr>
                <w:rFonts w:cs="Calibri"/>
                <w:sz w:val="20"/>
                <w:szCs w:val="20"/>
                <w:lang w:eastAsia="zh-CN"/>
              </w:rPr>
            </w:pPr>
            <w:r w:rsidRPr="4F940BA9" w:rsidR="5F1F6E33">
              <w:rPr>
                <w:rFonts w:cs="Calibri"/>
                <w:sz w:val="20"/>
                <w:szCs w:val="20"/>
                <w:lang w:eastAsia="zh-CN"/>
              </w:rPr>
              <w:t>14</w:t>
            </w:r>
          </w:p>
        </w:tc>
        <w:tc>
          <w:tcPr>
            <w:tcW w:w="1979" w:type="dxa"/>
            <w:tcMar/>
          </w:tcPr>
          <w:p w:rsidR="4F940BA9" w:rsidP="4F940BA9" w:rsidRDefault="4F940BA9" w14:paraId="095E6FF5" w14:textId="03B76C67">
            <w:pPr>
              <w:spacing w:before="0" w:beforeAutospacing="off" w:after="0" w:afterAutospacing="off"/>
              <w:ind w:left="-20" w:right="-20"/>
              <w:jc w:val="center"/>
            </w:pPr>
            <w:r w:rsidRPr="4F940BA9" w:rsidR="4F940BA9">
              <w:rPr>
                <w:rFonts w:ascii="Arial" w:hAnsi="Arial" w:eastAsia="Arial" w:cs="Arial"/>
                <w:color w:val="222222"/>
                <w:sz w:val="20"/>
                <w:szCs w:val="20"/>
                <w:lang w:val="en-GB"/>
              </w:rPr>
              <w:t>Fukuyama, H., Tsionas, M. and Tan, Y.,</w:t>
            </w:r>
            <w:r w:rsidRPr="4F940BA9" w:rsidR="4F940BA9">
              <w:rPr>
                <w:rFonts w:ascii="Calibri" w:hAnsi="Calibri" w:eastAsia="Calibri" w:cs="Calibri"/>
                <w:sz w:val="20"/>
                <w:szCs w:val="20"/>
                <w:lang w:val="en-GB"/>
              </w:rPr>
              <w:t xml:space="preserve"> (2023) </w:t>
            </w:r>
          </w:p>
        </w:tc>
        <w:tc>
          <w:tcPr>
            <w:tcW w:w="2249" w:type="dxa"/>
            <w:tcMar/>
          </w:tcPr>
          <w:p w:rsidR="4F940BA9" w:rsidP="4F940BA9" w:rsidRDefault="4F940BA9" w14:paraId="6AE4247A" w14:textId="22FA55FD">
            <w:pPr>
              <w:spacing w:before="0" w:beforeAutospacing="off" w:after="0" w:afterAutospacing="off"/>
              <w:ind w:left="-20" w:right="-20"/>
              <w:jc w:val="center"/>
            </w:pPr>
            <w:r w:rsidRPr="4F940BA9" w:rsidR="4F940BA9">
              <w:rPr>
                <w:rFonts w:ascii="Calibri" w:hAnsi="Calibri" w:eastAsia="Calibri" w:cs="Calibri"/>
                <w:sz w:val="22"/>
                <w:szCs w:val="22"/>
                <w:lang w:val="en-GB"/>
              </w:rPr>
              <w:t>the two stage DNDEA model</w:t>
            </w:r>
          </w:p>
        </w:tc>
        <w:tc>
          <w:tcPr>
            <w:tcW w:w="2177" w:type="dxa"/>
            <w:tcMar/>
          </w:tcPr>
          <w:p w:rsidR="4F940BA9" w:rsidP="4F940BA9" w:rsidRDefault="4F940BA9" w14:paraId="1B3E97CF" w14:textId="036BA297">
            <w:pPr>
              <w:spacing w:before="0" w:beforeAutospacing="off" w:after="0" w:afterAutospacing="off"/>
              <w:ind w:left="-20" w:right="-20"/>
            </w:pPr>
            <w:r w:rsidRPr="4F940BA9" w:rsidR="4F940BA9">
              <w:rPr>
                <w:rFonts w:ascii="Calibri" w:hAnsi="Calibri" w:eastAsia="Calibri" w:cs="Calibri"/>
                <w:sz w:val="20"/>
                <w:szCs w:val="20"/>
              </w:rPr>
              <w:t>n\a</w:t>
            </w:r>
          </w:p>
        </w:tc>
        <w:tc>
          <w:tcPr>
            <w:tcW w:w="1689" w:type="dxa"/>
            <w:tcMar/>
          </w:tcPr>
          <w:p w:rsidR="4F940BA9" w:rsidP="4F940BA9" w:rsidRDefault="4F940BA9" w14:paraId="6AA39DD2" w14:textId="598C69FC">
            <w:pPr>
              <w:spacing w:before="0" w:beforeAutospacing="off" w:after="0" w:afterAutospacing="off"/>
              <w:ind w:left="-20" w:right="-20"/>
              <w:jc w:val="center"/>
            </w:pPr>
            <w:r w:rsidRPr="4F940BA9" w:rsidR="4F940BA9">
              <w:rPr>
                <w:rFonts w:ascii="Calibri" w:hAnsi="Calibri" w:eastAsia="Calibri" w:cs="Calibri"/>
                <w:sz w:val="22"/>
                <w:szCs w:val="22"/>
                <w:lang w:val="en-GB"/>
              </w:rPr>
              <w:t>n\a</w:t>
            </w:r>
          </w:p>
        </w:tc>
      </w:tr>
      <w:tr w:rsidR="4F940BA9" w:rsidTr="4F940BA9" w14:paraId="62AFA30B">
        <w:trPr>
          <w:trHeight w:val="284"/>
        </w:trPr>
        <w:tc>
          <w:tcPr>
            <w:tcW w:w="901" w:type="dxa"/>
            <w:tcMar/>
          </w:tcPr>
          <w:p w:rsidR="76CB2C98" w:rsidP="4F940BA9" w:rsidRDefault="76CB2C98" w14:paraId="0B508DD7" w14:textId="05170AE9">
            <w:pPr>
              <w:pStyle w:val="Normal"/>
              <w:jc w:val="center"/>
              <w:rPr>
                <w:rFonts w:cs="Calibri"/>
                <w:sz w:val="20"/>
                <w:szCs w:val="20"/>
                <w:lang w:eastAsia="zh-CN"/>
              </w:rPr>
            </w:pPr>
            <w:r w:rsidRPr="4F940BA9" w:rsidR="76CB2C98">
              <w:rPr>
                <w:rFonts w:cs="Calibri"/>
                <w:sz w:val="20"/>
                <w:szCs w:val="20"/>
                <w:lang w:eastAsia="zh-CN"/>
              </w:rPr>
              <w:t>19</w:t>
            </w:r>
          </w:p>
        </w:tc>
        <w:tc>
          <w:tcPr>
            <w:tcW w:w="1979" w:type="dxa"/>
            <w:tcMar/>
          </w:tcPr>
          <w:p w:rsidR="4F940BA9" w:rsidP="4F940BA9" w:rsidRDefault="4F940BA9" w14:paraId="4AB71877" w14:textId="2CCFCD17">
            <w:pPr>
              <w:spacing w:before="0" w:beforeAutospacing="off" w:after="0" w:afterAutospacing="off"/>
              <w:ind w:left="-20" w:right="-20"/>
              <w:jc w:val="center"/>
            </w:pPr>
            <w:r w:rsidRPr="4F940BA9" w:rsidR="4F940BA9">
              <w:rPr>
                <w:rFonts w:ascii="Arial" w:hAnsi="Arial" w:eastAsia="Arial" w:cs="Arial"/>
                <w:color w:val="222222"/>
                <w:sz w:val="20"/>
                <w:szCs w:val="20"/>
                <w:lang w:val="en-GB"/>
              </w:rPr>
              <w:t xml:space="preserve">Zhou, X.,(2019) </w:t>
            </w:r>
          </w:p>
        </w:tc>
        <w:tc>
          <w:tcPr>
            <w:tcW w:w="2249" w:type="dxa"/>
            <w:tcMar/>
          </w:tcPr>
          <w:p w:rsidR="4F940BA9" w:rsidP="4F940BA9" w:rsidRDefault="4F940BA9" w14:paraId="26A335C9" w14:textId="64609851">
            <w:pPr>
              <w:spacing w:before="0" w:beforeAutospacing="off" w:after="0" w:afterAutospacing="off"/>
              <w:ind w:left="-20" w:right="-20"/>
            </w:pPr>
            <w:r w:rsidRPr="4F940BA9" w:rsidR="4F940BA9">
              <w:rPr>
                <w:rFonts w:ascii="Calibri" w:hAnsi="Calibri" w:eastAsia="Calibri" w:cs="Calibri"/>
                <w:sz w:val="22"/>
                <w:szCs w:val="22"/>
                <w:lang w:val="en-GB"/>
              </w:rPr>
              <w:t>multi-period three-stage Dynamic Network DEA model</w:t>
            </w:r>
          </w:p>
        </w:tc>
        <w:tc>
          <w:tcPr>
            <w:tcW w:w="2177" w:type="dxa"/>
            <w:tcMar/>
          </w:tcPr>
          <w:p w:rsidR="4F940BA9" w:rsidP="4F940BA9" w:rsidRDefault="4F940BA9" w14:paraId="5A25CC66" w14:textId="1E29F9F7">
            <w:pPr>
              <w:spacing w:before="0" w:beforeAutospacing="off" w:after="0" w:afterAutospacing="off"/>
              <w:ind w:left="-20" w:right="-20"/>
            </w:pPr>
            <w:r w:rsidRPr="4F940BA9" w:rsidR="4F940BA9">
              <w:rPr>
                <w:rFonts w:ascii="Calibri" w:hAnsi="Calibri" w:eastAsia="Calibri" w:cs="Calibri"/>
                <w:sz w:val="20"/>
                <w:szCs w:val="20"/>
              </w:rPr>
              <w:t>n\a</w:t>
            </w:r>
          </w:p>
        </w:tc>
        <w:tc>
          <w:tcPr>
            <w:tcW w:w="1689" w:type="dxa"/>
            <w:tcMar/>
          </w:tcPr>
          <w:p w:rsidR="4F940BA9" w:rsidP="4F940BA9" w:rsidRDefault="4F940BA9" w14:paraId="26ED468A" w14:textId="38A9A3A3">
            <w:pPr>
              <w:spacing w:before="0" w:beforeAutospacing="off" w:after="0" w:afterAutospacing="off"/>
              <w:ind w:left="-20" w:right="-20"/>
              <w:jc w:val="center"/>
            </w:pPr>
            <w:r w:rsidRPr="4F940BA9" w:rsidR="4F940BA9">
              <w:rPr>
                <w:rFonts w:ascii="Calibri" w:hAnsi="Calibri" w:eastAsia="Calibri" w:cs="Calibri"/>
                <w:sz w:val="22"/>
                <w:szCs w:val="22"/>
                <w:lang w:val="en-GB"/>
              </w:rPr>
              <w:t>n\a</w:t>
            </w:r>
          </w:p>
        </w:tc>
      </w:tr>
      <w:tr w:rsidR="4F940BA9" w:rsidTr="4F940BA9" w14:paraId="12960737">
        <w:trPr>
          <w:trHeight w:val="284"/>
        </w:trPr>
        <w:tc>
          <w:tcPr>
            <w:tcW w:w="901" w:type="dxa"/>
            <w:tcMar/>
          </w:tcPr>
          <w:p w:rsidR="59C46EE8" w:rsidP="4F940BA9" w:rsidRDefault="59C46EE8" w14:paraId="28053ADD" w14:textId="3B70F839">
            <w:pPr>
              <w:pStyle w:val="Normal"/>
              <w:jc w:val="center"/>
              <w:rPr>
                <w:rFonts w:cs="Calibri"/>
                <w:sz w:val="20"/>
                <w:szCs w:val="20"/>
                <w:lang w:eastAsia="zh-CN"/>
              </w:rPr>
            </w:pPr>
            <w:r w:rsidRPr="4F940BA9" w:rsidR="59C46EE8">
              <w:rPr>
                <w:rFonts w:cs="Calibri"/>
                <w:sz w:val="20"/>
                <w:szCs w:val="20"/>
                <w:lang w:eastAsia="zh-CN"/>
              </w:rPr>
              <w:t>29</w:t>
            </w:r>
          </w:p>
        </w:tc>
        <w:tc>
          <w:tcPr>
            <w:tcW w:w="1979" w:type="dxa"/>
            <w:tcMar/>
          </w:tcPr>
          <w:p w:rsidR="4F940BA9" w:rsidP="4F940BA9" w:rsidRDefault="4F940BA9" w14:paraId="7A8B97F8" w14:textId="6C66EF14">
            <w:pPr>
              <w:spacing w:before="0" w:beforeAutospacing="off" w:after="0" w:afterAutospacing="off"/>
              <w:ind w:left="-20" w:right="-20"/>
              <w:jc w:val="center"/>
            </w:pPr>
            <w:r w:rsidRPr="4F940BA9" w:rsidR="4F940BA9">
              <w:rPr>
                <w:rFonts w:ascii="Arial" w:hAnsi="Arial" w:eastAsia="Arial" w:cs="Arial"/>
                <w:color w:val="222222"/>
                <w:sz w:val="20"/>
                <w:szCs w:val="20"/>
                <w:lang w:val="en-GB"/>
              </w:rPr>
              <w:t xml:space="preserve">Boussemart, J.P. (2019) </w:t>
            </w:r>
          </w:p>
        </w:tc>
        <w:tc>
          <w:tcPr>
            <w:tcW w:w="2249" w:type="dxa"/>
            <w:tcMar/>
          </w:tcPr>
          <w:p w:rsidR="4F940BA9" w:rsidP="4F940BA9" w:rsidRDefault="4F940BA9" w14:paraId="11D1766D" w14:textId="782603D7">
            <w:pPr>
              <w:spacing w:before="0" w:beforeAutospacing="off" w:after="0" w:afterAutospacing="off"/>
              <w:ind w:left="-20" w:right="-20"/>
            </w:pPr>
            <w:r w:rsidRPr="4F940BA9" w:rsidR="4F940BA9">
              <w:rPr>
                <w:rFonts w:ascii="Calibri" w:hAnsi="Calibri" w:eastAsia="Calibri" w:cs="Calibri"/>
                <w:sz w:val="22"/>
                <w:szCs w:val="22"/>
                <w:lang w:val="en-GB"/>
              </w:rPr>
              <w:t>directional distance network DEA model</w:t>
            </w:r>
          </w:p>
        </w:tc>
        <w:tc>
          <w:tcPr>
            <w:tcW w:w="2177" w:type="dxa"/>
            <w:tcMar/>
          </w:tcPr>
          <w:p w:rsidR="4F940BA9" w:rsidP="4F940BA9" w:rsidRDefault="4F940BA9" w14:paraId="11D28FA3" w14:textId="7CA52243">
            <w:pPr>
              <w:spacing w:before="0" w:beforeAutospacing="off" w:after="0" w:afterAutospacing="off"/>
              <w:ind w:left="-20" w:right="-20"/>
            </w:pPr>
            <w:r w:rsidRPr="4F940BA9" w:rsidR="4F940BA9">
              <w:rPr>
                <w:rFonts w:ascii="Calibri" w:hAnsi="Calibri" w:eastAsia="Calibri" w:cs="Calibri"/>
                <w:sz w:val="20"/>
                <w:szCs w:val="20"/>
              </w:rPr>
              <w:t>n\a</w:t>
            </w:r>
          </w:p>
        </w:tc>
        <w:tc>
          <w:tcPr>
            <w:tcW w:w="1689" w:type="dxa"/>
            <w:tcMar/>
          </w:tcPr>
          <w:p w:rsidR="4F940BA9" w:rsidP="4F940BA9" w:rsidRDefault="4F940BA9" w14:paraId="07A97690" w14:textId="3DFA4C57">
            <w:pPr>
              <w:spacing w:before="0" w:beforeAutospacing="off" w:after="0" w:afterAutospacing="off"/>
              <w:ind w:left="-20" w:right="-20"/>
              <w:jc w:val="center"/>
            </w:pPr>
            <w:r w:rsidRPr="4F940BA9" w:rsidR="4F940BA9">
              <w:rPr>
                <w:rFonts w:ascii="Calibri" w:hAnsi="Calibri" w:eastAsia="Calibri" w:cs="Calibri"/>
                <w:sz w:val="20"/>
                <w:szCs w:val="20"/>
                <w:lang w:val="en-GB"/>
              </w:rPr>
              <w:t>n\a</w:t>
            </w:r>
          </w:p>
        </w:tc>
      </w:tr>
      <w:tr w:rsidR="4F940BA9" w:rsidTr="4F940BA9" w14:paraId="400598D8">
        <w:trPr>
          <w:trHeight w:val="284"/>
        </w:trPr>
        <w:tc>
          <w:tcPr>
            <w:tcW w:w="901" w:type="dxa"/>
            <w:tcMar/>
          </w:tcPr>
          <w:p w:rsidR="1B60C27C" w:rsidP="4F940BA9" w:rsidRDefault="1B60C27C" w14:paraId="35D49C72" w14:textId="4701C11E">
            <w:pPr>
              <w:pStyle w:val="Normal"/>
              <w:jc w:val="center"/>
              <w:rPr>
                <w:rFonts w:cs="Calibri"/>
                <w:sz w:val="20"/>
                <w:szCs w:val="20"/>
                <w:lang w:eastAsia="zh-CN"/>
              </w:rPr>
            </w:pPr>
            <w:r w:rsidRPr="4F940BA9" w:rsidR="1B60C27C">
              <w:rPr>
                <w:rFonts w:cs="Calibri"/>
                <w:sz w:val="20"/>
                <w:szCs w:val="20"/>
                <w:lang w:eastAsia="zh-CN"/>
              </w:rPr>
              <w:t>48</w:t>
            </w:r>
          </w:p>
        </w:tc>
        <w:tc>
          <w:tcPr>
            <w:tcW w:w="1979" w:type="dxa"/>
            <w:tcMar/>
          </w:tcPr>
          <w:p w:rsidR="4F940BA9" w:rsidP="4F940BA9" w:rsidRDefault="4F940BA9" w14:paraId="25EF45CC" w14:textId="540665D2">
            <w:pPr>
              <w:spacing w:before="0" w:beforeAutospacing="off" w:after="0" w:afterAutospacing="off"/>
              <w:ind w:left="-20" w:right="-20"/>
              <w:jc w:val="center"/>
            </w:pPr>
            <w:r w:rsidRPr="4F940BA9" w:rsidR="4F940BA9">
              <w:rPr>
                <w:rFonts w:ascii="Calibri" w:hAnsi="Calibri" w:eastAsia="Calibri" w:cs="Calibri"/>
                <w:sz w:val="22"/>
                <w:szCs w:val="22"/>
                <w:lang w:val="en-GB"/>
              </w:rPr>
              <w:t xml:space="preserve">Yan Luo, Gongbing Bi, Liang Liang (2012) </w:t>
            </w:r>
          </w:p>
        </w:tc>
        <w:tc>
          <w:tcPr>
            <w:tcW w:w="2249" w:type="dxa"/>
            <w:tcMar/>
          </w:tcPr>
          <w:p w:rsidR="4F940BA9" w:rsidP="4F940BA9" w:rsidRDefault="4F940BA9" w14:paraId="0177E50A" w14:textId="125555FE">
            <w:pPr>
              <w:spacing w:before="0" w:beforeAutospacing="off" w:after="0" w:afterAutospacing="off"/>
              <w:ind w:left="-20" w:right="-20"/>
              <w:jc w:val="center"/>
            </w:pPr>
            <w:r w:rsidRPr="4F940BA9" w:rsidR="4F940BA9">
              <w:rPr>
                <w:rFonts w:ascii="Calibri" w:hAnsi="Calibri" w:eastAsia="Calibri" w:cs="Calibri"/>
                <w:sz w:val="22"/>
                <w:szCs w:val="22"/>
                <w:lang w:val="en-GB"/>
              </w:rPr>
              <w:t>CVA model\ variable selection in DEA</w:t>
            </w:r>
          </w:p>
        </w:tc>
        <w:tc>
          <w:tcPr>
            <w:tcW w:w="2177" w:type="dxa"/>
            <w:tcMar/>
          </w:tcPr>
          <w:p w:rsidR="4F940BA9" w:rsidP="4F940BA9" w:rsidRDefault="4F940BA9" w14:paraId="29A45CAE" w14:textId="4C1E87F0">
            <w:pPr>
              <w:spacing w:before="0" w:beforeAutospacing="off" w:after="0" w:afterAutospacing="off"/>
              <w:ind w:left="-20" w:right="-20"/>
            </w:pPr>
            <w:r w:rsidRPr="4F940BA9" w:rsidR="4F940BA9">
              <w:rPr>
                <w:rFonts w:ascii="Calibri" w:hAnsi="Calibri" w:eastAsia="Calibri" w:cs="Calibri"/>
                <w:sz w:val="20"/>
                <w:szCs w:val="20"/>
              </w:rPr>
              <w:t>n\a</w:t>
            </w:r>
          </w:p>
        </w:tc>
        <w:tc>
          <w:tcPr>
            <w:tcW w:w="1689" w:type="dxa"/>
            <w:tcMar/>
          </w:tcPr>
          <w:p w:rsidR="4F940BA9" w:rsidP="4F940BA9" w:rsidRDefault="4F940BA9" w14:paraId="583A6547" w14:textId="1D0FAC6A">
            <w:pPr>
              <w:spacing w:before="0" w:beforeAutospacing="off" w:after="0" w:afterAutospacing="off"/>
              <w:ind w:left="-20" w:right="-20"/>
              <w:jc w:val="center"/>
            </w:pPr>
            <w:r w:rsidRPr="4F940BA9" w:rsidR="4F940BA9">
              <w:rPr>
                <w:rFonts w:ascii="Calibri" w:hAnsi="Calibri" w:eastAsia="Calibri" w:cs="Calibri"/>
                <w:sz w:val="20"/>
                <w:szCs w:val="20"/>
                <w:lang w:val="en-GB"/>
              </w:rPr>
              <w:t>n\a</w:t>
            </w:r>
          </w:p>
        </w:tc>
      </w:tr>
      <w:tr w:rsidR="4F940BA9" w:rsidTr="4F940BA9" w14:paraId="7BDCCD33">
        <w:trPr>
          <w:trHeight w:val="284"/>
        </w:trPr>
        <w:tc>
          <w:tcPr>
            <w:tcW w:w="901" w:type="dxa"/>
            <w:tcMar/>
          </w:tcPr>
          <w:p w:rsidR="39BAC7DF" w:rsidP="4F940BA9" w:rsidRDefault="39BAC7DF" w14:paraId="75D51EFD" w14:textId="2A7F0C69">
            <w:pPr>
              <w:pStyle w:val="Normal"/>
              <w:jc w:val="center"/>
              <w:rPr>
                <w:rFonts w:cs="Calibri"/>
                <w:sz w:val="20"/>
                <w:szCs w:val="20"/>
                <w:lang w:eastAsia="zh-CN"/>
              </w:rPr>
            </w:pPr>
            <w:r w:rsidRPr="4F940BA9" w:rsidR="39BAC7DF">
              <w:rPr>
                <w:rFonts w:cs="Calibri"/>
                <w:sz w:val="20"/>
                <w:szCs w:val="20"/>
                <w:lang w:eastAsia="zh-CN"/>
              </w:rPr>
              <w:t>34</w:t>
            </w:r>
          </w:p>
        </w:tc>
        <w:tc>
          <w:tcPr>
            <w:tcW w:w="1979" w:type="dxa"/>
            <w:tcMar/>
          </w:tcPr>
          <w:p w:rsidR="4F940BA9" w:rsidP="4F940BA9" w:rsidRDefault="4F940BA9" w14:paraId="78174B2B" w14:textId="4A941AA3">
            <w:pPr>
              <w:spacing w:before="0" w:beforeAutospacing="off" w:after="0" w:afterAutospacing="off"/>
              <w:ind w:left="-20" w:right="-20"/>
              <w:jc w:val="center"/>
            </w:pPr>
            <w:r w:rsidRPr="4F940BA9" w:rsidR="4F940BA9">
              <w:rPr>
                <w:rFonts w:ascii="Calibri" w:hAnsi="Calibri" w:eastAsia="Calibri" w:cs="Calibri"/>
                <w:sz w:val="24"/>
                <w:szCs w:val="24"/>
              </w:rPr>
              <w:t xml:space="preserve">Yongjun Li(2019) </w:t>
            </w:r>
          </w:p>
        </w:tc>
        <w:tc>
          <w:tcPr>
            <w:tcW w:w="2249" w:type="dxa"/>
            <w:tcMar/>
          </w:tcPr>
          <w:p w:rsidR="4F940BA9" w:rsidP="4F940BA9" w:rsidRDefault="4F940BA9" w14:paraId="56950172" w14:textId="35B2256A">
            <w:pPr>
              <w:spacing w:before="0" w:beforeAutospacing="off" w:after="0" w:afterAutospacing="off"/>
              <w:ind w:left="-20" w:right="-20"/>
            </w:pPr>
            <w:r w:rsidRPr="4F940BA9" w:rsidR="4F940BA9">
              <w:rPr>
                <w:rFonts w:ascii="Times New Roman" w:hAnsi="Times New Roman" w:eastAsia="Times New Roman" w:cs="Times New Roman"/>
                <w:sz w:val="21"/>
                <w:szCs w:val="21"/>
              </w:rPr>
              <w:t xml:space="preserve"> </w:t>
            </w:r>
          </w:p>
          <w:p w:rsidR="4F940BA9" w:rsidP="4F940BA9" w:rsidRDefault="4F940BA9" w14:paraId="06C3F490" w14:textId="20F6A7B0">
            <w:pPr>
              <w:spacing w:before="0" w:beforeAutospacing="off" w:after="0" w:afterAutospacing="off"/>
              <w:ind w:left="-20" w:right="-20"/>
            </w:pPr>
            <w:r w:rsidRPr="4F940BA9" w:rsidR="4F940BA9">
              <w:rPr>
                <w:rFonts w:ascii="Calibri" w:hAnsi="Calibri" w:eastAsia="Calibri" w:cs="Calibri"/>
                <w:sz w:val="13"/>
                <w:szCs w:val="13"/>
              </w:rPr>
              <w:t xml:space="preserve"> </w:t>
            </w:r>
            <w:r w:rsidRPr="4F940BA9" w:rsidR="4F940BA9">
              <w:rPr>
                <w:rFonts w:ascii="Calibri" w:hAnsi="Calibri" w:eastAsia="Calibri" w:cs="Calibri"/>
                <w:sz w:val="22"/>
                <w:szCs w:val="22"/>
                <w:lang w:val="en-GB"/>
              </w:rPr>
              <w:t>two-stage DEA Model\ Two-stage production system</w:t>
            </w:r>
          </w:p>
          <w:p w:rsidR="4F940BA9" w:rsidP="4F940BA9" w:rsidRDefault="4F940BA9" w14:paraId="7E34EBD2" w14:textId="255ECFFA">
            <w:pPr>
              <w:spacing w:before="0" w:beforeAutospacing="off" w:after="0" w:afterAutospacing="off"/>
              <w:ind w:left="-20" w:right="-20"/>
            </w:pPr>
            <w:r w:rsidRPr="4F940BA9" w:rsidR="4F940BA9">
              <w:rPr>
                <w:rFonts w:ascii="Calibri" w:hAnsi="Calibri" w:eastAsia="Calibri" w:cs="Calibri"/>
                <w:sz w:val="22"/>
                <w:szCs w:val="22"/>
                <w:lang w:val="en-GB"/>
              </w:rPr>
              <w:t xml:space="preserve"> </w:t>
            </w:r>
          </w:p>
          <w:p w:rsidR="4F940BA9" w:rsidP="4F940BA9" w:rsidRDefault="4F940BA9" w14:paraId="7C1BA259" w14:textId="5186A6EA">
            <w:pPr>
              <w:spacing w:before="0" w:beforeAutospacing="off" w:after="0" w:afterAutospacing="off"/>
              <w:ind w:left="-20" w:right="-20"/>
            </w:pPr>
            <w:r w:rsidRPr="4F940BA9" w:rsidR="4F940BA9">
              <w:rPr>
                <w:rFonts w:ascii="Times New Roman" w:hAnsi="Times New Roman" w:eastAsia="Times New Roman" w:cs="Times New Roman"/>
                <w:sz w:val="21"/>
                <w:szCs w:val="21"/>
              </w:rPr>
              <w:t xml:space="preserve"> </w:t>
            </w:r>
          </w:p>
          <w:p w:rsidR="4F940BA9" w:rsidP="4F940BA9" w:rsidRDefault="4F940BA9" w14:paraId="2A54703A" w14:textId="462BF2DA">
            <w:pPr>
              <w:spacing w:before="0" w:beforeAutospacing="off" w:after="0" w:afterAutospacing="off"/>
              <w:ind w:left="-20" w:right="-20"/>
              <w:jc w:val="center"/>
            </w:pPr>
            <w:r w:rsidRPr="4F940BA9" w:rsidR="4F940BA9">
              <w:rPr>
                <w:rFonts w:ascii="Times New Roman" w:hAnsi="Times New Roman" w:eastAsia="Times New Roman" w:cs="Times New Roman"/>
                <w:sz w:val="21"/>
                <w:szCs w:val="21"/>
              </w:rPr>
              <w:t xml:space="preserve"> </w:t>
            </w:r>
          </w:p>
        </w:tc>
        <w:tc>
          <w:tcPr>
            <w:tcW w:w="2177" w:type="dxa"/>
            <w:tcMar/>
          </w:tcPr>
          <w:p w:rsidR="4F940BA9" w:rsidP="4F940BA9" w:rsidRDefault="4F940BA9" w14:paraId="643847C2" w14:textId="3893706E">
            <w:pPr>
              <w:spacing w:before="0" w:beforeAutospacing="off" w:after="0" w:afterAutospacing="off"/>
              <w:ind w:left="-20" w:right="-20"/>
            </w:pPr>
            <w:r w:rsidRPr="4F940BA9" w:rsidR="4F940BA9">
              <w:rPr>
                <w:rFonts w:ascii="Calibri" w:hAnsi="Calibri" w:eastAsia="Calibri" w:cs="Calibri"/>
                <w:sz w:val="22"/>
                <w:szCs w:val="22"/>
                <w:lang w:val="en-GB"/>
              </w:rPr>
              <w:t>n\a</w:t>
            </w:r>
          </w:p>
        </w:tc>
        <w:tc>
          <w:tcPr>
            <w:tcW w:w="1689" w:type="dxa"/>
            <w:tcMar/>
          </w:tcPr>
          <w:p w:rsidR="4F940BA9" w:rsidP="4F940BA9" w:rsidRDefault="4F940BA9" w14:paraId="59F870B1" w14:textId="55F78E20">
            <w:pPr>
              <w:spacing w:before="0" w:beforeAutospacing="off" w:after="0" w:afterAutospacing="off"/>
              <w:ind w:left="-20" w:right="-20"/>
              <w:jc w:val="center"/>
            </w:pPr>
            <w:r w:rsidRPr="4F940BA9" w:rsidR="4F940BA9">
              <w:rPr>
                <w:rFonts w:ascii="Calibri" w:hAnsi="Calibri" w:eastAsia="Calibri" w:cs="Calibri"/>
                <w:sz w:val="20"/>
                <w:szCs w:val="20"/>
                <w:lang w:val="en-GB"/>
              </w:rPr>
              <w:t>n\a</w:t>
            </w:r>
          </w:p>
        </w:tc>
      </w:tr>
      <w:tr w:rsidR="4F940BA9" w:rsidTr="4F940BA9" w14:paraId="54B9BA76">
        <w:trPr>
          <w:trHeight w:val="284"/>
        </w:trPr>
        <w:tc>
          <w:tcPr>
            <w:tcW w:w="901" w:type="dxa"/>
            <w:tcMar/>
          </w:tcPr>
          <w:p w:rsidR="7D582A1F" w:rsidP="4F940BA9" w:rsidRDefault="7D582A1F" w14:paraId="6DEBE776" w14:textId="11DD2BAC">
            <w:pPr>
              <w:pStyle w:val="Normal"/>
              <w:jc w:val="center"/>
              <w:rPr>
                <w:rFonts w:cs="Calibri"/>
                <w:sz w:val="20"/>
                <w:szCs w:val="20"/>
                <w:lang w:eastAsia="zh-CN"/>
              </w:rPr>
            </w:pPr>
            <w:r w:rsidRPr="4F940BA9" w:rsidR="7D582A1F">
              <w:rPr>
                <w:rFonts w:cs="Calibri"/>
                <w:sz w:val="20"/>
                <w:szCs w:val="20"/>
                <w:lang w:eastAsia="zh-CN"/>
              </w:rPr>
              <w:t>39</w:t>
            </w:r>
          </w:p>
        </w:tc>
        <w:tc>
          <w:tcPr>
            <w:tcW w:w="1979" w:type="dxa"/>
            <w:tcMar/>
          </w:tcPr>
          <w:p w:rsidR="4F940BA9" w:rsidP="4F940BA9" w:rsidRDefault="4F940BA9" w14:paraId="1D03F509" w14:textId="7C5BB0FF">
            <w:pPr>
              <w:spacing w:before="0" w:beforeAutospacing="off" w:after="0" w:afterAutospacing="off"/>
              <w:ind w:left="-20" w:right="-20"/>
              <w:jc w:val="center"/>
            </w:pPr>
            <w:r w:rsidRPr="4F940BA9" w:rsidR="4F940BA9">
              <w:rPr>
                <w:rFonts w:ascii="Calibri" w:hAnsi="Calibri" w:eastAsia="Calibri" w:cs="Calibri"/>
                <w:sz w:val="22"/>
                <w:szCs w:val="22"/>
                <w:lang w:val="en-GB"/>
              </w:rPr>
              <w:t>Tai-Hsin Huang a, Chung-I Lin b,</w:t>
            </w:r>
            <w:r w:rsidRPr="4F940BA9" w:rsidR="4F940BA9">
              <w:rPr>
                <w:rFonts w:ascii="Segoe UI Symbol" w:hAnsi="Segoe UI Symbol" w:eastAsia="Segoe UI Symbol" w:cs="Segoe UI Symbol"/>
                <w:sz w:val="22"/>
                <w:szCs w:val="22"/>
                <w:lang w:val="en-GB"/>
              </w:rPr>
              <w:t>⁎</w:t>
            </w:r>
            <w:r w:rsidRPr="4F940BA9" w:rsidR="4F940BA9">
              <w:rPr>
                <w:rFonts w:ascii="Calibri" w:hAnsi="Calibri" w:eastAsia="Calibri" w:cs="Calibri"/>
                <w:sz w:val="22"/>
                <w:szCs w:val="22"/>
                <w:lang w:val="en-GB"/>
              </w:rPr>
              <w:t xml:space="preserve">, Kuan-Chen Chenc(2017) </w:t>
            </w:r>
          </w:p>
        </w:tc>
        <w:tc>
          <w:tcPr>
            <w:tcW w:w="2249" w:type="dxa"/>
            <w:tcMar/>
          </w:tcPr>
          <w:p w:rsidR="4F940BA9" w:rsidP="4F940BA9" w:rsidRDefault="4F940BA9" w14:paraId="28C0B93A" w14:textId="67C06C47">
            <w:pPr>
              <w:spacing w:before="0" w:beforeAutospacing="off" w:after="0" w:afterAutospacing="off"/>
              <w:ind w:left="-20" w:right="-20"/>
            </w:pPr>
            <w:r w:rsidRPr="4F940BA9" w:rsidR="4F940BA9">
              <w:rPr>
                <w:rFonts w:ascii="Calibri" w:hAnsi="Calibri" w:eastAsia="Calibri" w:cs="Calibri"/>
                <w:sz w:val="22"/>
                <w:szCs w:val="22"/>
                <w:lang w:val="en-GB"/>
              </w:rPr>
              <w:t>the network SFA model</w:t>
            </w:r>
          </w:p>
        </w:tc>
        <w:tc>
          <w:tcPr>
            <w:tcW w:w="2177" w:type="dxa"/>
            <w:tcMar/>
          </w:tcPr>
          <w:p w:rsidR="4F940BA9" w:rsidP="4F940BA9" w:rsidRDefault="4F940BA9" w14:paraId="7EBC2CD8" w14:textId="58799537">
            <w:pPr>
              <w:spacing w:before="0" w:beforeAutospacing="off" w:after="0" w:afterAutospacing="off"/>
              <w:ind w:left="-20" w:right="-20"/>
            </w:pPr>
            <w:r w:rsidRPr="4F940BA9" w:rsidR="4F940BA9">
              <w:rPr>
                <w:rFonts w:ascii="Calibri" w:hAnsi="Calibri" w:eastAsia="Calibri" w:cs="Calibri"/>
                <w:sz w:val="20"/>
                <w:szCs w:val="20"/>
              </w:rPr>
              <w:t>n\a</w:t>
            </w:r>
          </w:p>
        </w:tc>
        <w:tc>
          <w:tcPr>
            <w:tcW w:w="1689" w:type="dxa"/>
            <w:tcMar/>
          </w:tcPr>
          <w:p w:rsidR="4F940BA9" w:rsidP="4F940BA9" w:rsidRDefault="4F940BA9" w14:paraId="41CDAAE9" w14:textId="5361CF41">
            <w:pPr>
              <w:spacing w:before="0" w:beforeAutospacing="off" w:after="0" w:afterAutospacing="off"/>
              <w:ind w:left="-20" w:right="-20"/>
              <w:jc w:val="center"/>
            </w:pPr>
            <w:r w:rsidRPr="4F940BA9" w:rsidR="4F940BA9">
              <w:rPr>
                <w:rFonts w:ascii="Calibri" w:hAnsi="Calibri" w:eastAsia="Calibri" w:cs="Calibri"/>
                <w:sz w:val="20"/>
                <w:szCs w:val="20"/>
                <w:lang w:val="en-GB"/>
              </w:rPr>
              <w:t>n\a</w:t>
            </w:r>
          </w:p>
        </w:tc>
      </w:tr>
      <w:tr w:rsidR="4F940BA9" w:rsidTr="4F940BA9" w14:paraId="7E806345">
        <w:trPr>
          <w:trHeight w:val="284"/>
        </w:trPr>
        <w:tc>
          <w:tcPr>
            <w:tcW w:w="901" w:type="dxa"/>
            <w:tcMar/>
          </w:tcPr>
          <w:p w:rsidR="473CE90A" w:rsidP="4F940BA9" w:rsidRDefault="473CE90A" w14:paraId="75525B83" w14:textId="7EB01207">
            <w:pPr>
              <w:pStyle w:val="Normal"/>
              <w:jc w:val="center"/>
              <w:rPr>
                <w:rFonts w:cs="Calibri"/>
                <w:sz w:val="20"/>
                <w:szCs w:val="20"/>
                <w:lang w:eastAsia="zh-CN"/>
              </w:rPr>
            </w:pPr>
            <w:r w:rsidRPr="4F940BA9" w:rsidR="473CE90A">
              <w:rPr>
                <w:rFonts w:cs="Calibri"/>
                <w:sz w:val="20"/>
                <w:szCs w:val="20"/>
                <w:lang w:eastAsia="zh-CN"/>
              </w:rPr>
              <w:t>47</w:t>
            </w:r>
          </w:p>
        </w:tc>
        <w:tc>
          <w:tcPr>
            <w:tcW w:w="1979" w:type="dxa"/>
            <w:tcMar/>
          </w:tcPr>
          <w:p w:rsidR="7EA87360" w:rsidP="4F940BA9" w:rsidRDefault="7EA87360" w14:paraId="7E28FCB7" w14:textId="42ACE900">
            <w:pPr>
              <w:spacing w:before="0" w:beforeAutospacing="off" w:after="0" w:afterAutospacing="off"/>
              <w:ind w:left="-20" w:right="-20"/>
              <w:jc w:val="center"/>
            </w:pPr>
            <w:r w:rsidRPr="4F940BA9" w:rsidR="7EA87360">
              <w:rPr>
                <w:rFonts w:ascii="Calibri" w:hAnsi="Calibri" w:eastAsia="Calibri" w:cs="Calibri"/>
                <w:sz w:val="21"/>
                <w:szCs w:val="21"/>
                <w:highlight w:val="yellow"/>
                <w:lang w:val="en-GB"/>
              </w:rPr>
              <w:t xml:space="preserve"> </w:t>
            </w:r>
            <w:r w:rsidRPr="4F940BA9" w:rsidR="4F940BA9">
              <w:rPr>
                <w:rFonts w:ascii="Calibri" w:hAnsi="Calibri" w:eastAsia="Calibri" w:cs="Calibri"/>
                <w:sz w:val="21"/>
                <w:szCs w:val="21"/>
                <w:highlight w:val="yellow"/>
                <w:lang w:val="en-GB"/>
              </w:rPr>
              <w:t xml:space="preserve">Jorge </w:t>
            </w:r>
            <w:r w:rsidRPr="4F940BA9" w:rsidR="4F940BA9">
              <w:rPr>
                <w:rFonts w:ascii="Calibri" w:hAnsi="Calibri" w:eastAsia="Calibri" w:cs="Calibri"/>
                <w:sz w:val="21"/>
                <w:szCs w:val="21"/>
                <w:highlight w:val="yellow"/>
                <w:lang w:val="en-GB"/>
              </w:rPr>
              <w:t>Antunes(</w:t>
            </w:r>
            <w:r w:rsidRPr="4F940BA9" w:rsidR="4F940BA9">
              <w:rPr>
                <w:rFonts w:ascii="Calibri" w:hAnsi="Calibri" w:eastAsia="Calibri" w:cs="Calibri"/>
                <w:sz w:val="21"/>
                <w:szCs w:val="21"/>
                <w:highlight w:val="yellow"/>
                <w:lang w:val="en-GB"/>
              </w:rPr>
              <w:t>2024)</w:t>
            </w:r>
            <w:r w:rsidRPr="4F940BA9" w:rsidR="4F940BA9">
              <w:rPr>
                <w:rFonts w:ascii="Calibri" w:hAnsi="Calibri" w:eastAsia="Calibri" w:cs="Calibri"/>
                <w:sz w:val="21"/>
                <w:szCs w:val="21"/>
                <w:lang w:val="en-GB"/>
              </w:rPr>
              <w:t xml:space="preserve"> </w:t>
            </w:r>
          </w:p>
        </w:tc>
        <w:tc>
          <w:tcPr>
            <w:tcW w:w="2249" w:type="dxa"/>
            <w:tcMar/>
          </w:tcPr>
          <w:p w:rsidR="4F940BA9" w:rsidP="4F940BA9" w:rsidRDefault="4F940BA9" w14:paraId="29D44897" w14:textId="2E938BDE">
            <w:pPr>
              <w:spacing w:before="0" w:beforeAutospacing="off" w:after="0" w:afterAutospacing="off"/>
              <w:ind w:left="-20" w:right="-20"/>
              <w:jc w:val="center"/>
            </w:pPr>
            <w:r w:rsidRPr="4F940BA9" w:rsidR="4F940BA9">
              <w:rPr>
                <w:rFonts w:ascii="Calibri" w:hAnsi="Calibri" w:eastAsia="Calibri" w:cs="Calibri"/>
                <w:sz w:val="22"/>
                <w:szCs w:val="22"/>
                <w:highlight w:val="yellow"/>
                <w:lang w:val="en-GB"/>
              </w:rPr>
              <w:t>using Data Envelopment Analysis (DEA) in the first stage\</w:t>
            </w:r>
          </w:p>
          <w:p w:rsidR="4F940BA9" w:rsidP="4F940BA9" w:rsidRDefault="4F940BA9" w14:paraId="50F39E42" w14:textId="570BAEF2">
            <w:pPr>
              <w:spacing w:before="0" w:beforeAutospacing="off" w:after="0" w:afterAutospacing="off"/>
              <w:ind w:left="-20" w:right="-20"/>
              <w:jc w:val="center"/>
            </w:pPr>
            <w:r w:rsidRPr="4F940BA9" w:rsidR="4F940BA9">
              <w:rPr>
                <w:rFonts w:ascii="Calibri" w:hAnsi="Calibri" w:eastAsia="Calibri" w:cs="Calibri"/>
                <w:sz w:val="22"/>
                <w:szCs w:val="22"/>
                <w:highlight w:val="yellow"/>
                <w:lang w:val="en-GB"/>
              </w:rPr>
              <w:t>utilize neural networks in the second stage</w:t>
            </w:r>
          </w:p>
        </w:tc>
        <w:tc>
          <w:tcPr>
            <w:tcW w:w="2177" w:type="dxa"/>
            <w:tcMar/>
          </w:tcPr>
          <w:p w:rsidR="4F940BA9" w:rsidP="4F940BA9" w:rsidRDefault="4F940BA9" w14:paraId="6366E2A1" w14:textId="14F4CF35">
            <w:pPr>
              <w:spacing w:before="0" w:beforeAutospacing="off" w:after="0" w:afterAutospacing="off"/>
              <w:ind w:left="-20" w:right="-20"/>
            </w:pPr>
            <w:r w:rsidRPr="4F940BA9" w:rsidR="4F940BA9">
              <w:rPr>
                <w:rFonts w:ascii="Calibri" w:hAnsi="Calibri" w:eastAsia="Calibri" w:cs="Calibri"/>
                <w:sz w:val="22"/>
                <w:szCs w:val="22"/>
                <w:highlight w:val="yellow"/>
                <w:lang w:val="en-GB"/>
              </w:rPr>
              <w:t>n\a</w:t>
            </w:r>
          </w:p>
        </w:tc>
        <w:tc>
          <w:tcPr>
            <w:tcW w:w="1689" w:type="dxa"/>
            <w:tcMar/>
          </w:tcPr>
          <w:p w:rsidR="4F940BA9" w:rsidP="4F940BA9" w:rsidRDefault="4F940BA9" w14:paraId="419F7D99" w14:textId="226AA498">
            <w:pPr>
              <w:spacing w:before="0" w:beforeAutospacing="off" w:after="0" w:afterAutospacing="off"/>
              <w:ind w:left="-20" w:right="-20"/>
              <w:jc w:val="center"/>
            </w:pPr>
            <w:r w:rsidRPr="4F940BA9" w:rsidR="4F940BA9">
              <w:rPr>
                <w:rFonts w:ascii="Calibri" w:hAnsi="Calibri" w:eastAsia="Calibri" w:cs="Calibri"/>
                <w:sz w:val="20"/>
                <w:szCs w:val="20"/>
                <w:lang w:val="en-GB"/>
              </w:rPr>
              <w:t>n\a</w:t>
            </w:r>
          </w:p>
        </w:tc>
      </w:tr>
      <w:tr w:rsidR="4F940BA9" w:rsidTr="4F940BA9" w14:paraId="5D69A127">
        <w:trPr>
          <w:trHeight w:val="284"/>
        </w:trPr>
        <w:tc>
          <w:tcPr>
            <w:tcW w:w="901" w:type="dxa"/>
            <w:tcMar/>
          </w:tcPr>
          <w:p w:rsidR="062A52A2" w:rsidP="4F940BA9" w:rsidRDefault="062A52A2" w14:paraId="5FF63E14" w14:textId="5AB02840">
            <w:pPr>
              <w:pStyle w:val="Normal"/>
              <w:jc w:val="center"/>
              <w:rPr>
                <w:rFonts w:cs="Calibri"/>
                <w:sz w:val="20"/>
                <w:szCs w:val="20"/>
                <w:lang w:eastAsia="zh-CN"/>
              </w:rPr>
            </w:pPr>
            <w:r w:rsidRPr="4F940BA9" w:rsidR="062A52A2">
              <w:rPr>
                <w:rFonts w:cs="Calibri"/>
                <w:sz w:val="20"/>
                <w:szCs w:val="20"/>
                <w:lang w:eastAsia="zh-CN"/>
              </w:rPr>
              <w:t>24</w:t>
            </w:r>
          </w:p>
        </w:tc>
        <w:tc>
          <w:tcPr>
            <w:tcW w:w="1979" w:type="dxa"/>
            <w:tcMar/>
          </w:tcPr>
          <w:p w:rsidR="4F940BA9" w:rsidP="4F940BA9" w:rsidRDefault="4F940BA9" w14:paraId="65E4CE28" w14:textId="7E5AED06">
            <w:pPr>
              <w:spacing w:before="0" w:beforeAutospacing="off" w:after="0" w:afterAutospacing="off"/>
              <w:ind w:left="-20" w:right="-20"/>
              <w:jc w:val="center"/>
              <w:rPr>
                <w:rFonts w:ascii="Arial" w:hAnsi="Arial" w:eastAsia="Arial" w:cs="Arial"/>
                <w:color w:val="222222"/>
                <w:sz w:val="20"/>
                <w:szCs w:val="20"/>
                <w:highlight w:val="green"/>
                <w:lang w:val="en-GB"/>
              </w:rPr>
            </w:pPr>
            <w:r w:rsidRPr="4F940BA9" w:rsidR="4F940BA9">
              <w:rPr>
                <w:rFonts w:ascii="Arial" w:hAnsi="Arial" w:eastAsia="Arial" w:cs="Arial"/>
                <w:color w:val="222222"/>
                <w:sz w:val="20"/>
                <w:szCs w:val="20"/>
                <w:highlight w:val="green"/>
                <w:lang w:val="en-GB"/>
              </w:rPr>
              <w:t>Shabani, P. and Akbarpour Shirazi, M., (2023)</w:t>
            </w:r>
            <w:r w:rsidRPr="4F940BA9" w:rsidR="62213FC8">
              <w:rPr>
                <w:rFonts w:ascii="Arial" w:hAnsi="Arial" w:eastAsia="Arial" w:cs="Arial"/>
                <w:color w:val="222222"/>
                <w:sz w:val="20"/>
                <w:szCs w:val="20"/>
                <w:highlight w:val="green"/>
                <w:lang w:val="en-GB"/>
              </w:rPr>
              <w:t xml:space="preserve">. </w:t>
            </w:r>
            <w:r w:rsidRPr="4F940BA9" w:rsidR="62213FC8">
              <w:rPr>
                <w:rFonts w:ascii="Arial" w:hAnsi="Arial" w:eastAsia="Arial" w:cs="Arial"/>
                <w:color w:val="222222"/>
                <w:sz w:val="20"/>
                <w:szCs w:val="20"/>
                <w:highlight w:val="red"/>
                <w:lang w:val="en-GB"/>
              </w:rPr>
              <w:t>(Iran)</w:t>
            </w:r>
            <w:r w:rsidRPr="4F940BA9" w:rsidR="4F940BA9">
              <w:rPr>
                <w:rFonts w:ascii="Arial" w:hAnsi="Arial" w:eastAsia="Arial" w:cs="Arial"/>
                <w:color w:val="222222"/>
                <w:sz w:val="20"/>
                <w:szCs w:val="20"/>
                <w:highlight w:val="green"/>
                <w:lang w:val="en-GB"/>
              </w:rPr>
              <w:t xml:space="preserve"> </w:t>
            </w:r>
          </w:p>
        </w:tc>
        <w:tc>
          <w:tcPr>
            <w:tcW w:w="2249" w:type="dxa"/>
            <w:tcMar/>
          </w:tcPr>
          <w:p w:rsidR="4F940BA9" w:rsidP="4F940BA9" w:rsidRDefault="4F940BA9" w14:paraId="24394610" w14:textId="02C4A49B">
            <w:pPr>
              <w:spacing w:before="0" w:beforeAutospacing="off" w:after="0" w:afterAutospacing="off"/>
              <w:ind w:left="-20" w:right="-20"/>
            </w:pPr>
            <w:r w:rsidRPr="4F940BA9" w:rsidR="4F940BA9">
              <w:rPr>
                <w:rFonts w:ascii="Calibri" w:hAnsi="Calibri" w:eastAsia="Calibri" w:cs="Calibri"/>
                <w:sz w:val="22"/>
                <w:szCs w:val="22"/>
                <w:highlight w:val="green"/>
                <w:lang w:val="en-GB"/>
              </w:rPr>
              <w:t xml:space="preserve">using a dynamic network DEA model\ </w:t>
            </w:r>
          </w:p>
        </w:tc>
        <w:tc>
          <w:tcPr>
            <w:tcW w:w="2177" w:type="dxa"/>
            <w:tcMar/>
          </w:tcPr>
          <w:p w:rsidR="4F940BA9" w:rsidP="4F940BA9" w:rsidRDefault="4F940BA9" w14:paraId="1762ED3A" w14:textId="01B46D53">
            <w:pPr>
              <w:spacing w:before="0" w:beforeAutospacing="off" w:after="0" w:afterAutospacing="off"/>
              <w:ind w:left="-20" w:right="-20"/>
            </w:pPr>
            <w:r w:rsidRPr="4F940BA9" w:rsidR="4F940BA9">
              <w:rPr>
                <w:rFonts w:ascii="Calibri" w:hAnsi="Calibri" w:eastAsia="Calibri" w:cs="Calibri"/>
                <w:sz w:val="22"/>
                <w:szCs w:val="22"/>
                <w:highlight w:val="green"/>
                <w:lang w:val="en-GB"/>
              </w:rPr>
              <w:t>n\a</w:t>
            </w:r>
          </w:p>
        </w:tc>
        <w:tc>
          <w:tcPr>
            <w:tcW w:w="1689" w:type="dxa"/>
            <w:tcMar/>
          </w:tcPr>
          <w:p w:rsidR="4F940BA9" w:rsidP="4F940BA9" w:rsidRDefault="4F940BA9" w14:paraId="639FC74E" w14:textId="2988B0E4">
            <w:pPr>
              <w:spacing w:before="0" w:beforeAutospacing="off" w:after="0" w:afterAutospacing="off"/>
              <w:ind w:left="-20" w:right="-20"/>
              <w:jc w:val="center"/>
            </w:pPr>
            <w:r w:rsidRPr="4F940BA9" w:rsidR="4F940BA9">
              <w:rPr>
                <w:rFonts w:ascii="Calibri" w:hAnsi="Calibri" w:eastAsia="Calibri" w:cs="Calibri"/>
                <w:sz w:val="20"/>
                <w:szCs w:val="20"/>
                <w:highlight w:val="green"/>
                <w:lang w:val="en-GB"/>
              </w:rPr>
              <w:t>n\a</w:t>
            </w:r>
          </w:p>
        </w:tc>
      </w:tr>
      <w:tr w:rsidR="4F940BA9" w:rsidTr="4F940BA9" w14:paraId="32ED6491">
        <w:trPr>
          <w:trHeight w:val="284"/>
        </w:trPr>
        <w:tc>
          <w:tcPr>
            <w:tcW w:w="901" w:type="dxa"/>
            <w:tcMar/>
          </w:tcPr>
          <w:p w:rsidR="08B13172" w:rsidP="4F940BA9" w:rsidRDefault="08B13172" w14:paraId="3DC6CBCB" w14:textId="4DA3482E">
            <w:pPr>
              <w:pStyle w:val="Normal"/>
              <w:jc w:val="center"/>
              <w:rPr>
                <w:rFonts w:cs="Calibri"/>
                <w:sz w:val="20"/>
                <w:szCs w:val="20"/>
                <w:lang w:eastAsia="zh-CN"/>
              </w:rPr>
            </w:pPr>
            <w:r w:rsidRPr="4F940BA9" w:rsidR="08B13172">
              <w:rPr>
                <w:rFonts w:cs="Calibri"/>
                <w:sz w:val="20"/>
                <w:szCs w:val="20"/>
                <w:lang w:eastAsia="zh-CN"/>
              </w:rPr>
              <w:t>49</w:t>
            </w:r>
          </w:p>
        </w:tc>
        <w:tc>
          <w:tcPr>
            <w:tcW w:w="1979" w:type="dxa"/>
            <w:tcMar/>
          </w:tcPr>
          <w:p w:rsidR="4F940BA9" w:rsidP="4F940BA9" w:rsidRDefault="4F940BA9" w14:paraId="20077F80" w14:textId="0E6F914F">
            <w:pPr>
              <w:spacing w:before="0" w:beforeAutospacing="off" w:after="0" w:afterAutospacing="off"/>
              <w:ind w:left="-20" w:right="-20"/>
              <w:jc w:val="center"/>
              <w:rPr>
                <w:rFonts w:ascii="Arial" w:hAnsi="Arial" w:eastAsia="Arial" w:cs="Arial"/>
                <w:color w:val="222222"/>
                <w:sz w:val="20"/>
                <w:szCs w:val="20"/>
                <w:lang w:val="en-GB"/>
              </w:rPr>
            </w:pPr>
            <w:r w:rsidRPr="4F940BA9" w:rsidR="4F940BA9">
              <w:rPr>
                <w:rFonts w:ascii="Arial" w:hAnsi="Arial" w:eastAsia="Arial" w:cs="Arial"/>
                <w:color w:val="222222"/>
                <w:sz w:val="20"/>
                <w:szCs w:val="20"/>
                <w:highlight w:val="green"/>
                <w:lang w:val="en-GB"/>
              </w:rPr>
              <w:t xml:space="preserve">Lin, T.T., Lee, </w:t>
            </w:r>
            <w:r w:rsidRPr="4F940BA9" w:rsidR="4F940BA9">
              <w:rPr>
                <w:rFonts w:ascii="Arial" w:hAnsi="Arial" w:eastAsia="Arial" w:cs="Arial"/>
                <w:color w:val="222222"/>
                <w:sz w:val="20"/>
                <w:szCs w:val="20"/>
                <w:highlight w:val="green"/>
                <w:lang w:val="en-GB"/>
              </w:rPr>
              <w:t>C.C.</w:t>
            </w:r>
            <w:r w:rsidRPr="4F940BA9" w:rsidR="4F940BA9">
              <w:rPr>
                <w:rFonts w:ascii="Arial" w:hAnsi="Arial" w:eastAsia="Arial" w:cs="Arial"/>
                <w:color w:val="222222"/>
                <w:sz w:val="20"/>
                <w:szCs w:val="20"/>
                <w:highlight w:val="green"/>
                <w:lang w:val="en-GB"/>
              </w:rPr>
              <w:t xml:space="preserve"> and Chiu, T.F., (2009)</w:t>
            </w:r>
            <w:r w:rsidRPr="4F940BA9" w:rsidR="4F940BA9">
              <w:rPr>
                <w:rFonts w:ascii="Arial" w:hAnsi="Arial" w:eastAsia="Arial" w:cs="Arial"/>
                <w:color w:val="222222"/>
                <w:sz w:val="20"/>
                <w:szCs w:val="20"/>
                <w:lang w:val="en-GB"/>
              </w:rPr>
              <w:t xml:space="preserve"> </w:t>
            </w:r>
            <w:r w:rsidRPr="4F940BA9" w:rsidR="51127969">
              <w:rPr>
                <w:rFonts w:ascii="Arial" w:hAnsi="Arial" w:eastAsia="Arial" w:cs="Arial"/>
                <w:color w:val="222222"/>
                <w:sz w:val="20"/>
                <w:szCs w:val="20"/>
                <w:highlight w:val="red"/>
                <w:lang w:val="en-GB"/>
              </w:rPr>
              <w:t>(Taiwan)</w:t>
            </w:r>
          </w:p>
        </w:tc>
        <w:tc>
          <w:tcPr>
            <w:tcW w:w="2249" w:type="dxa"/>
            <w:tcMar/>
          </w:tcPr>
          <w:p w:rsidR="4F940BA9" w:rsidP="4F940BA9" w:rsidRDefault="4F940BA9" w14:paraId="20A6A95E" w14:textId="45772B9F">
            <w:pPr>
              <w:spacing w:before="0" w:beforeAutospacing="off" w:after="0" w:afterAutospacing="off"/>
              <w:ind w:left="-20" w:right="-20"/>
            </w:pPr>
            <w:r w:rsidRPr="4F940BA9" w:rsidR="4F940BA9">
              <w:rPr>
                <w:rFonts w:ascii="Calibri" w:hAnsi="Calibri" w:eastAsia="Calibri" w:cs="Calibri"/>
                <w:sz w:val="22"/>
                <w:szCs w:val="22"/>
                <w:highlight w:val="green"/>
                <w:lang w:val="en-GB"/>
              </w:rPr>
              <w:t>BBC model\ CCR model</w:t>
            </w:r>
          </w:p>
        </w:tc>
        <w:tc>
          <w:tcPr>
            <w:tcW w:w="2177" w:type="dxa"/>
            <w:tcMar/>
          </w:tcPr>
          <w:p w:rsidR="4F940BA9" w:rsidP="4F940BA9" w:rsidRDefault="4F940BA9" w14:paraId="3A75085A" w14:textId="45C6D383">
            <w:pPr>
              <w:spacing w:before="0" w:beforeAutospacing="off" w:after="0" w:afterAutospacing="off"/>
              <w:ind w:left="-20" w:right="-20"/>
            </w:pPr>
            <w:r w:rsidRPr="4F940BA9" w:rsidR="4F940BA9">
              <w:rPr>
                <w:rFonts w:ascii="Calibri" w:hAnsi="Calibri" w:eastAsia="Calibri" w:cs="Calibri"/>
                <w:sz w:val="20"/>
                <w:szCs w:val="20"/>
                <w:highlight w:val="green"/>
              </w:rPr>
              <w:t>n\a</w:t>
            </w:r>
          </w:p>
        </w:tc>
        <w:tc>
          <w:tcPr>
            <w:tcW w:w="1689" w:type="dxa"/>
            <w:tcMar/>
          </w:tcPr>
          <w:p w:rsidR="4F940BA9" w:rsidP="4F940BA9" w:rsidRDefault="4F940BA9" w14:paraId="7FDC349B" w14:textId="60719129">
            <w:pPr>
              <w:spacing w:before="0" w:beforeAutospacing="off" w:after="0" w:afterAutospacing="off"/>
              <w:ind w:left="-20" w:right="-20"/>
              <w:jc w:val="center"/>
            </w:pPr>
            <w:r w:rsidRPr="4F940BA9" w:rsidR="4F940BA9">
              <w:rPr>
                <w:rFonts w:ascii="Calibri" w:hAnsi="Calibri" w:eastAsia="Calibri" w:cs="Calibri"/>
                <w:sz w:val="20"/>
                <w:szCs w:val="20"/>
                <w:highlight w:val="green"/>
                <w:lang w:val="en-GB"/>
              </w:rPr>
              <w:t>n\a</w:t>
            </w:r>
          </w:p>
        </w:tc>
      </w:tr>
      <w:tr w:rsidR="4F940BA9" w:rsidTr="4F940BA9" w14:paraId="7C052E19">
        <w:trPr>
          <w:trHeight w:val="284"/>
        </w:trPr>
        <w:tc>
          <w:tcPr>
            <w:tcW w:w="901" w:type="dxa"/>
            <w:tcMar/>
          </w:tcPr>
          <w:p w:rsidR="3929532C" w:rsidP="4F940BA9" w:rsidRDefault="3929532C" w14:paraId="75AE19DC" w14:textId="646AF991">
            <w:pPr>
              <w:pStyle w:val="Normal"/>
              <w:jc w:val="center"/>
              <w:rPr>
                <w:rFonts w:cs="Calibri"/>
                <w:sz w:val="20"/>
                <w:szCs w:val="20"/>
                <w:lang w:eastAsia="zh-CN"/>
              </w:rPr>
            </w:pPr>
            <w:r w:rsidRPr="4F940BA9" w:rsidR="3929532C">
              <w:rPr>
                <w:rFonts w:cs="Calibri"/>
                <w:sz w:val="20"/>
                <w:szCs w:val="20"/>
                <w:lang w:eastAsia="zh-CN"/>
              </w:rPr>
              <w:t>50</w:t>
            </w:r>
          </w:p>
        </w:tc>
        <w:tc>
          <w:tcPr>
            <w:tcW w:w="1979" w:type="dxa"/>
            <w:tcMar/>
          </w:tcPr>
          <w:p w:rsidR="4F940BA9" w:rsidP="4F940BA9" w:rsidRDefault="4F940BA9" w14:paraId="506B3F5D" w14:textId="7952F5FE">
            <w:pPr>
              <w:spacing w:before="0" w:beforeAutospacing="off" w:after="0" w:afterAutospacing="off"/>
              <w:ind w:left="-20" w:right="-20"/>
              <w:jc w:val="center"/>
            </w:pPr>
            <w:r w:rsidRPr="4F940BA9" w:rsidR="4F940BA9">
              <w:rPr>
                <w:rFonts w:ascii="Calibri" w:hAnsi="Calibri" w:eastAsia="Calibri" w:cs="Calibri"/>
                <w:sz w:val="22"/>
                <w:szCs w:val="22"/>
                <w:highlight w:val="yellow"/>
                <w:lang w:val="en-GB"/>
              </w:rPr>
              <w:t xml:space="preserve">Iago Cotrim </w:t>
            </w:r>
            <w:r w:rsidRPr="4F940BA9" w:rsidR="4F940BA9">
              <w:rPr>
                <w:rFonts w:ascii="Calibri" w:hAnsi="Calibri" w:eastAsia="Calibri" w:cs="Calibri"/>
                <w:sz w:val="22"/>
                <w:szCs w:val="22"/>
                <w:highlight w:val="yellow"/>
                <w:lang w:val="en-GB"/>
              </w:rPr>
              <w:t>Henriques(</w:t>
            </w:r>
            <w:r w:rsidRPr="4F940BA9" w:rsidR="4F940BA9">
              <w:rPr>
                <w:rFonts w:ascii="Calibri" w:hAnsi="Calibri" w:eastAsia="Calibri" w:cs="Calibri"/>
                <w:sz w:val="22"/>
                <w:szCs w:val="22"/>
                <w:highlight w:val="yellow"/>
                <w:lang w:val="en-GB"/>
              </w:rPr>
              <w:t>2020)</w:t>
            </w:r>
            <w:r w:rsidRPr="4F940BA9" w:rsidR="4F940BA9">
              <w:rPr>
                <w:rFonts w:ascii="Calibri" w:hAnsi="Calibri" w:eastAsia="Calibri" w:cs="Calibri"/>
                <w:sz w:val="22"/>
                <w:szCs w:val="22"/>
                <w:lang w:val="en-GB"/>
              </w:rPr>
              <w:t xml:space="preserve"> </w:t>
            </w:r>
          </w:p>
        </w:tc>
        <w:tc>
          <w:tcPr>
            <w:tcW w:w="2249" w:type="dxa"/>
            <w:tcMar/>
          </w:tcPr>
          <w:p w:rsidR="4F940BA9" w:rsidP="4F940BA9" w:rsidRDefault="4F940BA9" w14:paraId="51A329BF" w14:textId="29FFEEDB">
            <w:pPr>
              <w:spacing w:before="0" w:beforeAutospacing="off" w:after="0" w:afterAutospacing="off"/>
              <w:ind w:left="-20" w:right="-20"/>
              <w:jc w:val="center"/>
            </w:pPr>
            <w:r w:rsidRPr="4F940BA9" w:rsidR="4F940BA9">
              <w:rPr>
                <w:rFonts w:ascii="Calibri" w:hAnsi="Calibri" w:eastAsia="Calibri" w:cs="Calibri"/>
                <w:sz w:val="22"/>
                <w:szCs w:val="22"/>
                <w:highlight w:val="yellow"/>
                <w:lang w:val="en-GB"/>
              </w:rPr>
              <w:t>(ask) the paper is review of literature</w:t>
            </w:r>
          </w:p>
        </w:tc>
        <w:tc>
          <w:tcPr>
            <w:tcW w:w="2177" w:type="dxa"/>
            <w:tcMar/>
          </w:tcPr>
          <w:p w:rsidR="4F940BA9" w:rsidP="4F940BA9" w:rsidRDefault="4F940BA9" w14:paraId="4501CC17" w14:textId="69B8E847">
            <w:pPr>
              <w:spacing w:before="0" w:beforeAutospacing="off" w:after="0" w:afterAutospacing="off"/>
              <w:ind w:left="-20" w:right="-20"/>
            </w:pPr>
            <w:r w:rsidRPr="4F940BA9" w:rsidR="4F940BA9">
              <w:rPr>
                <w:rFonts w:ascii="Calibri" w:hAnsi="Calibri" w:eastAsia="Calibri" w:cs="Calibri"/>
                <w:sz w:val="22"/>
                <w:szCs w:val="22"/>
                <w:highlight w:val="yellow"/>
                <w:lang w:val="en-GB"/>
              </w:rPr>
              <w:t>(ask) the paper is review of literature</w:t>
            </w:r>
          </w:p>
        </w:tc>
        <w:tc>
          <w:tcPr>
            <w:tcW w:w="1689" w:type="dxa"/>
            <w:tcMar/>
          </w:tcPr>
          <w:p w:rsidR="4F940BA9" w:rsidP="4F940BA9" w:rsidRDefault="4F940BA9" w14:paraId="692C70DD" w14:textId="50F447CC">
            <w:pPr>
              <w:spacing w:before="0" w:beforeAutospacing="off" w:after="0" w:afterAutospacing="off"/>
              <w:ind w:left="-20" w:right="-20"/>
              <w:jc w:val="center"/>
              <w:rPr>
                <w:rFonts w:ascii="Calibri" w:hAnsi="Calibri" w:eastAsia="Calibri" w:cs="Calibri"/>
                <w:sz w:val="22"/>
                <w:szCs w:val="22"/>
                <w:lang w:val="en-GB"/>
              </w:rPr>
            </w:pPr>
            <w:r w:rsidRPr="4F940BA9" w:rsidR="4F940BA9">
              <w:rPr>
                <w:rFonts w:ascii="Calibri" w:hAnsi="Calibri" w:eastAsia="Calibri" w:cs="Calibri"/>
                <w:sz w:val="22"/>
                <w:szCs w:val="22"/>
                <w:highlight w:val="yellow"/>
                <w:lang w:val="en-GB"/>
              </w:rPr>
              <w:t>(ask) the paper is review of literature</w:t>
            </w:r>
          </w:p>
        </w:tc>
      </w:tr>
    </w:tbl>
    <w:p w:rsidR="4F940BA9" w:rsidRDefault="4F940BA9" w14:paraId="411D7A96" w14:textId="36A32FF6"/>
    <w:p w:rsidR="002101FF" w:rsidP="002101FF" w:rsidRDefault="002101FF" w14:paraId="6B9B31DF" w14:textId="77777777">
      <w:pPr>
        <w:pStyle w:val="ListParagraph"/>
        <w:ind w:left="360"/>
        <w:jc w:val="both"/>
        <w:rPr>
          <w:rFonts w:ascii="Times New Roman" w:hAnsi="Times New Roman" w:cs="Times New Roman"/>
          <w:sz w:val="24"/>
          <w:szCs w:val="24"/>
        </w:rPr>
      </w:pPr>
    </w:p>
    <w:p w:rsidRPr="009A6DB0" w:rsidR="009A6DB0" w:rsidP="009A6DB0" w:rsidRDefault="009A6DB0" w14:paraId="5D446F8F" w14:textId="4C10780D">
      <w:pPr>
        <w:pStyle w:val="ListParagraph"/>
        <w:spacing w:after="0" w:line="240" w:lineRule="auto"/>
        <w:ind w:left="360"/>
        <w:jc w:val="both"/>
        <w:rPr>
          <w:rFonts w:ascii="Calibri" w:hAnsi="Calibri" w:eastAsia="Calibri" w:cs="Calibri"/>
          <w:sz w:val="20"/>
          <w:szCs w:val="20"/>
        </w:rPr>
      </w:pPr>
      <w:r w:rsidRPr="009A6DB0">
        <w:rPr>
          <w:rFonts w:ascii="Calibri" w:hAnsi="Calibri" w:eastAsia="Calibri" w:cs="Calibri"/>
          <w:sz w:val="20"/>
          <w:szCs w:val="20"/>
        </w:rPr>
        <w:t xml:space="preserve">In this study, we focus on the DEA method. Although there </w:t>
      </w:r>
      <w:r w:rsidR="005E5EE7">
        <w:rPr>
          <w:rFonts w:ascii="Calibri" w:hAnsi="Calibri" w:eastAsia="Calibri" w:cs="Calibri"/>
          <w:sz w:val="20"/>
          <w:szCs w:val="20"/>
        </w:rPr>
        <w:t>is</w:t>
      </w:r>
      <w:r w:rsidRPr="009A6DB0">
        <w:rPr>
          <w:rFonts w:ascii="Calibri" w:hAnsi="Calibri" w:eastAsia="Calibri" w:cs="Calibri"/>
          <w:sz w:val="20"/>
          <w:szCs w:val="20"/>
        </w:rPr>
        <w:t xml:space="preserve"> </w:t>
      </w:r>
      <w:r w:rsidR="005E5EE7">
        <w:rPr>
          <w:rFonts w:ascii="Calibri" w:hAnsi="Calibri" w:eastAsia="Calibri" w:cs="Calibri"/>
          <w:sz w:val="20"/>
          <w:szCs w:val="20"/>
        </w:rPr>
        <w:t>another</w:t>
      </w:r>
      <w:r w:rsidRPr="009A6DB0">
        <w:rPr>
          <w:rFonts w:ascii="Calibri" w:hAnsi="Calibri" w:eastAsia="Calibri" w:cs="Calibri"/>
          <w:sz w:val="20"/>
          <w:szCs w:val="20"/>
        </w:rPr>
        <w:t xml:space="preserve"> method commonly used to evaluate the relative efficiency of various banks, </w:t>
      </w:r>
      <w:r w:rsidR="008D7698">
        <w:rPr>
          <w:rFonts w:ascii="Calibri" w:hAnsi="Calibri" w:eastAsia="Calibri" w:cs="Calibri"/>
          <w:sz w:val="20"/>
          <w:szCs w:val="20"/>
        </w:rPr>
        <w:t>that is</w:t>
      </w:r>
      <w:r w:rsidRPr="009A6DB0">
        <w:rPr>
          <w:rFonts w:ascii="Calibri" w:hAnsi="Calibri" w:eastAsia="Calibri" w:cs="Calibri"/>
          <w:sz w:val="20"/>
          <w:szCs w:val="20"/>
        </w:rPr>
        <w:t xml:space="preserve"> </w:t>
      </w:r>
      <w:r w:rsidR="002651B2">
        <w:rPr>
          <w:rFonts w:ascii="Calibri" w:hAnsi="Calibri" w:eastAsia="Calibri" w:cs="Calibri"/>
          <w:sz w:val="20"/>
          <w:szCs w:val="20"/>
        </w:rPr>
        <w:t xml:space="preserve">stochastic frontier analysis </w:t>
      </w:r>
      <w:r w:rsidR="008D7698">
        <w:rPr>
          <w:rFonts w:ascii="Calibri" w:hAnsi="Calibri" w:eastAsia="Calibri" w:cs="Calibri"/>
          <w:sz w:val="20"/>
          <w:szCs w:val="20"/>
        </w:rPr>
        <w:t>(</w:t>
      </w:r>
      <w:r w:rsidRPr="009A6DB0">
        <w:rPr>
          <w:rFonts w:ascii="Calibri" w:hAnsi="Calibri" w:eastAsia="Calibri" w:cs="Calibri"/>
          <w:sz w:val="20"/>
          <w:szCs w:val="20"/>
        </w:rPr>
        <w:t>SFA</w:t>
      </w:r>
      <w:r w:rsidR="008D7698">
        <w:rPr>
          <w:rFonts w:ascii="Calibri" w:hAnsi="Calibri" w:eastAsia="Calibri" w:cs="Calibri"/>
          <w:sz w:val="20"/>
          <w:szCs w:val="20"/>
        </w:rPr>
        <w:t>)</w:t>
      </w:r>
      <w:r w:rsidR="00AA5837">
        <w:rPr>
          <w:rFonts w:ascii="Calibri" w:hAnsi="Calibri" w:eastAsia="Calibri" w:cs="Calibri"/>
          <w:sz w:val="20"/>
          <w:szCs w:val="20"/>
        </w:rPr>
        <w:t xml:space="preserve"> which is a parametric </w:t>
      </w:r>
      <w:r w:rsidR="00236108">
        <w:rPr>
          <w:rFonts w:ascii="Calibri" w:hAnsi="Calibri" w:eastAsia="Calibri" w:cs="Calibri"/>
          <w:sz w:val="20"/>
          <w:szCs w:val="20"/>
        </w:rPr>
        <w:t>approach</w:t>
      </w:r>
      <w:r w:rsidRPr="009A6DB0">
        <w:rPr>
          <w:rFonts w:ascii="Calibri" w:hAnsi="Calibri" w:eastAsia="Calibri" w:cs="Calibri"/>
          <w:sz w:val="20"/>
          <w:szCs w:val="20"/>
        </w:rPr>
        <w:t>. Analysis using the DEA method can be conducted in various stages as mentioned by Iddouch, El Badraoui, and Ouenniche (2023), namely single-stage DEA analysis, two-stage DEA analysis, and three-stage DEA analysis. Single-stage analysis aims to derive efficiency profile estimates from the DMUs measured using a specific DEA model. These efficiency estimates can include overall technical efficiency, pure technical efficiency, scale efficiency, cost efficiency, revenue efficiency, profit efficiency, and allocative efficiency. Two-stage analysis is performed to analyze the determinants or drivers of efficiency using various regression methods such as pooled or panel regression, Tobit regression, and Seemingly Unrelated Regression. Then, three-stage analysis aims to ensure fair benchmarking in the presence of non-homogeneous operating environments by purging environmental bias from the variables used in the model.</w:t>
      </w:r>
    </w:p>
    <w:p w:rsidRPr="009A6DB0" w:rsidR="009A6DB0" w:rsidP="009A6DB0" w:rsidRDefault="009A6DB0" w14:paraId="2578BBE9" w14:textId="77777777">
      <w:pPr>
        <w:pStyle w:val="ListParagraph"/>
        <w:spacing w:after="0" w:line="240" w:lineRule="auto"/>
        <w:ind w:left="360"/>
        <w:jc w:val="both"/>
        <w:rPr>
          <w:rFonts w:ascii="Calibri" w:hAnsi="Calibri" w:eastAsia="Calibri" w:cs="Calibri"/>
          <w:sz w:val="20"/>
          <w:szCs w:val="20"/>
        </w:rPr>
      </w:pPr>
    </w:p>
    <w:p w:rsidRPr="009A6DB0" w:rsidR="009A6DB0" w:rsidP="009A6DB0" w:rsidRDefault="009A6DB0" w14:paraId="23CD8FE5" w14:textId="77777777">
      <w:pPr>
        <w:pStyle w:val="ListParagraph"/>
        <w:spacing w:after="0" w:line="240" w:lineRule="auto"/>
        <w:ind w:left="360"/>
        <w:jc w:val="both"/>
        <w:rPr>
          <w:rFonts w:ascii="Calibri" w:hAnsi="Calibri" w:eastAsia="Calibri" w:cs="Calibri"/>
          <w:sz w:val="20"/>
          <w:szCs w:val="20"/>
        </w:rPr>
      </w:pPr>
      <w:r w:rsidRPr="009A6DB0">
        <w:rPr>
          <w:rFonts w:ascii="Calibri" w:hAnsi="Calibri" w:eastAsia="Calibri" w:cs="Calibri"/>
          <w:sz w:val="20"/>
          <w:szCs w:val="20"/>
        </w:rPr>
        <w:t xml:space="preserve">It was found that the majority of studies, </w:t>
      </w:r>
      <w:r w:rsidRPr="001D78CE">
        <w:rPr>
          <w:rFonts w:ascii="Calibri" w:hAnsi="Calibri" w:eastAsia="Calibri" w:cs="Calibri"/>
          <w:sz w:val="20"/>
          <w:szCs w:val="20"/>
          <w:highlight w:val="cyan"/>
        </w:rPr>
        <w:t>xx</w:t>
      </w:r>
      <w:r w:rsidRPr="009A6DB0">
        <w:rPr>
          <w:rFonts w:ascii="Calibri" w:hAnsi="Calibri" w:eastAsia="Calibri" w:cs="Calibri"/>
          <w:sz w:val="20"/>
          <w:szCs w:val="20"/>
        </w:rPr>
        <w:t xml:space="preserve">%, used single-stage DEA analysis, including studies conducted by Dong et al. (2014), Matthews (2013), Asmild and Matthews (2012), and Yu et al. (2019). Then, another portion, </w:t>
      </w:r>
      <w:r w:rsidRPr="001D78CE">
        <w:rPr>
          <w:rFonts w:ascii="Calibri" w:hAnsi="Calibri" w:eastAsia="Calibri" w:cs="Calibri"/>
          <w:sz w:val="20"/>
          <w:szCs w:val="20"/>
          <w:highlight w:val="cyan"/>
        </w:rPr>
        <w:t>xx</w:t>
      </w:r>
      <w:r w:rsidRPr="009A6DB0">
        <w:rPr>
          <w:rFonts w:ascii="Calibri" w:hAnsi="Calibri" w:eastAsia="Calibri" w:cs="Calibri"/>
          <w:sz w:val="20"/>
          <w:szCs w:val="20"/>
        </w:rPr>
        <w:t xml:space="preserve">%, used two-stage DEA analysis such as those conducted by Xie et al. (2022), Mohamed Ariff and Luc Can (2008), Fukuyama and Tan (2022), and Wu et al. (2023). It can also be concluded that the Tobit Regression method is more popular in determining drivers of efficiency. This may be due to </w:t>
      </w:r>
      <w:r w:rsidRPr="001D78CE">
        <w:rPr>
          <w:rFonts w:ascii="Calibri" w:hAnsi="Calibri" w:eastAsia="Calibri" w:cs="Calibri"/>
          <w:sz w:val="20"/>
          <w:szCs w:val="20"/>
          <w:highlight w:val="cyan"/>
        </w:rPr>
        <w:t>xxx</w:t>
      </w:r>
      <w:r w:rsidRPr="009A6DB0">
        <w:rPr>
          <w:rFonts w:ascii="Calibri" w:hAnsi="Calibri" w:eastAsia="Calibri" w:cs="Calibri"/>
          <w:sz w:val="20"/>
          <w:szCs w:val="20"/>
        </w:rPr>
        <w:t xml:space="preserve"> (</w:t>
      </w:r>
      <w:r w:rsidRPr="001D78CE">
        <w:rPr>
          <w:rFonts w:ascii="Calibri" w:hAnsi="Calibri" w:eastAsia="Calibri" w:cs="Calibri"/>
          <w:sz w:val="20"/>
          <w:szCs w:val="20"/>
          <w:highlight w:val="cyan"/>
        </w:rPr>
        <w:t>source</w:t>
      </w:r>
      <w:r w:rsidRPr="009A6DB0">
        <w:rPr>
          <w:rFonts w:ascii="Calibri" w:hAnsi="Calibri" w:eastAsia="Calibri" w:cs="Calibri"/>
          <w:sz w:val="20"/>
          <w:szCs w:val="20"/>
        </w:rPr>
        <w:t>). From the many papers reviewed in this study, we did not find any research that used three-stage analysis.</w:t>
      </w:r>
    </w:p>
    <w:p w:rsidRPr="009A6DB0" w:rsidR="009A6DB0" w:rsidP="009A6DB0" w:rsidRDefault="009A6DB0" w14:paraId="20160B27" w14:textId="77777777">
      <w:pPr>
        <w:pStyle w:val="ListParagraph"/>
        <w:spacing w:after="0" w:line="240" w:lineRule="auto"/>
        <w:ind w:left="360"/>
        <w:jc w:val="both"/>
        <w:rPr>
          <w:rFonts w:ascii="Calibri" w:hAnsi="Calibri" w:eastAsia="Calibri" w:cs="Calibri"/>
          <w:sz w:val="20"/>
          <w:szCs w:val="20"/>
        </w:rPr>
      </w:pPr>
    </w:p>
    <w:p w:rsidRPr="009A6DB0" w:rsidR="00A56AB5" w:rsidP="009A6DB0" w:rsidRDefault="009A6DB0" w14:paraId="2FC784FC" w14:textId="7884CD45">
      <w:pPr>
        <w:pStyle w:val="ListParagraph"/>
        <w:spacing w:after="0" w:line="240" w:lineRule="auto"/>
        <w:ind w:left="360"/>
        <w:jc w:val="both"/>
        <w:rPr>
          <w:rFonts w:ascii="Calibri" w:hAnsi="Calibri" w:eastAsia="Calibri" w:cs="Calibri"/>
          <w:sz w:val="20"/>
          <w:szCs w:val="20"/>
        </w:rPr>
      </w:pPr>
      <w:r w:rsidRPr="009A6DB0">
        <w:rPr>
          <w:rFonts w:ascii="Calibri" w:hAnsi="Calibri" w:eastAsia="Calibri" w:cs="Calibri"/>
          <w:sz w:val="20"/>
          <w:szCs w:val="20"/>
        </w:rPr>
        <w:t xml:space="preserve">In </w:t>
      </w:r>
      <w:r w:rsidR="001C4F47">
        <w:rPr>
          <w:rFonts w:ascii="Calibri" w:hAnsi="Calibri" w:eastAsia="Calibri" w:cs="Calibri"/>
          <w:sz w:val="20"/>
          <w:szCs w:val="20"/>
        </w:rPr>
        <w:t xml:space="preserve">terms of </w:t>
      </w:r>
      <w:r w:rsidR="00222F02">
        <w:rPr>
          <w:rFonts w:ascii="Calibri" w:hAnsi="Calibri" w:eastAsia="Calibri" w:cs="Calibri"/>
          <w:sz w:val="20"/>
          <w:szCs w:val="20"/>
        </w:rPr>
        <w:t>the model types</w:t>
      </w:r>
      <w:r w:rsidRPr="009A6DB0">
        <w:rPr>
          <w:rFonts w:ascii="Calibri" w:hAnsi="Calibri" w:eastAsia="Calibri" w:cs="Calibri"/>
          <w:sz w:val="20"/>
          <w:szCs w:val="20"/>
        </w:rPr>
        <w:t>, DEA can be grouped into static black box models, dynamic black box models, static network models, and dynamic network models. Most authors use static black box models such as CCR and BCC models. There are also many who use static network models such as those done by Matthews (2013), Fukuyama and Tan (2022), and Wu et al. (2023). This may be due to the fact that banks operate in multiple stages</w:t>
      </w:r>
      <w:r w:rsidR="00880F21">
        <w:rPr>
          <w:rFonts w:ascii="Calibri" w:hAnsi="Calibri" w:eastAsia="Calibri" w:cs="Calibri"/>
          <w:sz w:val="20"/>
          <w:szCs w:val="20"/>
        </w:rPr>
        <w:t>, i.e.</w:t>
      </w:r>
      <w:r w:rsidR="00865556">
        <w:rPr>
          <w:rFonts w:ascii="Calibri" w:hAnsi="Calibri" w:eastAsia="Calibri" w:cs="Calibri"/>
          <w:sz w:val="20"/>
          <w:szCs w:val="20"/>
        </w:rPr>
        <w:t xml:space="preserve"> </w:t>
      </w:r>
      <w:r w:rsidRPr="001D78CE" w:rsidR="00865556">
        <w:rPr>
          <w:rFonts w:ascii="Calibri" w:hAnsi="Calibri" w:eastAsia="Calibri" w:cs="Calibri"/>
          <w:sz w:val="20"/>
          <w:szCs w:val="20"/>
          <w:highlight w:val="cyan"/>
        </w:rPr>
        <w:t>xxx</w:t>
      </w:r>
      <w:r w:rsidRPr="009A6DB0">
        <w:rPr>
          <w:rFonts w:ascii="Calibri" w:hAnsi="Calibri" w:eastAsia="Calibri" w:cs="Calibri"/>
          <w:sz w:val="20"/>
          <w:szCs w:val="20"/>
        </w:rPr>
        <w:t xml:space="preserve">. There are </w:t>
      </w:r>
      <w:r w:rsidRPr="001D78CE">
        <w:rPr>
          <w:rFonts w:ascii="Calibri" w:hAnsi="Calibri" w:eastAsia="Calibri" w:cs="Calibri"/>
          <w:sz w:val="20"/>
          <w:szCs w:val="20"/>
          <w:highlight w:val="cyan"/>
        </w:rPr>
        <w:t>x</w:t>
      </w:r>
      <w:r w:rsidRPr="009A6DB0">
        <w:rPr>
          <w:rFonts w:ascii="Calibri" w:hAnsi="Calibri" w:eastAsia="Calibri" w:cs="Calibri"/>
          <w:sz w:val="20"/>
          <w:szCs w:val="20"/>
        </w:rPr>
        <w:t xml:space="preserve"> studies that use dynamic network models such as those done by Zhou (2019), which calculate efficiency estimates over multiple periods and consider carryovers from year to year.</w:t>
      </w:r>
    </w:p>
    <w:p w:rsidR="00A56AB5" w:rsidP="002101FF" w:rsidRDefault="00A56AB5" w14:paraId="47DF6311" w14:textId="77777777">
      <w:pPr>
        <w:pStyle w:val="ListParagraph"/>
        <w:spacing w:after="0" w:line="240" w:lineRule="auto"/>
        <w:ind w:left="360"/>
        <w:jc w:val="both"/>
        <w:rPr>
          <w:rFonts w:ascii="Calibri" w:hAnsi="Calibri" w:eastAsia="Calibri" w:cs="Calibri"/>
          <w:b/>
          <w:bCs/>
          <w:sz w:val="20"/>
          <w:szCs w:val="20"/>
        </w:rPr>
      </w:pPr>
    </w:p>
    <w:p w:rsidRPr="00CE5391" w:rsidR="002101FF" w:rsidP="002101FF" w:rsidRDefault="002101FF" w14:paraId="3BD531D9" w14:textId="0FF47209">
      <w:pPr>
        <w:pStyle w:val="ListParagraph"/>
        <w:spacing w:after="0" w:line="240" w:lineRule="auto"/>
        <w:ind w:left="360"/>
        <w:jc w:val="both"/>
        <w:rPr>
          <w:rFonts w:ascii="Calibri" w:hAnsi="Calibri" w:eastAsia="Calibri" w:cs="Calibri"/>
          <w:sz w:val="20"/>
          <w:szCs w:val="20"/>
        </w:rPr>
      </w:pPr>
      <w:r w:rsidRPr="00CE5391">
        <w:rPr>
          <w:rFonts w:ascii="Calibri" w:hAnsi="Calibri" w:eastAsia="Calibri" w:cs="Calibri"/>
          <w:b/>
          <w:bCs/>
          <w:sz w:val="20"/>
          <w:szCs w:val="20"/>
        </w:rPr>
        <w:t>Table 4:</w:t>
      </w:r>
      <w:r w:rsidRPr="00CE5391">
        <w:rPr>
          <w:rFonts w:ascii="Calibri" w:hAnsi="Calibri" w:eastAsia="Calibri" w:cs="Calibri"/>
          <w:sz w:val="20"/>
          <w:szCs w:val="20"/>
        </w:rPr>
        <w:t xml:space="preserve"> </w:t>
      </w:r>
      <w:r w:rsidRPr="00CE5391">
        <w:rPr>
          <w:rFonts w:ascii="Calibri" w:hAnsi="Calibri" w:eastAsia="Calibri" w:cs="Calibri"/>
          <w:sz w:val="20"/>
          <w:szCs w:val="20"/>
          <w:u w:val="single"/>
        </w:rPr>
        <w:t>Summary of Inputs &amp; Outputs and their measures used in assessing the efficiency of DMUs and the perspective, also referred to as approach, from which the analysis is performed</w:t>
      </w:r>
      <w:r w:rsidRPr="00CE5391">
        <w:rPr>
          <w:rFonts w:ascii="Calibri" w:hAnsi="Calibri" w:eastAsia="Calibri" w:cs="Calibri"/>
          <w:sz w:val="20"/>
          <w:szCs w:val="20"/>
        </w:rPr>
        <w:t xml:space="preserve"> – we shall refer to this perspective as the assessment perspective; the assessment perspective shapes the choice of inputs and outputs (guidelines: analyse this table by perspective and for each perspective classify inputs and outputs in meaningful categories and discuss them in the main text)</w:t>
      </w:r>
    </w:p>
    <w:tbl>
      <w:tblPr>
        <w:tblStyle w:val="TableGrid"/>
        <w:tblW w:w="4810" w:type="pct"/>
        <w:tblInd w:w="355" w:type="dxa"/>
        <w:tblLook w:val="04A0" w:firstRow="1" w:lastRow="0" w:firstColumn="1" w:lastColumn="0" w:noHBand="0" w:noVBand="1"/>
      </w:tblPr>
      <w:tblGrid>
        <w:gridCol w:w="1274"/>
        <w:gridCol w:w="1287"/>
        <w:gridCol w:w="2146"/>
        <w:gridCol w:w="2146"/>
        <w:gridCol w:w="2142"/>
      </w:tblGrid>
      <w:tr w:rsidRPr="00CE5391" w:rsidR="00331E11" w:rsidTr="4F940BA9" w14:paraId="6345AF65" w14:textId="77777777">
        <w:trPr>
          <w:trHeight w:val="284"/>
        </w:trPr>
        <w:tc>
          <w:tcPr>
            <w:tcW w:w="710" w:type="pct"/>
            <w:tcMar/>
          </w:tcPr>
          <w:p w:rsidRPr="00CE5391" w:rsidR="00331E11" w:rsidP="00BD1418" w:rsidRDefault="00331E11" w14:paraId="41C69A5F" w14:textId="4146F331">
            <w:pPr>
              <w:jc w:val="center"/>
              <w:rPr>
                <w:rFonts w:hint="eastAsia" w:cs="Calibri"/>
                <w:b/>
                <w:bCs/>
                <w:sz w:val="20"/>
                <w:szCs w:val="20"/>
              </w:rPr>
            </w:pPr>
            <w:r>
              <w:rPr>
                <w:rFonts w:cs="Calibri"/>
                <w:b/>
                <w:bCs/>
                <w:sz w:val="20"/>
                <w:szCs w:val="20"/>
              </w:rPr>
              <w:t>Paper #</w:t>
            </w:r>
          </w:p>
        </w:tc>
        <w:tc>
          <w:tcPr>
            <w:tcW w:w="710" w:type="pct"/>
            <w:tcMar/>
          </w:tcPr>
          <w:p w:rsidRPr="00CE5391" w:rsidR="00331E11" w:rsidP="00BD1418" w:rsidRDefault="00331E11" w14:paraId="7CE612CB" w14:textId="15FDB99E">
            <w:pPr>
              <w:jc w:val="center"/>
              <w:rPr>
                <w:rFonts w:hint="eastAsia" w:cs="Calibri"/>
                <w:b/>
                <w:bCs/>
                <w:sz w:val="20"/>
                <w:szCs w:val="20"/>
              </w:rPr>
            </w:pPr>
            <w:r w:rsidRPr="00CE5391">
              <w:rPr>
                <w:rFonts w:cs="Calibri"/>
                <w:b/>
                <w:bCs/>
                <w:sz w:val="20"/>
                <w:szCs w:val="20"/>
              </w:rPr>
              <w:t>Reference</w:t>
            </w:r>
          </w:p>
        </w:tc>
        <w:tc>
          <w:tcPr>
            <w:tcW w:w="1194" w:type="pct"/>
            <w:tcMar/>
          </w:tcPr>
          <w:p w:rsidRPr="00CE5391" w:rsidR="00331E11" w:rsidP="00BD1418" w:rsidRDefault="00331E11" w14:paraId="216BE218" w14:textId="77777777">
            <w:pPr>
              <w:jc w:val="center"/>
              <w:rPr>
                <w:rFonts w:hint="eastAsia" w:cs="Calibri"/>
                <w:b/>
                <w:bCs/>
                <w:sz w:val="20"/>
                <w:szCs w:val="20"/>
              </w:rPr>
            </w:pPr>
            <w:r w:rsidRPr="00CE5391">
              <w:rPr>
                <w:rFonts w:cs="Calibri"/>
                <w:b/>
                <w:bCs/>
                <w:sz w:val="20"/>
                <w:szCs w:val="20"/>
              </w:rPr>
              <w:t>Assessment Perspective</w:t>
            </w:r>
          </w:p>
        </w:tc>
        <w:tc>
          <w:tcPr>
            <w:tcW w:w="1194" w:type="pct"/>
            <w:tcMar/>
          </w:tcPr>
          <w:p w:rsidRPr="00CE5391" w:rsidR="00331E11" w:rsidP="00BD1418" w:rsidRDefault="00331E11" w14:paraId="42CD7F5F" w14:textId="77777777">
            <w:pPr>
              <w:jc w:val="center"/>
              <w:rPr>
                <w:rFonts w:hint="eastAsia" w:cs="Calibri"/>
                <w:b/>
                <w:bCs/>
                <w:sz w:val="20"/>
                <w:szCs w:val="20"/>
              </w:rPr>
            </w:pPr>
            <w:r w:rsidRPr="00CE5391">
              <w:rPr>
                <w:rFonts w:cs="Calibri"/>
                <w:b/>
                <w:bCs/>
                <w:sz w:val="20"/>
                <w:szCs w:val="20"/>
              </w:rPr>
              <w:t>Inputs</w:t>
            </w:r>
          </w:p>
        </w:tc>
        <w:tc>
          <w:tcPr>
            <w:tcW w:w="1192" w:type="pct"/>
            <w:tcMar/>
          </w:tcPr>
          <w:p w:rsidRPr="00CE5391" w:rsidR="00331E11" w:rsidP="00BD1418" w:rsidRDefault="00331E11" w14:paraId="609C3261" w14:textId="77777777">
            <w:pPr>
              <w:jc w:val="center"/>
              <w:rPr>
                <w:rFonts w:hint="eastAsia" w:cs="Calibri"/>
                <w:b/>
                <w:bCs/>
                <w:sz w:val="20"/>
                <w:szCs w:val="20"/>
              </w:rPr>
            </w:pPr>
            <w:r w:rsidRPr="00CE5391">
              <w:rPr>
                <w:rFonts w:cs="Calibri"/>
                <w:b/>
                <w:bCs/>
                <w:sz w:val="20"/>
                <w:szCs w:val="20"/>
              </w:rPr>
              <w:t>Outputs</w:t>
            </w:r>
          </w:p>
        </w:tc>
      </w:tr>
      <w:tr w:rsidR="2B7FFB25" w:rsidTr="4F940BA9" w14:paraId="47270C90" w14:textId="77777777">
        <w:trPr>
          <w:trHeight w:val="284"/>
        </w:trPr>
        <w:tc>
          <w:tcPr>
            <w:tcW w:w="1278" w:type="dxa"/>
            <w:tcMar/>
          </w:tcPr>
          <w:p w:rsidR="50443BB4" w:rsidP="2B7FFB25" w:rsidRDefault="50443BB4" w14:paraId="4F872E3E" w14:textId="63675BCD">
            <w:pPr>
              <w:jc w:val="center"/>
              <w:rPr>
                <w:rFonts w:hint="eastAsia"/>
                <w:sz w:val="20"/>
                <w:szCs w:val="20"/>
              </w:rPr>
            </w:pPr>
            <w:r w:rsidRPr="2B7FFB25">
              <w:rPr>
                <w:sz w:val="20"/>
                <w:szCs w:val="20"/>
              </w:rPr>
              <w:t>3</w:t>
            </w:r>
          </w:p>
        </w:tc>
        <w:tc>
          <w:tcPr>
            <w:tcW w:w="1277" w:type="dxa"/>
            <w:tcMar/>
          </w:tcPr>
          <w:p w:rsidR="50443BB4" w:rsidP="2B7FFB25" w:rsidRDefault="50443BB4" w14:paraId="58C12BB0" w14:textId="14988D61">
            <w:pPr>
              <w:jc w:val="center"/>
              <w:rPr>
                <w:rFonts w:hint="eastAsia"/>
              </w:rPr>
            </w:pPr>
            <w:r w:rsidRPr="2B7FFB25">
              <w:rPr>
                <w:rFonts w:ascii="Aptos" w:hAnsi="Aptos" w:eastAsia="Aptos" w:cs="Aptos"/>
                <w:color w:val="000000" w:themeColor="text1"/>
                <w:sz w:val="19"/>
                <w:szCs w:val="19"/>
              </w:rPr>
              <w:t>Xiaogang Chen, Michael Skully, and Kym Brown (2005)</w:t>
            </w:r>
          </w:p>
        </w:tc>
        <w:tc>
          <w:tcPr>
            <w:tcW w:w="2148" w:type="dxa"/>
            <w:tcMar/>
          </w:tcPr>
          <w:p w:rsidR="2B7FFB25" w:rsidP="2B7FFB25" w:rsidRDefault="2B7FFB25" w14:paraId="540EE807" w14:textId="21C10318">
            <w:pPr>
              <w:jc w:val="center"/>
              <w:rPr>
                <w:rFonts w:hint="eastAsia"/>
              </w:rPr>
            </w:pPr>
            <w:r w:rsidRPr="2B7FFB25">
              <w:rPr>
                <w:rFonts w:ascii="Aptos" w:hAnsi="Aptos" w:eastAsia="Aptos" w:cs="Aptos"/>
                <w:color w:val="000000" w:themeColor="text1"/>
                <w:sz w:val="19"/>
                <w:szCs w:val="19"/>
              </w:rPr>
              <w:t>Intermediation approach</w:t>
            </w:r>
          </w:p>
        </w:tc>
        <w:tc>
          <w:tcPr>
            <w:tcW w:w="2148" w:type="dxa"/>
            <w:tcMar/>
          </w:tcPr>
          <w:p w:rsidR="2B7FFB25" w:rsidP="2B7FFB25" w:rsidRDefault="2B7FFB25" w14:paraId="645B04D4" w14:textId="1227F3FE">
            <w:pPr>
              <w:jc w:val="center"/>
              <w:rPr>
                <w:rFonts w:hint="eastAsia"/>
              </w:rPr>
            </w:pPr>
            <w:r w:rsidRPr="2B7FFB25">
              <w:rPr>
                <w:rFonts w:ascii="Aptos" w:hAnsi="Aptos" w:eastAsia="Aptos" w:cs="Aptos"/>
                <w:color w:val="000000" w:themeColor="text1"/>
                <w:sz w:val="19"/>
                <w:szCs w:val="19"/>
              </w:rPr>
              <w:t>interest expenses, non-interest expenses (including labor costs), price of deposits (interest paid on deposits divided by total deposits), and price of physical capital (approximated by non-interest expenses divided by fixed assets)</w:t>
            </w:r>
          </w:p>
        </w:tc>
        <w:tc>
          <w:tcPr>
            <w:tcW w:w="2144" w:type="dxa"/>
            <w:tcMar/>
          </w:tcPr>
          <w:p w:rsidR="2B7FFB25" w:rsidP="2B7FFB25" w:rsidRDefault="2B7FFB25" w14:paraId="59FC8503" w14:textId="6DF763F5">
            <w:pPr>
              <w:jc w:val="center"/>
              <w:rPr>
                <w:rFonts w:hint="eastAsia"/>
              </w:rPr>
            </w:pPr>
            <w:r w:rsidRPr="2B7FFB25">
              <w:rPr>
                <w:rFonts w:ascii="Aptos" w:hAnsi="Aptos" w:eastAsia="Aptos" w:cs="Aptos"/>
                <w:color w:val="000000" w:themeColor="text1"/>
                <w:sz w:val="19"/>
                <w:szCs w:val="19"/>
              </w:rPr>
              <w:t>loans, deposits, and non-interest income</w:t>
            </w:r>
          </w:p>
        </w:tc>
      </w:tr>
      <w:tr w:rsidRPr="00CE5391" w:rsidR="00331E11" w:rsidTr="4F940BA9" w14:paraId="29DA0210" w14:textId="77777777">
        <w:trPr>
          <w:trHeight w:val="284"/>
        </w:trPr>
        <w:tc>
          <w:tcPr>
            <w:tcW w:w="710" w:type="pct"/>
            <w:tcMar/>
          </w:tcPr>
          <w:p w:rsidRPr="00B40DFB" w:rsidR="00331E11" w:rsidP="00331E11" w:rsidRDefault="00331E11" w14:paraId="0AB10790" w14:textId="2D81D954">
            <w:pPr>
              <w:jc w:val="center"/>
              <w:rPr>
                <w:rFonts w:hint="eastAsia" w:cs="Calibri"/>
                <w:sz w:val="20"/>
                <w:szCs w:val="20"/>
                <w:lang w:eastAsia="zh-CN"/>
              </w:rPr>
            </w:pPr>
            <w:r>
              <w:rPr>
                <w:rFonts w:cs="Calibri"/>
                <w:sz w:val="20"/>
                <w:szCs w:val="20"/>
                <w:lang w:eastAsia="zh-CN"/>
              </w:rPr>
              <w:t>5</w:t>
            </w:r>
          </w:p>
        </w:tc>
        <w:tc>
          <w:tcPr>
            <w:tcW w:w="710" w:type="pct"/>
            <w:tcMar/>
          </w:tcPr>
          <w:p w:rsidRPr="009B153E" w:rsidR="00331E11" w:rsidP="00331E11" w:rsidRDefault="00331E11" w14:paraId="4BC3D871" w14:textId="5DA7D55C">
            <w:pPr>
              <w:jc w:val="center"/>
              <w:rPr>
                <w:rFonts w:hint="eastAsia" w:cs="Calibri"/>
                <w:sz w:val="20"/>
                <w:szCs w:val="20"/>
                <w:lang w:eastAsia="zh-CN"/>
              </w:rPr>
            </w:pPr>
            <w:r w:rsidRPr="00B40DFB">
              <w:rPr>
                <w:rFonts w:cs="Calibri"/>
                <w:sz w:val="20"/>
                <w:szCs w:val="20"/>
                <w:lang w:eastAsia="zh-CN"/>
              </w:rPr>
              <w:t>Matthews</w:t>
            </w:r>
            <w:r>
              <w:rPr>
                <w:rFonts w:cs="Calibri"/>
                <w:sz w:val="20"/>
                <w:szCs w:val="20"/>
                <w:lang w:eastAsia="zh-CN"/>
              </w:rPr>
              <w:t xml:space="preserve"> (</w:t>
            </w:r>
            <w:r w:rsidRPr="00B40DFB">
              <w:rPr>
                <w:rFonts w:cs="Calibri"/>
                <w:sz w:val="20"/>
                <w:szCs w:val="20"/>
                <w:lang w:eastAsia="zh-CN"/>
              </w:rPr>
              <w:t>2013</w:t>
            </w:r>
            <w:r>
              <w:rPr>
                <w:rFonts w:cs="Calibri"/>
                <w:sz w:val="20"/>
                <w:szCs w:val="20"/>
                <w:lang w:eastAsia="zh-CN"/>
              </w:rPr>
              <w:t>)</w:t>
            </w:r>
          </w:p>
        </w:tc>
        <w:tc>
          <w:tcPr>
            <w:tcW w:w="1194" w:type="pct"/>
            <w:tcMar/>
          </w:tcPr>
          <w:p w:rsidR="00331E11" w:rsidP="00331E11" w:rsidRDefault="00E810C4" w14:paraId="33533BB9" w14:textId="054753E0">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 xml:space="preserve">Profit Oriented </w:t>
            </w:r>
            <w:r w:rsidR="0083327C">
              <w:rPr>
                <w:rFonts w:eastAsia="Arial Unicode MS" w:cs="Arial Unicode MS"/>
                <w:color w:val="000000" w:themeColor="text1"/>
                <w:sz w:val="20"/>
                <w:szCs w:val="20"/>
                <w:lang w:eastAsia="zh-CN"/>
              </w:rPr>
              <w:t>Approach</w:t>
            </w:r>
          </w:p>
        </w:tc>
        <w:tc>
          <w:tcPr>
            <w:tcW w:w="1194" w:type="pct"/>
            <w:tcMar/>
          </w:tcPr>
          <w:p w:rsidRPr="009232D2" w:rsidR="00331E11" w:rsidP="00331E11" w:rsidRDefault="00331E11" w14:paraId="1B26E56D" w14:textId="77777777">
            <w:pPr>
              <w:jc w:val="center"/>
              <w:rPr>
                <w:rFonts w:eastAsia="Arial Unicode MS" w:cs="Arial Unicode MS"/>
                <w:color w:val="000000" w:themeColor="text1"/>
                <w:sz w:val="20"/>
                <w:szCs w:val="20"/>
                <w:lang w:eastAsia="zh-CN"/>
              </w:rPr>
            </w:pPr>
            <w:r w:rsidRPr="00C830FC">
              <w:rPr>
                <w:rFonts w:eastAsia="Arial Unicode MS" w:cs="Arial Unicode MS"/>
                <w:color w:val="000000" w:themeColor="text1"/>
                <w:sz w:val="20"/>
                <w:szCs w:val="20"/>
                <w:lang w:eastAsia="zh-CN"/>
              </w:rPr>
              <w:t>Operational costs, fixed assets, and deposits</w:t>
            </w:r>
          </w:p>
        </w:tc>
        <w:tc>
          <w:tcPr>
            <w:tcW w:w="1192" w:type="pct"/>
            <w:tcMar/>
          </w:tcPr>
          <w:p w:rsidRPr="009232D2" w:rsidR="00331E11" w:rsidP="00331E11" w:rsidRDefault="00331E11" w14:paraId="3E3C496F" w14:textId="2C8B98BC">
            <w:pPr>
              <w:jc w:val="center"/>
              <w:rPr>
                <w:rFonts w:hint="eastAsia" w:cs="Calibri"/>
                <w:sz w:val="20"/>
                <w:szCs w:val="20"/>
              </w:rPr>
            </w:pPr>
            <w:r w:rsidRPr="00BB0411">
              <w:rPr>
                <w:rFonts w:cs="Calibri"/>
                <w:sz w:val="20"/>
                <w:szCs w:val="20"/>
              </w:rPr>
              <w:t>Net-interest income and non-interest income</w:t>
            </w:r>
          </w:p>
        </w:tc>
      </w:tr>
      <w:tr w:rsidR="2B7FFB25" w:rsidTr="4F940BA9" w14:paraId="0FAD232E" w14:textId="77777777">
        <w:trPr>
          <w:trHeight w:val="284"/>
        </w:trPr>
        <w:tc>
          <w:tcPr>
            <w:tcW w:w="1278" w:type="dxa"/>
            <w:tcMar/>
          </w:tcPr>
          <w:p w:rsidR="2B7FFB25" w:rsidP="2B7FFB25" w:rsidRDefault="2B7FFB25" w14:paraId="42AA6393" w14:textId="53A5A4C9">
            <w:pPr>
              <w:jc w:val="center"/>
              <w:rPr>
                <w:rFonts w:hint="eastAsia"/>
                <w:sz w:val="20"/>
                <w:szCs w:val="20"/>
              </w:rPr>
            </w:pPr>
            <w:r w:rsidRPr="2B7FFB25">
              <w:rPr>
                <w:sz w:val="20"/>
                <w:szCs w:val="20"/>
              </w:rPr>
              <w:t>8</w:t>
            </w:r>
          </w:p>
        </w:tc>
        <w:tc>
          <w:tcPr>
            <w:tcW w:w="1277" w:type="dxa"/>
            <w:tcMar/>
          </w:tcPr>
          <w:p w:rsidR="2B7FFB25" w:rsidP="2B7FFB25" w:rsidRDefault="2B7FFB25" w14:paraId="646F9EB3" w14:textId="62D86510">
            <w:pPr>
              <w:spacing w:before="240" w:after="240"/>
              <w:jc w:val="center"/>
              <w:rPr>
                <w:rFonts w:hint="eastAsia"/>
              </w:rPr>
            </w:pPr>
            <w:r w:rsidRPr="2B7FFB25">
              <w:rPr>
                <w:rFonts w:ascii="Aptos" w:hAnsi="Aptos" w:eastAsia="Aptos" w:cs="Aptos"/>
                <w:color w:val="000000" w:themeColor="text1"/>
                <w:sz w:val="19"/>
                <w:szCs w:val="19"/>
              </w:rPr>
              <w:t>Xiaohong Liu, Feng Yang, Jie Wu (2020)</w:t>
            </w:r>
          </w:p>
        </w:tc>
        <w:tc>
          <w:tcPr>
            <w:tcW w:w="2148" w:type="dxa"/>
            <w:tcMar/>
          </w:tcPr>
          <w:p w:rsidR="2B7FFB25" w:rsidP="2B7FFB25" w:rsidRDefault="2B7FFB25" w14:paraId="4FA5817D" w14:textId="06FD7ADE">
            <w:pPr>
              <w:jc w:val="center"/>
              <w:rPr>
                <w:rFonts w:hint="eastAsia"/>
              </w:rPr>
            </w:pPr>
            <w:r w:rsidRPr="2B7FFB25">
              <w:rPr>
                <w:rFonts w:ascii="Aptos" w:hAnsi="Aptos" w:eastAsia="Aptos" w:cs="Aptos"/>
                <w:color w:val="000000" w:themeColor="text1"/>
                <w:sz w:val="19"/>
                <w:szCs w:val="19"/>
              </w:rPr>
              <w:t>Intermediation approach</w:t>
            </w:r>
          </w:p>
        </w:tc>
        <w:tc>
          <w:tcPr>
            <w:tcW w:w="2148" w:type="dxa"/>
            <w:tcMar/>
          </w:tcPr>
          <w:p w:rsidR="2B7FFB25" w:rsidP="2B7FFB25" w:rsidRDefault="2B7FFB25" w14:paraId="2F5204D3" w14:textId="30370C20">
            <w:pPr>
              <w:jc w:val="center"/>
              <w:rPr>
                <w:rFonts w:hint="eastAsia"/>
              </w:rPr>
            </w:pPr>
            <w:r w:rsidRPr="2B7FFB25">
              <w:rPr>
                <w:rFonts w:ascii="Aptos" w:hAnsi="Aptos" w:eastAsia="Aptos" w:cs="Aptos"/>
                <w:color w:val="000000" w:themeColor="text1"/>
                <w:sz w:val="19"/>
                <w:szCs w:val="19"/>
              </w:rPr>
              <w:t>Fixed assets, labor, and operating expenses</w:t>
            </w:r>
          </w:p>
        </w:tc>
        <w:tc>
          <w:tcPr>
            <w:tcW w:w="2144" w:type="dxa"/>
            <w:tcMar/>
          </w:tcPr>
          <w:p w:rsidR="2B7FFB25" w:rsidP="2B7FFB25" w:rsidRDefault="2B7FFB25" w14:paraId="52AC6E72" w14:textId="36948339">
            <w:pPr>
              <w:jc w:val="center"/>
              <w:rPr>
                <w:rFonts w:hint="eastAsia"/>
              </w:rPr>
            </w:pPr>
            <w:r w:rsidRPr="2B7FFB25">
              <w:rPr>
                <w:rFonts w:ascii="Aptos" w:hAnsi="Aptos" w:eastAsia="Aptos" w:cs="Aptos"/>
                <w:color w:val="000000" w:themeColor="text1"/>
                <w:sz w:val="19"/>
                <w:szCs w:val="19"/>
              </w:rPr>
              <w:t>Loans, business income, non-performing loan ratio, and deposits (as intermediate variables)</w:t>
            </w:r>
          </w:p>
        </w:tc>
      </w:tr>
      <w:tr w:rsidR="2B7FFB25" w:rsidTr="4F940BA9" w14:paraId="5DA65981" w14:textId="77777777">
        <w:trPr>
          <w:trHeight w:val="284"/>
        </w:trPr>
        <w:tc>
          <w:tcPr>
            <w:tcW w:w="1278" w:type="dxa"/>
            <w:tcMar/>
          </w:tcPr>
          <w:p w:rsidR="2B7FFB25" w:rsidP="2B7FFB25" w:rsidRDefault="2B7FFB25" w14:paraId="2C693982" w14:textId="58575F73">
            <w:pPr>
              <w:jc w:val="center"/>
              <w:rPr>
                <w:rFonts w:hint="eastAsia"/>
                <w:sz w:val="20"/>
                <w:szCs w:val="20"/>
              </w:rPr>
            </w:pPr>
            <w:r w:rsidRPr="2B7FFB25">
              <w:rPr>
                <w:sz w:val="20"/>
                <w:szCs w:val="20"/>
              </w:rPr>
              <w:t>10</w:t>
            </w:r>
          </w:p>
        </w:tc>
        <w:tc>
          <w:tcPr>
            <w:tcW w:w="1277" w:type="dxa"/>
            <w:tcMar/>
          </w:tcPr>
          <w:p w:rsidR="2B7FFB25" w:rsidP="2B7FFB25" w:rsidRDefault="2B7FFB25" w14:paraId="03C4DB85" w14:textId="11A7F538">
            <w:pPr>
              <w:jc w:val="center"/>
              <w:rPr>
                <w:rFonts w:hint="eastAsia" w:cs="Calibri"/>
                <w:sz w:val="20"/>
                <w:szCs w:val="20"/>
                <w:lang w:eastAsia="zh-CN"/>
              </w:rPr>
            </w:pPr>
            <w:r w:rsidRPr="2B7FFB25">
              <w:rPr>
                <w:sz w:val="20"/>
                <w:szCs w:val="20"/>
              </w:rPr>
              <w:t>Wilson and Zhao (2023)</w:t>
            </w:r>
          </w:p>
        </w:tc>
        <w:tc>
          <w:tcPr>
            <w:tcW w:w="2148" w:type="dxa"/>
            <w:tcMar/>
          </w:tcPr>
          <w:p w:rsidR="2B7FFB25" w:rsidP="2B7FFB25" w:rsidRDefault="2B7FFB25" w14:paraId="155616C5" w14:textId="39705F64">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Intermediation Approach</w:t>
            </w:r>
          </w:p>
        </w:tc>
        <w:tc>
          <w:tcPr>
            <w:tcW w:w="2148" w:type="dxa"/>
            <w:tcMar/>
          </w:tcPr>
          <w:p w:rsidR="2B7FFB25" w:rsidP="2B7FFB25" w:rsidRDefault="2B7FFB25" w14:paraId="18024DAC" w14:textId="77777777">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Total funding, labor services, Fixed asset</w:t>
            </w:r>
          </w:p>
        </w:tc>
        <w:tc>
          <w:tcPr>
            <w:tcW w:w="2144" w:type="dxa"/>
            <w:tcMar/>
          </w:tcPr>
          <w:p w:rsidR="2B7FFB25" w:rsidP="2B7FFB25" w:rsidRDefault="2B7FFB25" w14:paraId="35845A21" w14:textId="77777777">
            <w:pPr>
              <w:jc w:val="center"/>
              <w:rPr>
                <w:rFonts w:hint="eastAsia" w:cs="Calibri"/>
                <w:sz w:val="20"/>
                <w:szCs w:val="20"/>
              </w:rPr>
            </w:pPr>
            <w:r w:rsidRPr="2B7FFB25">
              <w:rPr>
                <w:rFonts w:cs="Calibri"/>
                <w:sz w:val="20"/>
                <w:szCs w:val="20"/>
              </w:rPr>
              <w:t>Consumer loan, real estate loans, business and other loans, securities, off-balance sheet items</w:t>
            </w:r>
          </w:p>
        </w:tc>
      </w:tr>
      <w:tr w:rsidR="2B7FFB25" w:rsidTr="4F940BA9" w14:paraId="19089AFC" w14:textId="77777777">
        <w:trPr>
          <w:trHeight w:val="284"/>
        </w:trPr>
        <w:tc>
          <w:tcPr>
            <w:tcW w:w="1278" w:type="dxa"/>
            <w:tcMar/>
          </w:tcPr>
          <w:p w:rsidR="0C32EB49" w:rsidP="2B7FFB25" w:rsidRDefault="0C32EB49" w14:paraId="15BE8C76" w14:textId="567CBADC">
            <w:pPr>
              <w:jc w:val="center"/>
              <w:rPr>
                <w:rFonts w:hint="eastAsia"/>
                <w:sz w:val="20"/>
                <w:szCs w:val="20"/>
              </w:rPr>
            </w:pPr>
            <w:r w:rsidRPr="2B7FFB25">
              <w:rPr>
                <w:sz w:val="20"/>
                <w:szCs w:val="20"/>
              </w:rPr>
              <w:t>13</w:t>
            </w:r>
          </w:p>
        </w:tc>
        <w:tc>
          <w:tcPr>
            <w:tcW w:w="1277" w:type="dxa"/>
            <w:tcMar/>
          </w:tcPr>
          <w:p w:rsidR="0C32EB49" w:rsidP="2B7FFB25" w:rsidRDefault="0C32EB49" w14:paraId="705DEDCD" w14:textId="7CD7BA79">
            <w:pPr>
              <w:jc w:val="center"/>
              <w:rPr>
                <w:rFonts w:hint="eastAsia"/>
              </w:rPr>
            </w:pPr>
            <w:r w:rsidRPr="2B7FFB25">
              <w:rPr>
                <w:rFonts w:ascii="Aptos" w:hAnsi="Aptos" w:eastAsia="Aptos" w:cs="Aptos"/>
                <w:color w:val="000000" w:themeColor="text1"/>
                <w:sz w:val="19"/>
                <w:szCs w:val="19"/>
              </w:rPr>
              <w:t>Xiao Shi, Libo Wang, Ali Emrouznejad (2023)</w:t>
            </w:r>
          </w:p>
        </w:tc>
        <w:tc>
          <w:tcPr>
            <w:tcW w:w="2148" w:type="dxa"/>
            <w:tcMar/>
          </w:tcPr>
          <w:p w:rsidR="2B7FFB25" w:rsidP="2B7FFB25" w:rsidRDefault="2B7FFB25" w14:paraId="3B53BF5A" w14:textId="7E105368">
            <w:pPr>
              <w:jc w:val="center"/>
              <w:rPr>
                <w:rFonts w:hint="eastAsia"/>
              </w:rPr>
            </w:pPr>
            <w:r w:rsidRPr="2B7FFB25">
              <w:rPr>
                <w:rFonts w:ascii="Aptos" w:hAnsi="Aptos" w:eastAsia="Aptos" w:cs="Aptos"/>
                <w:color w:val="000000" w:themeColor="text1"/>
                <w:sz w:val="19"/>
                <w:szCs w:val="19"/>
              </w:rPr>
              <w:t>Profit-Oriented approach</w:t>
            </w:r>
          </w:p>
        </w:tc>
        <w:tc>
          <w:tcPr>
            <w:tcW w:w="2148" w:type="dxa"/>
            <w:tcMar/>
          </w:tcPr>
          <w:p w:rsidR="2B7FFB25" w:rsidP="2B7FFB25" w:rsidRDefault="2B7FFB25" w14:paraId="1A34B456" w14:textId="057123D4">
            <w:pPr>
              <w:jc w:val="center"/>
              <w:rPr>
                <w:rFonts w:hint="eastAsia"/>
              </w:rPr>
            </w:pPr>
            <w:r w:rsidRPr="2B7FFB25">
              <w:rPr>
                <w:rFonts w:ascii="Aptos" w:hAnsi="Aptos" w:eastAsia="Aptos" w:cs="Aptos"/>
                <w:color w:val="000000" w:themeColor="text1"/>
                <w:sz w:val="19"/>
                <w:szCs w:val="19"/>
              </w:rPr>
              <w:t>Interest costs, operating costs</w:t>
            </w:r>
          </w:p>
        </w:tc>
        <w:tc>
          <w:tcPr>
            <w:tcW w:w="2144" w:type="dxa"/>
            <w:tcMar/>
          </w:tcPr>
          <w:p w:rsidR="2B7FFB25" w:rsidP="2B7FFB25" w:rsidRDefault="2B7FFB25" w14:paraId="763CDBA1" w14:textId="2DB06737">
            <w:pPr>
              <w:jc w:val="center"/>
              <w:rPr>
                <w:rFonts w:hint="eastAsia"/>
              </w:rPr>
            </w:pPr>
            <w:r w:rsidRPr="2B7FFB25">
              <w:rPr>
                <w:rFonts w:ascii="Aptos" w:hAnsi="Aptos" w:eastAsia="Aptos" w:cs="Aptos"/>
                <w:color w:val="000000" w:themeColor="text1"/>
                <w:sz w:val="19"/>
                <w:szCs w:val="19"/>
                <w:lang w:val="it"/>
              </w:rPr>
              <w:t>Interest income, non-interest income, non-performing loans</w:t>
            </w:r>
          </w:p>
        </w:tc>
      </w:tr>
      <w:tr w:rsidR="2B7FFB25" w:rsidTr="4F940BA9" w14:paraId="69C46CAF" w14:textId="77777777">
        <w:trPr>
          <w:trHeight w:val="284"/>
        </w:trPr>
        <w:tc>
          <w:tcPr>
            <w:tcW w:w="1278" w:type="dxa"/>
            <w:tcMar/>
          </w:tcPr>
          <w:p w:rsidR="2B7FFB25" w:rsidP="2B7FFB25" w:rsidRDefault="2B7FFB25" w14:paraId="67685D01" w14:textId="697B29C7">
            <w:pPr>
              <w:jc w:val="center"/>
              <w:rPr>
                <w:rFonts w:hint="eastAsia" w:cs="Calibri"/>
                <w:sz w:val="20"/>
                <w:szCs w:val="20"/>
                <w:lang w:eastAsia="zh-CN"/>
              </w:rPr>
            </w:pPr>
            <w:r w:rsidRPr="2B7FFB25">
              <w:rPr>
                <w:rFonts w:cs="Calibri"/>
                <w:sz w:val="20"/>
                <w:szCs w:val="20"/>
                <w:lang w:eastAsia="zh-CN"/>
              </w:rPr>
              <w:t>15</w:t>
            </w:r>
          </w:p>
        </w:tc>
        <w:tc>
          <w:tcPr>
            <w:tcW w:w="1277" w:type="dxa"/>
            <w:tcMar/>
          </w:tcPr>
          <w:p w:rsidR="2B7FFB25" w:rsidP="2B7FFB25" w:rsidRDefault="2B7FFB25" w14:paraId="789FEC65" w14:textId="0F4D71D5">
            <w:pPr>
              <w:jc w:val="center"/>
              <w:rPr>
                <w:rFonts w:hint="eastAsia" w:cs="Calibri"/>
                <w:sz w:val="20"/>
                <w:szCs w:val="20"/>
                <w:lang w:eastAsia="zh-CN"/>
              </w:rPr>
            </w:pPr>
            <w:r w:rsidRPr="2B7FFB25">
              <w:rPr>
                <w:rFonts w:cs="Calibri"/>
                <w:sz w:val="20"/>
                <w:szCs w:val="20"/>
                <w:lang w:eastAsia="zh-CN"/>
              </w:rPr>
              <w:t>Asmild and Matthews (2012)</w:t>
            </w:r>
          </w:p>
        </w:tc>
        <w:tc>
          <w:tcPr>
            <w:tcW w:w="2148" w:type="dxa"/>
            <w:tcMar/>
          </w:tcPr>
          <w:p w:rsidR="2B7FFB25" w:rsidP="2B7FFB25" w:rsidRDefault="2B7FFB25" w14:paraId="7A25A1A4" w14:textId="023F89AA">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Profit Oriented Approach</w:t>
            </w:r>
          </w:p>
        </w:tc>
        <w:tc>
          <w:tcPr>
            <w:tcW w:w="2148" w:type="dxa"/>
            <w:tcMar/>
          </w:tcPr>
          <w:p w:rsidR="2B7FFB25" w:rsidP="2B7FFB25" w:rsidRDefault="2B7FFB25" w14:paraId="77B9D045" w14:textId="77777777">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Labor, fixed assets, total deposits, non-performing loans</w:t>
            </w:r>
          </w:p>
        </w:tc>
        <w:tc>
          <w:tcPr>
            <w:tcW w:w="2144" w:type="dxa"/>
            <w:tcMar/>
          </w:tcPr>
          <w:p w:rsidR="2B7FFB25" w:rsidP="2B7FFB25" w:rsidRDefault="2B7FFB25" w14:paraId="44BCF2B8" w14:textId="77777777">
            <w:pPr>
              <w:jc w:val="center"/>
              <w:rPr>
                <w:rFonts w:hint="eastAsia" w:cs="Calibri"/>
                <w:sz w:val="20"/>
                <w:szCs w:val="20"/>
              </w:rPr>
            </w:pPr>
            <w:r w:rsidRPr="2B7FFB25">
              <w:rPr>
                <w:rFonts w:cs="Calibri"/>
                <w:sz w:val="20"/>
                <w:szCs w:val="20"/>
              </w:rPr>
              <w:t>Net-interest income, non-interest income</w:t>
            </w:r>
          </w:p>
        </w:tc>
      </w:tr>
      <w:tr w:rsidR="2B7FFB25" w:rsidTr="4F940BA9" w14:paraId="0D57C74D" w14:textId="77777777">
        <w:trPr>
          <w:trHeight w:val="284"/>
        </w:trPr>
        <w:tc>
          <w:tcPr>
            <w:tcW w:w="1278" w:type="dxa"/>
            <w:tcMar/>
          </w:tcPr>
          <w:p w:rsidR="2B59F92D" w:rsidP="2B7FFB25" w:rsidRDefault="2B59F92D" w14:paraId="47DB2868" w14:textId="18DB4B82">
            <w:pPr>
              <w:jc w:val="center"/>
              <w:rPr>
                <w:rFonts w:hint="eastAsia" w:cs="Calibri"/>
                <w:sz w:val="20"/>
                <w:szCs w:val="20"/>
                <w:lang w:eastAsia="zh-CN"/>
              </w:rPr>
            </w:pPr>
            <w:r w:rsidRPr="2B7FFB25">
              <w:rPr>
                <w:rFonts w:cs="Calibri"/>
                <w:sz w:val="20"/>
                <w:szCs w:val="20"/>
                <w:lang w:eastAsia="zh-CN"/>
              </w:rPr>
              <w:t>18</w:t>
            </w:r>
          </w:p>
        </w:tc>
        <w:tc>
          <w:tcPr>
            <w:tcW w:w="1277" w:type="dxa"/>
            <w:tcMar/>
          </w:tcPr>
          <w:p w:rsidR="2B59F92D" w:rsidP="2B7FFB25" w:rsidRDefault="2B59F92D" w14:paraId="29A2D37D" w14:textId="58C35B67">
            <w:pPr>
              <w:jc w:val="center"/>
              <w:rPr>
                <w:rFonts w:hint="eastAsia"/>
              </w:rPr>
            </w:pPr>
            <w:r w:rsidRPr="2B7FFB25">
              <w:rPr>
                <w:rFonts w:ascii="Aptos" w:hAnsi="Aptos" w:eastAsia="Aptos" w:cs="Aptos"/>
                <w:color w:val="000000" w:themeColor="text1"/>
                <w:sz w:val="19"/>
                <w:szCs w:val="19"/>
              </w:rPr>
              <w:t>Kai Du, Andrew C. Worthington, Valentin Zelenyuk (2018)</w:t>
            </w:r>
          </w:p>
        </w:tc>
        <w:tc>
          <w:tcPr>
            <w:tcW w:w="2148" w:type="dxa"/>
            <w:tcMar/>
          </w:tcPr>
          <w:p w:rsidR="2B7FFB25" w:rsidP="2B7FFB25" w:rsidRDefault="2B7FFB25" w14:paraId="6843672D" w14:textId="717A5E2F">
            <w:pPr>
              <w:jc w:val="center"/>
              <w:rPr>
                <w:rFonts w:hint="eastAsia"/>
              </w:rPr>
            </w:pPr>
            <w:r w:rsidRPr="2B7FFB25">
              <w:rPr>
                <w:rFonts w:ascii="Aptos" w:hAnsi="Aptos" w:eastAsia="Aptos" w:cs="Aptos"/>
                <w:color w:val="000000" w:themeColor="text1"/>
                <w:sz w:val="19"/>
                <w:szCs w:val="19"/>
              </w:rPr>
              <w:t>Profit-Oriented approach</w:t>
            </w:r>
          </w:p>
        </w:tc>
        <w:tc>
          <w:tcPr>
            <w:tcW w:w="2148" w:type="dxa"/>
            <w:tcMar/>
          </w:tcPr>
          <w:p w:rsidR="2B7FFB25" w:rsidP="2B7FFB25" w:rsidRDefault="2B7FFB25" w14:paraId="5F32638A" w14:textId="5E4B830F">
            <w:pPr>
              <w:jc w:val="center"/>
              <w:rPr>
                <w:rFonts w:hint="eastAsia"/>
              </w:rPr>
            </w:pPr>
            <w:r w:rsidRPr="2B7FFB25">
              <w:rPr>
                <w:rFonts w:ascii="Aptos" w:hAnsi="Aptos" w:eastAsia="Aptos" w:cs="Aptos"/>
                <w:color w:val="000000" w:themeColor="text1"/>
                <w:sz w:val="19"/>
                <w:szCs w:val="19"/>
              </w:rPr>
              <w:t>Interest expenses, labor costs, other operating expenses</w:t>
            </w:r>
          </w:p>
        </w:tc>
        <w:tc>
          <w:tcPr>
            <w:tcW w:w="2144" w:type="dxa"/>
            <w:tcMar/>
          </w:tcPr>
          <w:p w:rsidR="2B7FFB25" w:rsidP="2B7FFB25" w:rsidRDefault="2B7FFB25" w14:paraId="02482F99" w14:textId="0BA21310">
            <w:pPr>
              <w:jc w:val="center"/>
              <w:rPr>
                <w:rFonts w:hint="eastAsia"/>
              </w:rPr>
            </w:pPr>
            <w:r w:rsidRPr="2B7FFB25">
              <w:rPr>
                <w:rFonts w:ascii="Aptos" w:hAnsi="Aptos" w:eastAsia="Aptos" w:cs="Aptos"/>
                <w:color w:val="000000" w:themeColor="text1"/>
                <w:sz w:val="19"/>
                <w:szCs w:val="19"/>
              </w:rPr>
              <w:t>Net interest income, net fees and commissions, other operating income</w:t>
            </w:r>
          </w:p>
        </w:tc>
      </w:tr>
      <w:tr w:rsidR="2B7FFB25" w:rsidTr="4F940BA9" w14:paraId="4361FCB6" w14:textId="77777777">
        <w:trPr>
          <w:trHeight w:val="284"/>
        </w:trPr>
        <w:tc>
          <w:tcPr>
            <w:tcW w:w="1278" w:type="dxa"/>
            <w:tcMar/>
          </w:tcPr>
          <w:p w:rsidR="2B7FFB25" w:rsidP="2B7FFB25" w:rsidRDefault="2B7FFB25" w14:paraId="5FFA7723" w14:textId="2AF5A9DA">
            <w:pPr>
              <w:jc w:val="center"/>
              <w:rPr>
                <w:rFonts w:hint="eastAsia" w:cs="Calibri"/>
                <w:sz w:val="20"/>
                <w:szCs w:val="20"/>
                <w:lang w:eastAsia="zh-CN"/>
              </w:rPr>
            </w:pPr>
            <w:r w:rsidRPr="2B7FFB25">
              <w:rPr>
                <w:rFonts w:cs="Calibri"/>
                <w:sz w:val="20"/>
                <w:szCs w:val="20"/>
                <w:lang w:eastAsia="zh-CN"/>
              </w:rPr>
              <w:t>20</w:t>
            </w:r>
          </w:p>
        </w:tc>
        <w:tc>
          <w:tcPr>
            <w:tcW w:w="1277" w:type="dxa"/>
            <w:tcMar/>
          </w:tcPr>
          <w:p w:rsidR="2B7FFB25" w:rsidP="2B7FFB25" w:rsidRDefault="2B7FFB25" w14:paraId="2A1EF766" w14:textId="75CAD767">
            <w:pPr>
              <w:jc w:val="center"/>
              <w:rPr>
                <w:rFonts w:hint="eastAsia" w:cs="Calibri"/>
                <w:sz w:val="20"/>
                <w:szCs w:val="20"/>
                <w:lang w:eastAsia="zh-CN"/>
              </w:rPr>
            </w:pPr>
            <w:r w:rsidRPr="2B7FFB25">
              <w:rPr>
                <w:rFonts w:cs="Calibri"/>
                <w:sz w:val="20"/>
                <w:szCs w:val="20"/>
                <w:lang w:eastAsia="zh-CN"/>
              </w:rPr>
              <w:t>Dong et al., (2014)</w:t>
            </w:r>
          </w:p>
        </w:tc>
        <w:tc>
          <w:tcPr>
            <w:tcW w:w="2148" w:type="dxa"/>
            <w:tcMar/>
          </w:tcPr>
          <w:p w:rsidR="2B7FFB25" w:rsidP="2B7FFB25" w:rsidRDefault="2B7FFB25" w14:paraId="2B64FB48" w14:textId="77A4BC09">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Intermediation Approach</w:t>
            </w:r>
          </w:p>
        </w:tc>
        <w:tc>
          <w:tcPr>
            <w:tcW w:w="2148" w:type="dxa"/>
            <w:tcMar/>
          </w:tcPr>
          <w:p w:rsidR="2B7FFB25" w:rsidP="2B7FFB25" w:rsidRDefault="2B7FFB25" w14:paraId="5FE386C3" w14:textId="77777777">
            <w:pPr>
              <w:jc w:val="center"/>
              <w:rPr>
                <w:rFonts w:eastAsia="Arial Unicode MS" w:cs="Arial Unicode MS"/>
                <w:color w:val="000000" w:themeColor="text1"/>
                <w:sz w:val="20"/>
                <w:szCs w:val="20"/>
                <w:lang w:eastAsia="zh-CN"/>
              </w:rPr>
            </w:pPr>
            <w:r w:rsidRPr="2B7FFB25">
              <w:rPr>
                <w:rFonts w:eastAsia="Arial Unicode MS" w:cs="Arial Unicode MS"/>
                <w:color w:val="000000" w:themeColor="text1"/>
                <w:sz w:val="20"/>
                <w:szCs w:val="20"/>
                <w:lang w:eastAsia="zh-CN"/>
              </w:rPr>
              <w:t>Total borrowed funds, physical capital, and labor</w:t>
            </w:r>
          </w:p>
        </w:tc>
        <w:tc>
          <w:tcPr>
            <w:tcW w:w="2144" w:type="dxa"/>
            <w:tcMar/>
          </w:tcPr>
          <w:p w:rsidR="2B7FFB25" w:rsidP="2B7FFB25" w:rsidRDefault="2B7FFB25" w14:paraId="29F4CC1B" w14:textId="77777777">
            <w:pPr>
              <w:jc w:val="center"/>
              <w:rPr>
                <w:rFonts w:hint="eastAsia" w:cs="Calibri"/>
                <w:sz w:val="20"/>
                <w:szCs w:val="20"/>
              </w:rPr>
            </w:pPr>
            <w:r w:rsidRPr="2B7FFB25">
              <w:rPr>
                <w:rFonts w:cs="Calibri"/>
                <w:sz w:val="20"/>
                <w:szCs w:val="20"/>
              </w:rPr>
              <w:t>Total loans, other earning assets, and non-interest income.</w:t>
            </w:r>
          </w:p>
        </w:tc>
      </w:tr>
      <w:tr w:rsidR="2B7FFB25" w:rsidTr="4F940BA9" w14:paraId="37D62F12" w14:textId="77777777">
        <w:trPr>
          <w:trHeight w:val="284"/>
        </w:trPr>
        <w:tc>
          <w:tcPr>
            <w:tcW w:w="1278" w:type="dxa"/>
            <w:tcMar/>
          </w:tcPr>
          <w:p w:rsidR="77CE5887" w:rsidP="2B7FFB25" w:rsidRDefault="77CE5887" w14:paraId="15832161" w14:textId="60A3E2BC">
            <w:pPr>
              <w:jc w:val="center"/>
              <w:rPr>
                <w:rFonts w:hint="eastAsia" w:cs="Calibri"/>
                <w:sz w:val="20"/>
                <w:szCs w:val="20"/>
                <w:lang w:eastAsia="zh-CN"/>
              </w:rPr>
            </w:pPr>
            <w:r w:rsidRPr="2B7FFB25">
              <w:rPr>
                <w:rFonts w:cs="Calibri"/>
                <w:sz w:val="20"/>
                <w:szCs w:val="20"/>
                <w:lang w:eastAsia="zh-CN"/>
              </w:rPr>
              <w:t>23</w:t>
            </w:r>
          </w:p>
        </w:tc>
        <w:tc>
          <w:tcPr>
            <w:tcW w:w="1277" w:type="dxa"/>
            <w:tcMar/>
          </w:tcPr>
          <w:p w:rsidR="77CE5887" w:rsidP="2B7FFB25" w:rsidRDefault="77CE5887" w14:paraId="3E6EB440" w14:textId="63266A95">
            <w:pPr>
              <w:jc w:val="center"/>
              <w:rPr>
                <w:rFonts w:hint="eastAsia"/>
              </w:rPr>
            </w:pPr>
            <w:r w:rsidRPr="2B7FFB25">
              <w:rPr>
                <w:rFonts w:ascii="Aptos" w:hAnsi="Aptos" w:eastAsia="Aptos" w:cs="Aptos"/>
                <w:color w:val="000000" w:themeColor="text1"/>
                <w:sz w:val="19"/>
                <w:szCs w:val="19"/>
              </w:rPr>
              <w:t>James R. Barth, Chen Lin, Yue Ma, Jesús Seade, Frank M. Song (2013)</w:t>
            </w:r>
          </w:p>
        </w:tc>
        <w:tc>
          <w:tcPr>
            <w:tcW w:w="2148" w:type="dxa"/>
            <w:tcMar/>
          </w:tcPr>
          <w:p w:rsidR="2B7FFB25" w:rsidP="2B7FFB25" w:rsidRDefault="2B7FFB25" w14:paraId="7D771EE7" w14:textId="3051492B">
            <w:pPr>
              <w:jc w:val="center"/>
              <w:rPr>
                <w:rFonts w:hint="eastAsia"/>
              </w:rPr>
            </w:pPr>
            <w:r w:rsidRPr="2B7FFB25">
              <w:rPr>
                <w:rFonts w:ascii="Aptos" w:hAnsi="Aptos" w:eastAsia="Aptos" w:cs="Aptos"/>
                <w:color w:val="000000" w:themeColor="text1"/>
                <w:sz w:val="19"/>
                <w:szCs w:val="19"/>
              </w:rPr>
              <w:t>Intermediation approach</w:t>
            </w:r>
          </w:p>
        </w:tc>
        <w:tc>
          <w:tcPr>
            <w:tcW w:w="2148" w:type="dxa"/>
            <w:tcMar/>
          </w:tcPr>
          <w:p w:rsidR="2B7FFB25" w:rsidP="2B7FFB25" w:rsidRDefault="2B7FFB25" w14:paraId="7AB6C4D9" w14:textId="308A3260">
            <w:pPr>
              <w:jc w:val="center"/>
              <w:rPr>
                <w:rFonts w:hint="eastAsia"/>
              </w:rPr>
            </w:pPr>
            <w:r w:rsidRPr="2B7FFB25">
              <w:rPr>
                <w:rFonts w:ascii="Aptos" w:hAnsi="Aptos" w:eastAsia="Aptos" w:cs="Aptos"/>
                <w:color w:val="000000" w:themeColor="text1"/>
                <w:sz w:val="19"/>
                <w:szCs w:val="19"/>
              </w:rPr>
              <w:t>Inputs include total deposits, labor (personnel expenses), physical capital (fixed assets), and loan loss provisions.</w:t>
            </w:r>
          </w:p>
        </w:tc>
        <w:tc>
          <w:tcPr>
            <w:tcW w:w="2144" w:type="dxa"/>
            <w:tcMar/>
          </w:tcPr>
          <w:p w:rsidR="2B7FFB25" w:rsidP="2B7FFB25" w:rsidRDefault="2B7FFB25" w14:paraId="3F2AE172" w14:textId="1BD2C207">
            <w:pPr>
              <w:jc w:val="center"/>
              <w:rPr>
                <w:rFonts w:hint="eastAsia"/>
              </w:rPr>
            </w:pPr>
            <w:r w:rsidRPr="2B7FFB25">
              <w:rPr>
                <w:rFonts w:ascii="Aptos" w:hAnsi="Aptos" w:eastAsia="Aptos" w:cs="Aptos"/>
                <w:color w:val="000000" w:themeColor="text1"/>
                <w:sz w:val="19"/>
                <w:szCs w:val="19"/>
              </w:rPr>
              <w:t>Outputs consist of total loans and other earning assets, and other operating income.</w:t>
            </w:r>
          </w:p>
        </w:tc>
      </w:tr>
      <w:tr w:rsidRPr="00CE5391" w:rsidR="00331E11" w:rsidTr="4F940BA9" w14:paraId="70226FF6" w14:textId="77777777">
        <w:trPr>
          <w:trHeight w:val="284"/>
        </w:trPr>
        <w:tc>
          <w:tcPr>
            <w:tcW w:w="710" w:type="pct"/>
            <w:tcMar/>
          </w:tcPr>
          <w:p w:rsidRPr="00E9480F" w:rsidR="00331E11" w:rsidP="00331E11" w:rsidRDefault="00331E11" w14:paraId="4B3979AA" w14:textId="34FEB553">
            <w:pPr>
              <w:jc w:val="center"/>
              <w:rPr>
                <w:rFonts w:hint="eastAsia" w:cs="Calibri"/>
                <w:sz w:val="20"/>
                <w:szCs w:val="20"/>
                <w:lang w:eastAsia="zh-CN"/>
              </w:rPr>
            </w:pPr>
            <w:r>
              <w:rPr>
                <w:rFonts w:cs="Calibri"/>
                <w:sz w:val="20"/>
                <w:szCs w:val="20"/>
                <w:lang w:eastAsia="zh-CN"/>
              </w:rPr>
              <w:t>25</w:t>
            </w:r>
          </w:p>
        </w:tc>
        <w:tc>
          <w:tcPr>
            <w:tcW w:w="710" w:type="pct"/>
            <w:tcMar/>
          </w:tcPr>
          <w:p w:rsidRPr="00E751D5" w:rsidR="00331E11" w:rsidP="00331E11" w:rsidRDefault="00331E11" w14:paraId="3C938363" w14:textId="1DF7EC85">
            <w:pPr>
              <w:jc w:val="center"/>
              <w:rPr>
                <w:rFonts w:hint="eastAsia" w:cs="Calibri"/>
                <w:sz w:val="20"/>
                <w:szCs w:val="20"/>
                <w:lang w:eastAsia="zh-CN"/>
              </w:rPr>
            </w:pPr>
            <w:r w:rsidRPr="00E9480F">
              <w:rPr>
                <w:rFonts w:cs="Calibri"/>
                <w:sz w:val="20"/>
                <w:szCs w:val="20"/>
                <w:lang w:eastAsia="zh-CN"/>
              </w:rPr>
              <w:t>Xie et al.</w:t>
            </w:r>
            <w:r>
              <w:rPr>
                <w:rFonts w:cs="Calibri"/>
                <w:sz w:val="20"/>
                <w:szCs w:val="20"/>
                <w:lang w:eastAsia="zh-CN"/>
              </w:rPr>
              <w:t xml:space="preserve"> (</w:t>
            </w:r>
            <w:r w:rsidRPr="00E9480F">
              <w:rPr>
                <w:rFonts w:cs="Calibri"/>
                <w:sz w:val="20"/>
                <w:szCs w:val="20"/>
                <w:lang w:eastAsia="zh-CN"/>
              </w:rPr>
              <w:t>2022)</w:t>
            </w:r>
          </w:p>
        </w:tc>
        <w:tc>
          <w:tcPr>
            <w:tcW w:w="1194" w:type="pct"/>
            <w:tcMar/>
          </w:tcPr>
          <w:p w:rsidR="00331E11" w:rsidP="00331E11" w:rsidRDefault="00E810C4" w14:paraId="02244516" w14:textId="62DD0E38">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Intermediation Approach</w:t>
            </w:r>
          </w:p>
        </w:tc>
        <w:tc>
          <w:tcPr>
            <w:tcW w:w="1194" w:type="pct"/>
            <w:tcMar/>
          </w:tcPr>
          <w:p w:rsidRPr="009A6518" w:rsidR="00331E11" w:rsidP="00331E11" w:rsidRDefault="00331E11" w14:paraId="447B017B" w14:textId="77777777">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Labor force, fixed assets, operating costs</w:t>
            </w:r>
          </w:p>
        </w:tc>
        <w:tc>
          <w:tcPr>
            <w:tcW w:w="1192" w:type="pct"/>
            <w:tcMar/>
          </w:tcPr>
          <w:p w:rsidRPr="009C1EEF" w:rsidR="00331E11" w:rsidP="00331E11" w:rsidRDefault="00331E11" w14:paraId="3DF4B722" w14:textId="77777777">
            <w:pPr>
              <w:jc w:val="center"/>
              <w:rPr>
                <w:rFonts w:hint="eastAsia" w:cs="Calibri"/>
                <w:sz w:val="20"/>
                <w:szCs w:val="20"/>
              </w:rPr>
            </w:pPr>
            <w:r>
              <w:rPr>
                <w:rFonts w:cs="Calibri"/>
                <w:sz w:val="20"/>
                <w:szCs w:val="20"/>
              </w:rPr>
              <w:t>Interest income, non-interest income, performing loans, non-performing loans (undesirable output)</w:t>
            </w:r>
          </w:p>
        </w:tc>
      </w:tr>
      <w:tr w:rsidR="2B7FFB25" w:rsidTr="4F940BA9" w14:paraId="25850E61" w14:textId="77777777">
        <w:trPr>
          <w:trHeight w:val="284"/>
        </w:trPr>
        <w:tc>
          <w:tcPr>
            <w:tcW w:w="1278" w:type="dxa"/>
            <w:tcMar/>
          </w:tcPr>
          <w:p w:rsidR="0A7DE992" w:rsidP="2B7FFB25" w:rsidRDefault="0A7DE992" w14:paraId="38FB5CA7" w14:textId="55F2886B">
            <w:pPr>
              <w:jc w:val="center"/>
              <w:rPr>
                <w:rFonts w:hint="eastAsia" w:cs="Calibri"/>
                <w:sz w:val="20"/>
                <w:szCs w:val="20"/>
                <w:lang w:eastAsia="zh-CN"/>
              </w:rPr>
            </w:pPr>
            <w:r w:rsidRPr="2B7FFB25">
              <w:rPr>
                <w:rFonts w:cs="Calibri"/>
                <w:sz w:val="20"/>
                <w:szCs w:val="20"/>
                <w:lang w:eastAsia="zh-CN"/>
              </w:rPr>
              <w:t>28</w:t>
            </w:r>
          </w:p>
        </w:tc>
        <w:tc>
          <w:tcPr>
            <w:tcW w:w="1277" w:type="dxa"/>
            <w:tcMar/>
          </w:tcPr>
          <w:p w:rsidR="0A7DE992" w:rsidP="2B7FFB25" w:rsidRDefault="0A7DE992" w14:paraId="5F2D5AEF" w14:textId="4E5E9D4C">
            <w:pPr>
              <w:jc w:val="center"/>
              <w:rPr>
                <w:rFonts w:hint="eastAsia"/>
              </w:rPr>
            </w:pPr>
            <w:r w:rsidRPr="2B7FFB25">
              <w:rPr>
                <w:rFonts w:ascii="Aptos" w:hAnsi="Aptos" w:eastAsia="Aptos" w:cs="Aptos"/>
                <w:color w:val="000000" w:themeColor="text1"/>
                <w:sz w:val="19"/>
                <w:szCs w:val="19"/>
              </w:rPr>
              <w:t>Mohamed Ariff and Luc Can (2008)</w:t>
            </w:r>
          </w:p>
        </w:tc>
        <w:tc>
          <w:tcPr>
            <w:tcW w:w="2148" w:type="dxa"/>
            <w:tcMar/>
          </w:tcPr>
          <w:p w:rsidR="2B7FFB25" w:rsidP="2B7FFB25" w:rsidRDefault="2B7FFB25" w14:paraId="22E1054B" w14:textId="5D3CEB05">
            <w:pPr>
              <w:jc w:val="center"/>
              <w:rPr>
                <w:rFonts w:hint="eastAsia"/>
              </w:rPr>
            </w:pPr>
            <w:r w:rsidRPr="2B7FFB25">
              <w:rPr>
                <w:rFonts w:ascii="Aptos" w:hAnsi="Aptos" w:eastAsia="Aptos" w:cs="Aptos"/>
                <w:color w:val="000000" w:themeColor="text1"/>
                <w:sz w:val="19"/>
                <w:szCs w:val="19"/>
              </w:rPr>
              <w:t>Profit-Oriented Approach</w:t>
            </w:r>
          </w:p>
        </w:tc>
        <w:tc>
          <w:tcPr>
            <w:tcW w:w="2148" w:type="dxa"/>
            <w:tcMar/>
          </w:tcPr>
          <w:p w:rsidR="2B7FFB25" w:rsidP="2B7FFB25" w:rsidRDefault="2B7FFB25" w14:paraId="62B2A3C7" w14:textId="3F2AD758">
            <w:pPr>
              <w:jc w:val="center"/>
              <w:rPr>
                <w:rFonts w:hint="eastAsia"/>
              </w:rPr>
            </w:pPr>
            <w:r w:rsidRPr="2B7FFB25">
              <w:rPr>
                <w:rFonts w:ascii="Aptos" w:hAnsi="Aptos" w:eastAsia="Aptos" w:cs="Aptos"/>
                <w:color w:val="000000" w:themeColor="text1"/>
                <w:sz w:val="19"/>
                <w:szCs w:val="19"/>
              </w:rPr>
              <w:t>Loanable funds, Number of employees, Physical capital</w:t>
            </w:r>
          </w:p>
        </w:tc>
        <w:tc>
          <w:tcPr>
            <w:tcW w:w="2144" w:type="dxa"/>
            <w:tcMar/>
          </w:tcPr>
          <w:p w:rsidR="2B7FFB25" w:rsidP="2B7FFB25" w:rsidRDefault="2B7FFB25" w14:paraId="2943736F" w14:textId="32EEA8D9">
            <w:pPr>
              <w:jc w:val="center"/>
              <w:rPr>
                <w:rFonts w:hint="eastAsia"/>
              </w:rPr>
            </w:pPr>
            <w:r w:rsidRPr="2B7FFB25">
              <w:rPr>
                <w:rFonts w:ascii="Aptos" w:hAnsi="Aptos" w:eastAsia="Aptos" w:cs="Aptos"/>
                <w:color w:val="000000" w:themeColor="text1"/>
                <w:sz w:val="19"/>
                <w:szCs w:val="19"/>
              </w:rPr>
              <w:t>Loans, Investments</w:t>
            </w:r>
          </w:p>
        </w:tc>
      </w:tr>
      <w:tr w:rsidRPr="00CE5391" w:rsidR="0083327C" w:rsidTr="4F940BA9" w14:paraId="06136D01" w14:textId="77777777">
        <w:trPr>
          <w:trHeight w:val="284"/>
        </w:trPr>
        <w:tc>
          <w:tcPr>
            <w:tcW w:w="710" w:type="pct"/>
            <w:tcMar/>
          </w:tcPr>
          <w:p w:rsidRPr="00ED5776" w:rsidR="0083327C" w:rsidP="0083327C" w:rsidRDefault="0083327C" w14:paraId="678263A3" w14:textId="2A7EF890">
            <w:pPr>
              <w:jc w:val="center"/>
              <w:rPr>
                <w:rFonts w:hint="eastAsia" w:cs="Calibri"/>
                <w:sz w:val="20"/>
                <w:szCs w:val="20"/>
                <w:lang w:eastAsia="zh-CN"/>
              </w:rPr>
            </w:pPr>
            <w:r>
              <w:rPr>
                <w:rFonts w:cs="Calibri"/>
                <w:sz w:val="20"/>
                <w:szCs w:val="20"/>
                <w:lang w:eastAsia="zh-CN"/>
              </w:rPr>
              <w:t>30</w:t>
            </w:r>
          </w:p>
        </w:tc>
        <w:tc>
          <w:tcPr>
            <w:tcW w:w="710" w:type="pct"/>
            <w:tcMar/>
          </w:tcPr>
          <w:p w:rsidRPr="00E9480F" w:rsidR="0083327C" w:rsidP="0083327C" w:rsidRDefault="0083327C" w14:paraId="742E1DAF" w14:textId="3CC83412">
            <w:pPr>
              <w:jc w:val="center"/>
              <w:rPr>
                <w:rFonts w:hint="eastAsia" w:cs="Calibri"/>
                <w:sz w:val="20"/>
                <w:szCs w:val="20"/>
                <w:lang w:eastAsia="zh-CN"/>
              </w:rPr>
            </w:pPr>
            <w:r w:rsidRPr="00ED5776">
              <w:rPr>
                <w:rFonts w:cs="Calibri"/>
                <w:sz w:val="20"/>
                <w:szCs w:val="20"/>
                <w:lang w:eastAsia="zh-CN"/>
              </w:rPr>
              <w:t xml:space="preserve">Fukuyama and Tan </w:t>
            </w:r>
            <w:r>
              <w:rPr>
                <w:rFonts w:cs="Calibri"/>
                <w:sz w:val="20"/>
                <w:szCs w:val="20"/>
                <w:lang w:eastAsia="zh-CN"/>
              </w:rPr>
              <w:t>(</w:t>
            </w:r>
            <w:r w:rsidRPr="00ED5776">
              <w:rPr>
                <w:rFonts w:cs="Calibri"/>
                <w:sz w:val="20"/>
                <w:szCs w:val="20"/>
                <w:lang w:eastAsia="zh-CN"/>
              </w:rPr>
              <w:t>2022)</w:t>
            </w:r>
          </w:p>
        </w:tc>
        <w:tc>
          <w:tcPr>
            <w:tcW w:w="1194" w:type="pct"/>
            <w:tcMar/>
          </w:tcPr>
          <w:p w:rsidR="0083327C" w:rsidP="0083327C" w:rsidRDefault="0083327C" w14:paraId="2835C361" w14:textId="54CFBBD9">
            <w:pPr>
              <w:jc w:val="center"/>
              <w:rPr>
                <w:rFonts w:eastAsia="Arial Unicode MS" w:cs="Arial Unicode MS"/>
                <w:color w:val="000000" w:themeColor="text1"/>
                <w:sz w:val="20"/>
                <w:szCs w:val="20"/>
                <w:lang w:eastAsia="zh-CN"/>
              </w:rPr>
            </w:pPr>
            <w:r w:rsidRPr="007E2E50">
              <w:rPr>
                <w:rFonts w:eastAsia="Arial Unicode MS" w:cs="Arial Unicode MS"/>
                <w:color w:val="000000" w:themeColor="text1"/>
                <w:sz w:val="20"/>
                <w:szCs w:val="20"/>
                <w:lang w:eastAsia="zh-CN"/>
              </w:rPr>
              <w:t>Profit Oriented Approach</w:t>
            </w:r>
          </w:p>
        </w:tc>
        <w:tc>
          <w:tcPr>
            <w:tcW w:w="1194" w:type="pct"/>
            <w:tcMar/>
          </w:tcPr>
          <w:p w:rsidR="0083327C" w:rsidP="0083327C" w:rsidRDefault="0083327C" w14:paraId="31951D02" w14:textId="77777777">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Labor, capital, fixed assets, expenses</w:t>
            </w:r>
          </w:p>
        </w:tc>
        <w:tc>
          <w:tcPr>
            <w:tcW w:w="1192" w:type="pct"/>
            <w:tcMar/>
          </w:tcPr>
          <w:p w:rsidR="0083327C" w:rsidP="0083327C" w:rsidRDefault="0083327C" w14:paraId="4086951E" w14:textId="77777777">
            <w:pPr>
              <w:jc w:val="center"/>
              <w:rPr>
                <w:rFonts w:hint="eastAsia" w:cs="Calibri"/>
                <w:sz w:val="20"/>
                <w:szCs w:val="20"/>
              </w:rPr>
            </w:pPr>
            <w:r>
              <w:rPr>
                <w:rFonts w:cs="Calibri"/>
                <w:sz w:val="20"/>
                <w:szCs w:val="20"/>
              </w:rPr>
              <w:t>Interest income, non-interest income</w:t>
            </w:r>
          </w:p>
        </w:tc>
      </w:tr>
      <w:tr w:rsidR="2B7FFB25" w:rsidTr="4F940BA9" w14:paraId="14FF8DA8" w14:textId="77777777">
        <w:trPr>
          <w:trHeight w:val="284"/>
        </w:trPr>
        <w:tc>
          <w:tcPr>
            <w:tcW w:w="1278" w:type="dxa"/>
            <w:tcMar/>
          </w:tcPr>
          <w:p w:rsidR="4403E694" w:rsidP="2B7FFB25" w:rsidRDefault="4403E694" w14:paraId="17C38474" w14:textId="455D1510">
            <w:pPr>
              <w:jc w:val="center"/>
              <w:rPr>
                <w:rFonts w:hint="eastAsia" w:cs="Calibri"/>
                <w:sz w:val="20"/>
                <w:szCs w:val="20"/>
                <w:lang w:eastAsia="zh-CN"/>
              </w:rPr>
            </w:pPr>
            <w:r w:rsidRPr="2B7FFB25">
              <w:rPr>
                <w:rFonts w:cs="Calibri"/>
                <w:sz w:val="20"/>
                <w:szCs w:val="20"/>
                <w:lang w:eastAsia="zh-CN"/>
              </w:rPr>
              <w:t>33</w:t>
            </w:r>
          </w:p>
        </w:tc>
        <w:tc>
          <w:tcPr>
            <w:tcW w:w="1277" w:type="dxa"/>
            <w:tcMar/>
          </w:tcPr>
          <w:p w:rsidR="4403E694" w:rsidP="2B7FFB25" w:rsidRDefault="4403E694" w14:paraId="44B068D0" w14:textId="23C6245E">
            <w:pPr>
              <w:jc w:val="center"/>
              <w:rPr>
                <w:rFonts w:hint="eastAsia"/>
              </w:rPr>
            </w:pPr>
            <w:r w:rsidRPr="2B7FFB25">
              <w:rPr>
                <w:rFonts w:ascii="Aptos" w:hAnsi="Aptos" w:eastAsia="Aptos" w:cs="Aptos"/>
                <w:color w:val="000000" w:themeColor="text1"/>
                <w:sz w:val="19"/>
                <w:szCs w:val="19"/>
              </w:rPr>
              <w:t>Xiaohong Liu, Feng Yang, Jie Wu (2020)</w:t>
            </w:r>
          </w:p>
        </w:tc>
        <w:tc>
          <w:tcPr>
            <w:tcW w:w="2148" w:type="dxa"/>
            <w:tcMar/>
          </w:tcPr>
          <w:p w:rsidR="2B7FFB25" w:rsidP="2B7FFB25" w:rsidRDefault="2B7FFB25" w14:paraId="0BF8F19E" w14:textId="4FC62193">
            <w:pPr>
              <w:jc w:val="center"/>
              <w:rPr>
                <w:rFonts w:hint="eastAsia"/>
              </w:rPr>
            </w:pPr>
            <w:r w:rsidRPr="2B7FFB25">
              <w:rPr>
                <w:rFonts w:ascii="Aptos" w:hAnsi="Aptos" w:eastAsia="Aptos" w:cs="Aptos"/>
                <w:color w:val="000000" w:themeColor="text1"/>
                <w:sz w:val="19"/>
                <w:szCs w:val="19"/>
              </w:rPr>
              <w:t>Intermediation approach</w:t>
            </w:r>
          </w:p>
        </w:tc>
        <w:tc>
          <w:tcPr>
            <w:tcW w:w="2148" w:type="dxa"/>
            <w:tcMar/>
          </w:tcPr>
          <w:p w:rsidR="2B7FFB25" w:rsidP="2B7FFB25" w:rsidRDefault="2B7FFB25" w14:paraId="347A34AC" w14:textId="373C59EA">
            <w:pPr>
              <w:jc w:val="center"/>
              <w:rPr>
                <w:rFonts w:hint="eastAsia"/>
              </w:rPr>
            </w:pPr>
            <w:r w:rsidRPr="2B7FFB25">
              <w:rPr>
                <w:rFonts w:ascii="Aptos" w:hAnsi="Aptos" w:eastAsia="Aptos" w:cs="Aptos"/>
                <w:color w:val="000000" w:themeColor="text1"/>
                <w:sz w:val="19"/>
                <w:szCs w:val="19"/>
              </w:rPr>
              <w:t>Fixed assets, labor, operating expenses</w:t>
            </w:r>
          </w:p>
        </w:tc>
        <w:tc>
          <w:tcPr>
            <w:tcW w:w="2144" w:type="dxa"/>
            <w:tcMar/>
          </w:tcPr>
          <w:p w:rsidR="2B7FFB25" w:rsidP="2B7FFB25" w:rsidRDefault="2B7FFB25" w14:paraId="202DDF3D" w14:textId="01E94680">
            <w:pPr>
              <w:jc w:val="center"/>
              <w:rPr>
                <w:rFonts w:hint="eastAsia"/>
              </w:rPr>
            </w:pPr>
            <w:r w:rsidRPr="2B7FFB25">
              <w:rPr>
                <w:rFonts w:ascii="Aptos" w:hAnsi="Aptos" w:eastAsia="Aptos" w:cs="Aptos"/>
                <w:color w:val="000000" w:themeColor="text1"/>
                <w:sz w:val="19"/>
                <w:szCs w:val="19"/>
              </w:rPr>
              <w:t>Loan, Interest Income, and Non-performing loan ratio</w:t>
            </w:r>
          </w:p>
        </w:tc>
      </w:tr>
      <w:tr w:rsidRPr="00CE5391" w:rsidR="0083327C" w:rsidTr="4F940BA9" w14:paraId="725806E1" w14:textId="77777777">
        <w:trPr>
          <w:trHeight w:val="284"/>
        </w:trPr>
        <w:tc>
          <w:tcPr>
            <w:tcW w:w="710" w:type="pct"/>
            <w:tcMar/>
          </w:tcPr>
          <w:p w:rsidRPr="00C61C2E" w:rsidR="0083327C" w:rsidP="0083327C" w:rsidRDefault="0083327C" w14:paraId="0ADA1050" w14:textId="641263C2">
            <w:pPr>
              <w:jc w:val="center"/>
              <w:rPr>
                <w:rFonts w:hint="eastAsia" w:cs="Calibri"/>
                <w:sz w:val="20"/>
                <w:szCs w:val="20"/>
                <w:lang w:eastAsia="zh-CN"/>
              </w:rPr>
            </w:pPr>
            <w:r>
              <w:rPr>
                <w:rFonts w:cs="Calibri"/>
                <w:sz w:val="20"/>
                <w:szCs w:val="20"/>
                <w:lang w:eastAsia="zh-CN"/>
              </w:rPr>
              <w:t>35</w:t>
            </w:r>
          </w:p>
        </w:tc>
        <w:tc>
          <w:tcPr>
            <w:tcW w:w="710" w:type="pct"/>
            <w:tcMar/>
          </w:tcPr>
          <w:p w:rsidRPr="00ED5776" w:rsidR="0083327C" w:rsidP="0083327C" w:rsidRDefault="0083327C" w14:paraId="32496F52" w14:textId="3ECAF306">
            <w:pPr>
              <w:jc w:val="center"/>
              <w:rPr>
                <w:rFonts w:hint="eastAsia" w:cs="Calibri"/>
                <w:sz w:val="20"/>
                <w:szCs w:val="20"/>
                <w:lang w:eastAsia="zh-CN"/>
              </w:rPr>
            </w:pPr>
            <w:r w:rsidRPr="00C61C2E">
              <w:rPr>
                <w:rFonts w:cs="Calibri"/>
                <w:sz w:val="20"/>
                <w:szCs w:val="20"/>
                <w:lang w:eastAsia="zh-CN"/>
              </w:rPr>
              <w:t>Yu et al.</w:t>
            </w:r>
            <w:r>
              <w:rPr>
                <w:rFonts w:cs="Calibri"/>
                <w:sz w:val="20"/>
                <w:szCs w:val="20"/>
                <w:lang w:eastAsia="zh-CN"/>
              </w:rPr>
              <w:t xml:space="preserve"> (</w:t>
            </w:r>
            <w:r w:rsidRPr="00C61C2E">
              <w:rPr>
                <w:rFonts w:cs="Calibri"/>
                <w:sz w:val="20"/>
                <w:szCs w:val="20"/>
                <w:lang w:eastAsia="zh-CN"/>
              </w:rPr>
              <w:t>2019)</w:t>
            </w:r>
          </w:p>
        </w:tc>
        <w:tc>
          <w:tcPr>
            <w:tcW w:w="1194" w:type="pct"/>
            <w:tcMar/>
          </w:tcPr>
          <w:p w:rsidR="0083327C" w:rsidP="0083327C" w:rsidRDefault="0083327C" w14:paraId="464059DB" w14:textId="32B28F25">
            <w:pPr>
              <w:jc w:val="center"/>
              <w:rPr>
                <w:rFonts w:eastAsia="Arial Unicode MS" w:cs="Arial Unicode MS"/>
                <w:color w:val="000000" w:themeColor="text1"/>
                <w:sz w:val="20"/>
                <w:szCs w:val="20"/>
                <w:lang w:eastAsia="zh-CN"/>
              </w:rPr>
            </w:pPr>
            <w:r w:rsidRPr="007E2E50">
              <w:rPr>
                <w:rFonts w:eastAsia="Arial Unicode MS" w:cs="Arial Unicode MS"/>
                <w:color w:val="000000" w:themeColor="text1"/>
                <w:sz w:val="20"/>
                <w:szCs w:val="20"/>
                <w:lang w:eastAsia="zh-CN"/>
              </w:rPr>
              <w:t>Profit Oriented Approach</w:t>
            </w:r>
          </w:p>
        </w:tc>
        <w:tc>
          <w:tcPr>
            <w:tcW w:w="1194" w:type="pct"/>
            <w:tcMar/>
          </w:tcPr>
          <w:p w:rsidR="0083327C" w:rsidP="0083327C" w:rsidRDefault="0083327C" w14:paraId="2DC401D3" w14:textId="77777777">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Capital stock, employed labor, deposit</w:t>
            </w:r>
          </w:p>
        </w:tc>
        <w:tc>
          <w:tcPr>
            <w:tcW w:w="1192" w:type="pct"/>
            <w:tcMar/>
          </w:tcPr>
          <w:p w:rsidR="0083327C" w:rsidP="0083327C" w:rsidRDefault="0083327C" w14:paraId="5386B845" w14:textId="77777777">
            <w:pPr>
              <w:jc w:val="center"/>
              <w:rPr>
                <w:rFonts w:hint="eastAsia" w:cs="Calibri"/>
                <w:sz w:val="20"/>
                <w:szCs w:val="20"/>
              </w:rPr>
            </w:pPr>
            <w:r>
              <w:rPr>
                <w:rFonts w:cs="Calibri"/>
                <w:sz w:val="20"/>
                <w:szCs w:val="20"/>
              </w:rPr>
              <w:t>Interest income, operational income, non-performing loan</w:t>
            </w:r>
          </w:p>
        </w:tc>
      </w:tr>
      <w:tr w:rsidR="2B7FFB25" w:rsidTr="4F940BA9" w14:paraId="2CBD6A3D" w14:textId="77777777">
        <w:trPr>
          <w:trHeight w:val="284"/>
        </w:trPr>
        <w:tc>
          <w:tcPr>
            <w:tcW w:w="1278" w:type="dxa"/>
            <w:tcMar/>
          </w:tcPr>
          <w:p w:rsidR="7C9647D4" w:rsidP="2B7FFB25" w:rsidRDefault="7C9647D4" w14:paraId="4B351F2D" w14:textId="06724676">
            <w:pPr>
              <w:jc w:val="center"/>
              <w:rPr>
                <w:rFonts w:hint="eastAsia" w:cs="Calibri"/>
                <w:sz w:val="20"/>
                <w:szCs w:val="20"/>
                <w:lang w:eastAsia="zh-CN"/>
              </w:rPr>
            </w:pPr>
            <w:r w:rsidRPr="2B7FFB25">
              <w:rPr>
                <w:rFonts w:cs="Calibri"/>
                <w:sz w:val="20"/>
                <w:szCs w:val="20"/>
                <w:lang w:eastAsia="zh-CN"/>
              </w:rPr>
              <w:t>38</w:t>
            </w:r>
          </w:p>
        </w:tc>
        <w:tc>
          <w:tcPr>
            <w:tcW w:w="1277" w:type="dxa"/>
            <w:tcMar/>
          </w:tcPr>
          <w:p w:rsidR="7C9647D4" w:rsidP="2B7FFB25" w:rsidRDefault="7C9647D4" w14:paraId="239F3445" w14:textId="1927D9E0">
            <w:pPr>
              <w:jc w:val="center"/>
              <w:rPr>
                <w:rFonts w:hint="eastAsia"/>
              </w:rPr>
            </w:pPr>
            <w:r w:rsidRPr="2B7FFB25">
              <w:rPr>
                <w:rFonts w:ascii="Aptos" w:hAnsi="Aptos" w:eastAsia="Aptos" w:cs="Aptos"/>
                <w:color w:val="000000" w:themeColor="text1"/>
                <w:sz w:val="19"/>
                <w:szCs w:val="19"/>
              </w:rPr>
              <w:t>Tsui-Yueh Cho, Yi-Shuan Chen (2021)</w:t>
            </w:r>
          </w:p>
        </w:tc>
        <w:tc>
          <w:tcPr>
            <w:tcW w:w="2148" w:type="dxa"/>
            <w:tcMar/>
          </w:tcPr>
          <w:p w:rsidR="2B7FFB25" w:rsidP="2B7FFB25" w:rsidRDefault="2B7FFB25" w14:paraId="3302C197" w14:textId="17DE64F6">
            <w:pPr>
              <w:jc w:val="center"/>
              <w:rPr>
                <w:rFonts w:hint="eastAsia"/>
              </w:rPr>
            </w:pPr>
            <w:r w:rsidRPr="2B7FFB25">
              <w:rPr>
                <w:rFonts w:ascii="Aptos" w:hAnsi="Aptos" w:eastAsia="Aptos" w:cs="Aptos"/>
                <w:color w:val="000000" w:themeColor="text1"/>
                <w:sz w:val="19"/>
                <w:szCs w:val="19"/>
              </w:rPr>
              <w:t>Intermediation approach</w:t>
            </w:r>
          </w:p>
        </w:tc>
        <w:tc>
          <w:tcPr>
            <w:tcW w:w="2148" w:type="dxa"/>
            <w:tcMar/>
          </w:tcPr>
          <w:p w:rsidR="2B7FFB25" w:rsidP="2B7FFB25" w:rsidRDefault="2B7FFB25" w14:paraId="3512C0A5" w14:textId="77B9E580">
            <w:pPr>
              <w:jc w:val="center"/>
              <w:rPr>
                <w:rFonts w:hint="eastAsia"/>
              </w:rPr>
            </w:pPr>
            <w:r w:rsidRPr="2B7FFB25">
              <w:rPr>
                <w:rFonts w:ascii="Aptos" w:hAnsi="Aptos" w:eastAsia="Aptos" w:cs="Aptos"/>
                <w:color w:val="000000" w:themeColor="text1"/>
                <w:sz w:val="19"/>
                <w:szCs w:val="19"/>
              </w:rPr>
              <w:t>Labor cost, total deposits, total money market funding, other funding, Business and management expenses</w:t>
            </w:r>
          </w:p>
        </w:tc>
        <w:tc>
          <w:tcPr>
            <w:tcW w:w="2144" w:type="dxa"/>
            <w:tcMar/>
          </w:tcPr>
          <w:p w:rsidR="2B7FFB25" w:rsidP="2B7FFB25" w:rsidRDefault="2B7FFB25" w14:paraId="5671B2F5" w14:textId="668A9E93">
            <w:pPr>
              <w:jc w:val="center"/>
              <w:rPr>
                <w:rFonts w:hint="eastAsia"/>
              </w:rPr>
            </w:pPr>
            <w:r w:rsidRPr="2B7FFB25">
              <w:rPr>
                <w:rFonts w:ascii="Aptos" w:hAnsi="Aptos" w:eastAsia="Aptos" w:cs="Aptos"/>
                <w:color w:val="000000" w:themeColor="text1"/>
                <w:sz w:val="19"/>
                <w:szCs w:val="19"/>
              </w:rPr>
              <w:t>Total loans, total earning assets, Fee income plus comission income</w:t>
            </w:r>
          </w:p>
        </w:tc>
      </w:tr>
      <w:tr w:rsidRPr="00CE5391" w:rsidR="00E810C4" w:rsidTr="4F940BA9" w14:paraId="3599D584" w14:textId="77777777">
        <w:trPr>
          <w:trHeight w:val="284"/>
        </w:trPr>
        <w:tc>
          <w:tcPr>
            <w:tcW w:w="710" w:type="pct"/>
            <w:tcMar/>
          </w:tcPr>
          <w:p w:rsidRPr="009F48DA" w:rsidR="00E810C4" w:rsidP="00E810C4" w:rsidRDefault="00E810C4" w14:paraId="462F5E89" w14:textId="3089F334">
            <w:pPr>
              <w:jc w:val="center"/>
              <w:rPr>
                <w:rFonts w:hint="eastAsia" w:cs="Calibri"/>
                <w:sz w:val="20"/>
                <w:szCs w:val="20"/>
                <w:lang w:eastAsia="zh-CN"/>
              </w:rPr>
            </w:pPr>
            <w:r>
              <w:rPr>
                <w:rFonts w:cs="Calibri"/>
                <w:sz w:val="20"/>
                <w:szCs w:val="20"/>
                <w:lang w:eastAsia="zh-CN"/>
              </w:rPr>
              <w:t>40</w:t>
            </w:r>
          </w:p>
        </w:tc>
        <w:tc>
          <w:tcPr>
            <w:tcW w:w="710" w:type="pct"/>
            <w:tcMar/>
          </w:tcPr>
          <w:p w:rsidRPr="00C61C2E" w:rsidR="00E810C4" w:rsidP="00E810C4" w:rsidRDefault="00E810C4" w14:paraId="360CE172" w14:textId="00011FD8">
            <w:pPr>
              <w:jc w:val="center"/>
              <w:rPr>
                <w:rFonts w:hint="eastAsia" w:cs="Calibri"/>
                <w:sz w:val="20"/>
                <w:szCs w:val="20"/>
                <w:lang w:eastAsia="zh-CN"/>
              </w:rPr>
            </w:pPr>
            <w:r w:rsidRPr="009F48DA">
              <w:rPr>
                <w:rFonts w:cs="Calibri"/>
                <w:sz w:val="20"/>
                <w:szCs w:val="20"/>
                <w:lang w:eastAsia="zh-CN"/>
              </w:rPr>
              <w:t>Zhu, Li and Liang (2018)</w:t>
            </w:r>
          </w:p>
        </w:tc>
        <w:tc>
          <w:tcPr>
            <w:tcW w:w="1194" w:type="pct"/>
            <w:tcMar/>
          </w:tcPr>
          <w:p w:rsidR="00E810C4" w:rsidP="00E810C4" w:rsidRDefault="00E810C4" w14:paraId="2731A80F" w14:textId="316859DE">
            <w:pPr>
              <w:jc w:val="center"/>
              <w:rPr>
                <w:rFonts w:eastAsia="Arial Unicode MS" w:cs="Arial Unicode MS"/>
                <w:color w:val="000000" w:themeColor="text1"/>
                <w:sz w:val="20"/>
                <w:szCs w:val="20"/>
                <w:lang w:eastAsia="zh-CN"/>
              </w:rPr>
            </w:pPr>
            <w:r w:rsidRPr="00867F31">
              <w:rPr>
                <w:rFonts w:eastAsia="Arial Unicode MS" w:cs="Arial Unicode MS"/>
                <w:color w:val="000000" w:themeColor="text1"/>
                <w:sz w:val="20"/>
                <w:szCs w:val="20"/>
                <w:lang w:eastAsia="zh-CN"/>
              </w:rPr>
              <w:t>Intermediation Approach</w:t>
            </w:r>
          </w:p>
        </w:tc>
        <w:tc>
          <w:tcPr>
            <w:tcW w:w="1194" w:type="pct"/>
            <w:tcMar/>
          </w:tcPr>
          <w:p w:rsidR="00E810C4" w:rsidP="00E810C4" w:rsidRDefault="00E810C4" w14:paraId="37091287" w14:textId="77777777">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Fixed asset, operational cost, staff wages, reserve</w:t>
            </w:r>
          </w:p>
        </w:tc>
        <w:tc>
          <w:tcPr>
            <w:tcW w:w="1192" w:type="pct"/>
            <w:tcMar/>
          </w:tcPr>
          <w:p w:rsidR="00E810C4" w:rsidP="00E810C4" w:rsidRDefault="00E810C4" w14:paraId="72189F07" w14:textId="77777777">
            <w:pPr>
              <w:jc w:val="center"/>
              <w:rPr>
                <w:rFonts w:hint="eastAsia" w:cs="Calibri"/>
                <w:sz w:val="20"/>
                <w:szCs w:val="20"/>
              </w:rPr>
            </w:pPr>
            <w:r>
              <w:rPr>
                <w:rFonts w:cs="Calibri"/>
                <w:sz w:val="20"/>
                <w:szCs w:val="20"/>
              </w:rPr>
              <w:t>Net increase in bank advances (loan and credit) to customers, return on investment</w:t>
            </w:r>
          </w:p>
        </w:tc>
      </w:tr>
      <w:tr w:rsidR="2B7FFB25" w:rsidTr="4F940BA9" w14:paraId="5BE245CC" w14:textId="77777777">
        <w:trPr>
          <w:trHeight w:val="284"/>
        </w:trPr>
        <w:tc>
          <w:tcPr>
            <w:tcW w:w="1278" w:type="dxa"/>
            <w:tcMar/>
          </w:tcPr>
          <w:p w:rsidR="513E66DE" w:rsidP="2B7FFB25" w:rsidRDefault="513E66DE" w14:paraId="52FCAB3D" w14:textId="781FF698">
            <w:pPr>
              <w:jc w:val="center"/>
              <w:rPr>
                <w:rFonts w:hint="eastAsia" w:cs="Calibri"/>
                <w:sz w:val="20"/>
                <w:szCs w:val="20"/>
                <w:lang w:eastAsia="zh-CN"/>
              </w:rPr>
            </w:pPr>
            <w:r w:rsidRPr="2B7FFB25">
              <w:rPr>
                <w:rFonts w:cs="Calibri"/>
                <w:sz w:val="20"/>
                <w:szCs w:val="20"/>
                <w:lang w:eastAsia="zh-CN"/>
              </w:rPr>
              <w:t>43</w:t>
            </w:r>
          </w:p>
        </w:tc>
        <w:tc>
          <w:tcPr>
            <w:tcW w:w="1277" w:type="dxa"/>
            <w:tcMar/>
          </w:tcPr>
          <w:p w:rsidR="513E66DE" w:rsidP="2B7FFB25" w:rsidRDefault="513E66DE" w14:paraId="3B1A5D5E" w14:textId="1632B6EC">
            <w:pPr>
              <w:jc w:val="center"/>
              <w:rPr>
                <w:rFonts w:hint="eastAsia"/>
              </w:rPr>
            </w:pPr>
            <w:r w:rsidRPr="2B7FFB25">
              <w:rPr>
                <w:rFonts w:ascii="Aptos" w:hAnsi="Aptos" w:eastAsia="Aptos" w:cs="Aptos"/>
                <w:color w:val="000000" w:themeColor="text1"/>
                <w:sz w:val="19"/>
                <w:szCs w:val="19"/>
              </w:rPr>
              <w:t>Rasoul Rezvanian, Rima Truk Ariss, Sayed M. Mehdian, (2010)</w:t>
            </w:r>
          </w:p>
        </w:tc>
        <w:tc>
          <w:tcPr>
            <w:tcW w:w="2148" w:type="dxa"/>
            <w:tcMar/>
          </w:tcPr>
          <w:p w:rsidR="2B7FFB25" w:rsidP="2B7FFB25" w:rsidRDefault="2B7FFB25" w14:paraId="582C1FFA" w14:textId="4130AE0D">
            <w:pPr>
              <w:jc w:val="center"/>
              <w:rPr>
                <w:rFonts w:hint="eastAsia"/>
              </w:rPr>
            </w:pPr>
            <w:r w:rsidRPr="2B7FFB25">
              <w:rPr>
                <w:rFonts w:ascii="Aptos" w:hAnsi="Aptos" w:eastAsia="Aptos" w:cs="Aptos"/>
                <w:color w:val="000000" w:themeColor="text1"/>
                <w:sz w:val="19"/>
                <w:szCs w:val="19"/>
              </w:rPr>
              <w:t>Intermediation Approach</w:t>
            </w:r>
          </w:p>
        </w:tc>
        <w:tc>
          <w:tcPr>
            <w:tcW w:w="2148" w:type="dxa"/>
            <w:tcMar/>
          </w:tcPr>
          <w:p w:rsidR="2B7FFB25" w:rsidP="2B7FFB25" w:rsidRDefault="2B7FFB25" w14:paraId="6B3100A1" w14:textId="21B70846">
            <w:pPr>
              <w:jc w:val="center"/>
              <w:rPr>
                <w:rFonts w:hint="eastAsia"/>
              </w:rPr>
            </w:pPr>
            <w:r w:rsidRPr="2B7FFB25">
              <w:rPr>
                <w:rFonts w:ascii="Aptos" w:hAnsi="Aptos" w:eastAsia="Aptos" w:cs="Aptos"/>
                <w:color w:val="000000" w:themeColor="text1"/>
                <w:sz w:val="19"/>
                <w:szCs w:val="19"/>
              </w:rPr>
              <w:t>Borrowed funds, labor and fixed asstes</w:t>
            </w:r>
          </w:p>
        </w:tc>
        <w:tc>
          <w:tcPr>
            <w:tcW w:w="2144" w:type="dxa"/>
            <w:tcMar/>
          </w:tcPr>
          <w:p w:rsidR="2B7FFB25" w:rsidP="2B7FFB25" w:rsidRDefault="2B7FFB25" w14:paraId="1147A0B1" w14:textId="5C1F9D37">
            <w:pPr>
              <w:jc w:val="center"/>
              <w:rPr>
                <w:rFonts w:hint="eastAsia"/>
              </w:rPr>
            </w:pPr>
            <w:r w:rsidRPr="2B7FFB25">
              <w:rPr>
                <w:rFonts w:ascii="Aptos" w:hAnsi="Aptos" w:eastAsia="Aptos" w:cs="Aptos"/>
                <w:color w:val="000000" w:themeColor="text1"/>
                <w:sz w:val="19"/>
                <w:szCs w:val="19"/>
              </w:rPr>
              <w:t>Net loans, deposits, other earning assets</w:t>
            </w:r>
          </w:p>
        </w:tc>
      </w:tr>
      <w:tr w:rsidRPr="00CE5391" w:rsidR="00E810C4" w:rsidTr="4F940BA9" w14:paraId="081C4DCC" w14:textId="77777777">
        <w:trPr>
          <w:trHeight w:val="284"/>
        </w:trPr>
        <w:tc>
          <w:tcPr>
            <w:tcW w:w="710" w:type="pct"/>
            <w:tcMar/>
          </w:tcPr>
          <w:p w:rsidRPr="00386881" w:rsidR="00E810C4" w:rsidP="00E810C4" w:rsidRDefault="00E810C4" w14:paraId="40B43B46" w14:textId="3743D0AE">
            <w:pPr>
              <w:jc w:val="center"/>
              <w:rPr>
                <w:rFonts w:hint="eastAsia" w:cs="Calibri"/>
                <w:sz w:val="20"/>
                <w:szCs w:val="20"/>
                <w:lang w:eastAsia="zh-CN"/>
              </w:rPr>
            </w:pPr>
            <w:r>
              <w:rPr>
                <w:rFonts w:cs="Calibri"/>
                <w:sz w:val="20"/>
                <w:szCs w:val="20"/>
                <w:lang w:eastAsia="zh-CN"/>
              </w:rPr>
              <w:t>45</w:t>
            </w:r>
          </w:p>
        </w:tc>
        <w:tc>
          <w:tcPr>
            <w:tcW w:w="710" w:type="pct"/>
            <w:tcMar/>
          </w:tcPr>
          <w:p w:rsidRPr="009F48DA" w:rsidR="00E810C4" w:rsidP="00E810C4" w:rsidRDefault="00E810C4" w14:paraId="69A0FA19" w14:textId="3328D65B">
            <w:pPr>
              <w:jc w:val="center"/>
              <w:rPr>
                <w:rFonts w:hint="eastAsia" w:cs="Calibri"/>
                <w:sz w:val="20"/>
                <w:szCs w:val="20"/>
                <w:lang w:eastAsia="zh-CN"/>
              </w:rPr>
            </w:pPr>
            <w:r w:rsidRPr="00386881">
              <w:rPr>
                <w:rFonts w:cs="Calibri"/>
                <w:sz w:val="20"/>
                <w:szCs w:val="20"/>
                <w:lang w:eastAsia="zh-CN"/>
              </w:rPr>
              <w:t xml:space="preserve">Wu et al. </w:t>
            </w:r>
            <w:r>
              <w:rPr>
                <w:rFonts w:cs="Calibri"/>
                <w:sz w:val="20"/>
                <w:szCs w:val="20"/>
                <w:lang w:eastAsia="zh-CN"/>
              </w:rPr>
              <w:t>(</w:t>
            </w:r>
            <w:r w:rsidRPr="00386881">
              <w:rPr>
                <w:rFonts w:cs="Calibri"/>
                <w:sz w:val="20"/>
                <w:szCs w:val="20"/>
                <w:lang w:eastAsia="zh-CN"/>
              </w:rPr>
              <w:t>2023)</w:t>
            </w:r>
          </w:p>
        </w:tc>
        <w:tc>
          <w:tcPr>
            <w:tcW w:w="1194" w:type="pct"/>
            <w:tcMar/>
          </w:tcPr>
          <w:p w:rsidR="00E810C4" w:rsidP="00E810C4" w:rsidRDefault="00E810C4" w14:paraId="5FA7866B" w14:textId="0F1F9246">
            <w:pPr>
              <w:jc w:val="center"/>
              <w:rPr>
                <w:rFonts w:eastAsia="Arial Unicode MS" w:cs="Arial Unicode MS"/>
                <w:color w:val="000000" w:themeColor="text1"/>
                <w:sz w:val="20"/>
                <w:szCs w:val="20"/>
                <w:lang w:eastAsia="zh-CN"/>
              </w:rPr>
            </w:pPr>
            <w:r w:rsidRPr="00867F31">
              <w:rPr>
                <w:rFonts w:eastAsia="Arial Unicode MS" w:cs="Arial Unicode MS"/>
                <w:color w:val="000000" w:themeColor="text1"/>
                <w:sz w:val="20"/>
                <w:szCs w:val="20"/>
                <w:lang w:eastAsia="zh-CN"/>
              </w:rPr>
              <w:t>Intermediation Approach</w:t>
            </w:r>
          </w:p>
        </w:tc>
        <w:tc>
          <w:tcPr>
            <w:tcW w:w="1194" w:type="pct"/>
            <w:tcMar/>
          </w:tcPr>
          <w:p w:rsidR="00E810C4" w:rsidP="00E810C4" w:rsidRDefault="00E810C4" w14:paraId="38DCA1F2" w14:textId="6D941968">
            <w:pPr>
              <w:jc w:val="center"/>
              <w:rPr>
                <w:rFonts w:eastAsia="Arial Unicode MS" w:cs="Arial Unicode MS"/>
                <w:color w:val="000000" w:themeColor="text1"/>
                <w:sz w:val="20"/>
                <w:szCs w:val="20"/>
                <w:lang w:eastAsia="zh-CN"/>
              </w:rPr>
            </w:pPr>
            <w:r>
              <w:rPr>
                <w:rFonts w:eastAsia="Arial Unicode MS" w:cs="Arial Unicode MS"/>
                <w:color w:val="000000" w:themeColor="text1"/>
                <w:sz w:val="20"/>
                <w:szCs w:val="20"/>
                <w:lang w:eastAsia="zh-CN"/>
              </w:rPr>
              <w:t>Fixed asset, employed labor</w:t>
            </w:r>
          </w:p>
          <w:p w:rsidR="00E810C4" w:rsidP="00E810C4" w:rsidRDefault="00E810C4" w14:paraId="033D8A0C" w14:textId="659FAAC2">
            <w:pPr>
              <w:jc w:val="center"/>
              <w:rPr>
                <w:rFonts w:eastAsia="Arial Unicode MS" w:cs="Arial Unicode MS"/>
                <w:color w:val="000000" w:themeColor="text1"/>
                <w:sz w:val="20"/>
                <w:szCs w:val="20"/>
                <w:lang w:eastAsia="zh-CN"/>
              </w:rPr>
            </w:pPr>
          </w:p>
        </w:tc>
        <w:tc>
          <w:tcPr>
            <w:tcW w:w="1192" w:type="pct"/>
            <w:tcMar/>
          </w:tcPr>
          <w:p w:rsidR="00E810C4" w:rsidP="00E810C4" w:rsidRDefault="00E810C4" w14:paraId="6AE5AC9F" w14:textId="77777777">
            <w:pPr>
              <w:jc w:val="center"/>
              <w:rPr>
                <w:rFonts w:hint="eastAsia" w:cs="Calibri"/>
                <w:sz w:val="20"/>
                <w:szCs w:val="20"/>
              </w:rPr>
            </w:pPr>
            <w:r>
              <w:rPr>
                <w:rFonts w:cs="Calibri"/>
                <w:sz w:val="20"/>
                <w:szCs w:val="20"/>
              </w:rPr>
              <w:t>Loans, securities investment, non-performing loan</w:t>
            </w:r>
          </w:p>
        </w:tc>
      </w:tr>
      <w:tr w:rsidR="2B7FFB25" w:rsidTr="4F940BA9" w14:paraId="31A7AC47" w14:textId="77777777">
        <w:trPr>
          <w:trHeight w:val="284"/>
        </w:trPr>
        <w:tc>
          <w:tcPr>
            <w:tcW w:w="1278" w:type="dxa"/>
            <w:tcMar/>
          </w:tcPr>
          <w:p w:rsidR="2B7FFB25" w:rsidP="2B7FFB25" w:rsidRDefault="2B7FFB25" w14:paraId="4C51C954" w14:textId="5B2D6B87">
            <w:pPr>
              <w:jc w:val="center"/>
              <w:rPr>
                <w:rFonts w:hint="eastAsia" w:cs="Calibri"/>
                <w:sz w:val="20"/>
                <w:szCs w:val="20"/>
                <w:lang w:eastAsia="zh-CN"/>
              </w:rPr>
            </w:pPr>
            <w:r w:rsidRPr="2B7FFB25">
              <w:rPr>
                <w:rFonts w:cs="Calibri"/>
                <w:sz w:val="20"/>
                <w:szCs w:val="20"/>
                <w:lang w:eastAsia="zh-CN"/>
              </w:rPr>
              <w:t>1</w:t>
            </w:r>
          </w:p>
        </w:tc>
        <w:tc>
          <w:tcPr>
            <w:tcW w:w="1277" w:type="dxa"/>
            <w:tcMar/>
          </w:tcPr>
          <w:p w:rsidRPr="2E56052F" w:rsidR="2E56052F" w:rsidP="2E56052F" w:rsidRDefault="2E56052F" w14:paraId="27852AC6" w14:textId="32AC6CD0">
            <w:pPr>
              <w:jc w:val="center"/>
              <w:rPr>
                <w:rFonts w:hint="eastAsia" w:cs="Calibri"/>
                <w:sz w:val="20"/>
                <w:szCs w:val="20"/>
                <w:lang w:eastAsia="zh-CN"/>
              </w:rPr>
            </w:pPr>
            <w:r w:rsidRPr="2E56052F">
              <w:rPr>
                <w:rFonts w:cs="Calibri"/>
                <w:sz w:val="20"/>
                <w:szCs w:val="20"/>
                <w:lang w:eastAsia="zh-CN"/>
              </w:rPr>
              <w:t>Necmi K. Avkiran (2011)</w:t>
            </w:r>
          </w:p>
        </w:tc>
        <w:tc>
          <w:tcPr>
            <w:tcW w:w="2148" w:type="dxa"/>
            <w:tcMar/>
          </w:tcPr>
          <w:p w:rsidR="2B7FFB25" w:rsidP="2B7FFB25" w:rsidRDefault="2B7FFB25" w14:paraId="3C846D4B" w14:textId="6C9FA23C">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Intermediation approach</w:t>
            </w:r>
          </w:p>
        </w:tc>
        <w:tc>
          <w:tcPr>
            <w:tcW w:w="2148" w:type="dxa"/>
            <w:tcMar/>
          </w:tcPr>
          <w:p w:rsidR="2B7FFB25" w:rsidP="2B7FFB25" w:rsidRDefault="2B7FFB25" w14:paraId="6795A2B8" w14:textId="51FDE4E1">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Interest expense on customer deposits</w:t>
            </w:r>
          </w:p>
          <w:p w:rsidR="2B7FFB25" w:rsidP="2B7FFB25" w:rsidRDefault="2B7FFB25" w14:paraId="3C1A6C90" w14:textId="15FCFFE8">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Other interest expense</w:t>
            </w:r>
          </w:p>
          <w:p w:rsidR="2B7FFB25" w:rsidP="2B7FFB25" w:rsidRDefault="2B7FFB25" w14:paraId="6007A4FE" w14:textId="47357D18">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Personnel expenses</w:t>
            </w:r>
          </w:p>
          <w:p w:rsidR="2B7FFB25" w:rsidP="2B7FFB25" w:rsidRDefault="2B7FFB25" w14:paraId="7C7CD6A0" w14:textId="1C45905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Other operating expenses</w:t>
            </w:r>
          </w:p>
        </w:tc>
        <w:tc>
          <w:tcPr>
            <w:tcW w:w="2144" w:type="dxa"/>
            <w:tcMar/>
          </w:tcPr>
          <w:p w:rsidR="2B7FFB25" w:rsidP="2B7FFB25" w:rsidRDefault="2B7FFB25" w14:paraId="7F291F08" w14:textId="2764BF6D">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Interest income on loans</w:t>
            </w:r>
          </w:p>
          <w:p w:rsidR="2B7FFB25" w:rsidP="2B7FFB25" w:rsidRDefault="2B7FFB25" w14:paraId="29970AE1" w14:textId="568248B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Other interest income</w:t>
            </w:r>
          </w:p>
          <w:p w:rsidR="2B7FFB25" w:rsidP="2B7FFB25" w:rsidRDefault="2B7FFB25" w14:paraId="68F00EB3" w14:textId="67266446">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Net fees and commissions</w:t>
            </w:r>
          </w:p>
          <w:p w:rsidR="2B7FFB25" w:rsidP="2B7FFB25" w:rsidRDefault="2B7FFB25" w14:paraId="06199B87" w14:textId="77DC6F56">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 xml:space="preserve">Other operating </w:t>
            </w:r>
          </w:p>
          <w:p w:rsidR="2B7FFB25" w:rsidP="2B7FFB25" w:rsidRDefault="2B7FFB25" w14:paraId="394CB0DC" w14:textId="0F5F1B64">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income</w:t>
            </w:r>
          </w:p>
        </w:tc>
      </w:tr>
      <w:tr w:rsidR="2B7FFB25" w:rsidTr="4F940BA9" w14:paraId="01A9EF85" w14:textId="77777777">
        <w:trPr>
          <w:trHeight w:val="284"/>
        </w:trPr>
        <w:tc>
          <w:tcPr>
            <w:tcW w:w="1278" w:type="dxa"/>
            <w:tcMar/>
          </w:tcPr>
          <w:p w:rsidR="2B7FFB25" w:rsidP="2B7FFB25" w:rsidRDefault="2B7FFB25" w14:paraId="1F57158A" w14:textId="275A64CF">
            <w:pPr>
              <w:jc w:val="center"/>
              <w:rPr>
                <w:rFonts w:hint="eastAsia" w:cs="Calibri"/>
                <w:sz w:val="20"/>
                <w:szCs w:val="20"/>
                <w:lang w:eastAsia="zh-CN"/>
              </w:rPr>
            </w:pPr>
            <w:r w:rsidRPr="2B7FFB25">
              <w:rPr>
                <w:rFonts w:cs="Calibri"/>
                <w:sz w:val="20"/>
                <w:szCs w:val="20"/>
                <w:lang w:eastAsia="zh-CN"/>
              </w:rPr>
              <w:t>6</w:t>
            </w:r>
          </w:p>
        </w:tc>
        <w:tc>
          <w:tcPr>
            <w:tcW w:w="1277" w:type="dxa"/>
            <w:tcMar/>
          </w:tcPr>
          <w:p w:rsidRPr="2E56052F" w:rsidR="2E56052F" w:rsidP="2E56052F" w:rsidRDefault="2E56052F" w14:paraId="3C68117C" w14:textId="5313F299">
            <w:pPr>
              <w:jc w:val="center"/>
              <w:rPr>
                <w:rFonts w:hint="eastAsia" w:cs="Calibri"/>
                <w:sz w:val="20"/>
                <w:szCs w:val="20"/>
                <w:lang w:eastAsia="zh-CN"/>
              </w:rPr>
            </w:pPr>
            <w:r w:rsidRPr="2E56052F">
              <w:rPr>
                <w:rFonts w:cs="Calibri"/>
                <w:sz w:val="20"/>
                <w:szCs w:val="20"/>
                <w:lang w:eastAsia="zh-CN"/>
              </w:rPr>
              <w:t>Tan, Wänke,  Antunes,  Emrouznejad (2024)</w:t>
            </w:r>
          </w:p>
        </w:tc>
        <w:tc>
          <w:tcPr>
            <w:tcW w:w="2148" w:type="dxa"/>
            <w:tcMar/>
          </w:tcPr>
          <w:p w:rsidR="2B7FFB25" w:rsidP="2B7FFB25" w:rsidRDefault="2B7FFB25" w14:paraId="1FEC7497" w14:textId="2A01DACB">
            <w:pPr>
              <w:spacing w:line="259" w:lineRule="auto"/>
              <w:jc w:val="center"/>
              <w:rPr>
                <w:rFonts w:ascii="Aptos" w:hAnsi="Aptos" w:eastAsia="Aptos" w:cs="Aptos"/>
                <w:color w:val="000000" w:themeColor="text1"/>
                <w:sz w:val="19"/>
                <w:szCs w:val="19"/>
              </w:rPr>
            </w:pPr>
            <w:r w:rsidRPr="4F940BA9" w:rsidR="11B0C9C4">
              <w:rPr>
                <w:rFonts w:ascii="Aptos" w:hAnsi="Aptos" w:eastAsia="Aptos" w:cs="Aptos"/>
                <w:color w:val="000000" w:themeColor="text1" w:themeTint="FF" w:themeShade="FF"/>
                <w:sz w:val="19"/>
                <w:szCs w:val="19"/>
              </w:rPr>
              <w:t xml:space="preserve">Production approach efficiency and intermediation approach </w:t>
            </w:r>
            <w:r w:rsidRPr="4F940BA9" w:rsidR="6DE0ADD7">
              <w:rPr>
                <w:rFonts w:ascii="Aptos" w:hAnsi="Aptos" w:eastAsia="Aptos" w:cs="Aptos"/>
                <w:color w:val="000000" w:themeColor="text1" w:themeTint="FF" w:themeShade="FF"/>
                <w:sz w:val="19"/>
                <w:szCs w:val="19"/>
              </w:rPr>
              <w:t>efficiency</w:t>
            </w:r>
          </w:p>
        </w:tc>
        <w:tc>
          <w:tcPr>
            <w:tcW w:w="2148" w:type="dxa"/>
            <w:tcMar/>
          </w:tcPr>
          <w:p w:rsidR="2B7FFB25" w:rsidP="2B7FFB25" w:rsidRDefault="2B7FFB25" w14:paraId="609101C5" w14:textId="547464A0">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Production approach(Expenses, number of employees, overhead costs, and equity capital)</w:t>
            </w:r>
            <w:r w:rsidRPr="2B7FFB25" w:rsidR="0EEDC928">
              <w:rPr>
                <w:rFonts w:ascii="Aptos" w:hAnsi="Aptos" w:eastAsia="Aptos" w:cs="Aptos"/>
                <w:color w:val="000000" w:themeColor="text1"/>
                <w:sz w:val="19"/>
                <w:szCs w:val="19"/>
              </w:rPr>
              <w:t>,</w:t>
            </w:r>
          </w:p>
          <w:p w:rsidR="2B7FFB25" w:rsidP="2B7FFB25" w:rsidRDefault="2B7FFB25" w14:paraId="0472620E" w14:textId="3DCC0504">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Intermediation approach efficiency(non interest expenses, interest expenses, and loan loss provision)</w:t>
            </w:r>
          </w:p>
        </w:tc>
        <w:tc>
          <w:tcPr>
            <w:tcW w:w="2144" w:type="dxa"/>
            <w:tcMar/>
          </w:tcPr>
          <w:p w:rsidR="2B7FFB25" w:rsidP="2B7FFB25" w:rsidRDefault="2B7FFB25" w14:paraId="4C63628E" w14:textId="792BE84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Production approach(fixed assets, liquid assets, total assets)</w:t>
            </w:r>
            <w:r w:rsidRPr="2B7FFB25" w:rsidR="18B0F152">
              <w:rPr>
                <w:rFonts w:ascii="Aptos" w:hAnsi="Aptos" w:eastAsia="Aptos" w:cs="Aptos"/>
                <w:color w:val="000000" w:themeColor="text1"/>
                <w:sz w:val="19"/>
                <w:szCs w:val="19"/>
              </w:rPr>
              <w:t>,</w:t>
            </w:r>
          </w:p>
          <w:p w:rsidR="2B7FFB25" w:rsidP="2B7FFB25" w:rsidRDefault="2B7FFB25" w14:paraId="21959C8F" w14:textId="08698335">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Intermediation approach efficiency(Interest income, non interest income, net income, gross revenue)</w:t>
            </w:r>
          </w:p>
        </w:tc>
      </w:tr>
      <w:tr w:rsidR="2B7FFB25" w:rsidTr="4F940BA9" w14:paraId="2F95A4FB" w14:textId="77777777">
        <w:trPr>
          <w:trHeight w:val="284"/>
        </w:trPr>
        <w:tc>
          <w:tcPr>
            <w:tcW w:w="1278" w:type="dxa"/>
            <w:tcMar/>
          </w:tcPr>
          <w:p w:rsidR="2B7FFB25" w:rsidP="2B7FFB25" w:rsidRDefault="2B7FFB25" w14:paraId="35B3324E" w14:textId="38D62509">
            <w:pPr>
              <w:jc w:val="center"/>
              <w:rPr>
                <w:rFonts w:hint="eastAsia" w:cs="Calibri"/>
                <w:sz w:val="20"/>
                <w:szCs w:val="20"/>
                <w:lang w:eastAsia="zh-CN"/>
              </w:rPr>
            </w:pPr>
            <w:r w:rsidRPr="2B7FFB25">
              <w:rPr>
                <w:rFonts w:cs="Calibri"/>
                <w:sz w:val="20"/>
                <w:szCs w:val="20"/>
                <w:lang w:eastAsia="zh-CN"/>
              </w:rPr>
              <w:t>11</w:t>
            </w:r>
          </w:p>
        </w:tc>
        <w:tc>
          <w:tcPr>
            <w:tcW w:w="1277" w:type="dxa"/>
            <w:tcMar/>
          </w:tcPr>
          <w:p w:rsidRPr="2E56052F" w:rsidR="2E56052F" w:rsidP="2E56052F" w:rsidRDefault="2E56052F" w14:paraId="289A8BC5" w14:textId="543E076F">
            <w:pPr>
              <w:jc w:val="center"/>
              <w:rPr>
                <w:rFonts w:hint="eastAsia" w:cs="Calibri"/>
                <w:sz w:val="20"/>
                <w:szCs w:val="20"/>
                <w:lang w:eastAsia="zh-CN"/>
              </w:rPr>
            </w:pPr>
            <w:r w:rsidRPr="2E56052F">
              <w:rPr>
                <w:rFonts w:cs="Calibri"/>
                <w:sz w:val="20"/>
                <w:szCs w:val="20"/>
                <w:lang w:eastAsia="zh-CN"/>
              </w:rPr>
              <w:t>An, Chen, Liang &amp; Wu (2015)</w:t>
            </w:r>
          </w:p>
        </w:tc>
        <w:tc>
          <w:tcPr>
            <w:tcW w:w="2148" w:type="dxa"/>
            <w:tcMar/>
          </w:tcPr>
          <w:p w:rsidR="2B7FFB25" w:rsidP="7018C8AF" w:rsidRDefault="4A7BA2A4" w14:paraId="15EDFCDA" w14:textId="0B84BCC1">
            <w:pPr>
              <w:spacing w:line="259" w:lineRule="auto"/>
              <w:jc w:val="center"/>
              <w:rPr>
                <w:rFonts w:ascii="Aptos" w:hAnsi="Aptos" w:eastAsia="Aptos" w:cs="Aptos"/>
                <w:color w:val="000000" w:themeColor="text1"/>
                <w:sz w:val="19"/>
                <w:szCs w:val="19"/>
              </w:rPr>
            </w:pPr>
            <w:r w:rsidRPr="7018C8AF">
              <w:rPr>
                <w:rFonts w:ascii="Aptos" w:hAnsi="Aptos" w:eastAsia="Aptos" w:cs="Aptos"/>
                <w:color w:val="000000" w:themeColor="text1"/>
                <w:sz w:val="19"/>
                <w:szCs w:val="19"/>
              </w:rPr>
              <w:t xml:space="preserve">Slack-based measure model-Deposit Generation Stage( </w:t>
            </w:r>
            <w:r w:rsidRPr="7018C8AF" w:rsidR="2B7FFB25">
              <w:rPr>
                <w:rFonts w:ascii="Aptos" w:hAnsi="Aptos" w:eastAsia="Aptos" w:cs="Aptos"/>
                <w:color w:val="000000" w:themeColor="text1"/>
                <w:sz w:val="19"/>
                <w:szCs w:val="19"/>
              </w:rPr>
              <w:t>Production approach</w:t>
            </w:r>
            <w:r w:rsidRPr="7018C8AF" w:rsidR="212F5A6D">
              <w:rPr>
                <w:rFonts w:ascii="Aptos" w:hAnsi="Aptos" w:eastAsia="Aptos" w:cs="Aptos"/>
                <w:color w:val="000000" w:themeColor="text1"/>
                <w:sz w:val="19"/>
                <w:szCs w:val="19"/>
              </w:rPr>
              <w:t>)</w:t>
            </w:r>
          </w:p>
          <w:p w:rsidR="2B7FFB25" w:rsidP="7018C8AF" w:rsidRDefault="2B7FFB25" w14:paraId="66234C59" w14:textId="1D608E7A">
            <w:pPr>
              <w:spacing w:line="259" w:lineRule="auto"/>
              <w:jc w:val="center"/>
              <w:rPr>
                <w:rFonts w:ascii="Aptos" w:hAnsi="Aptos" w:eastAsia="Aptos" w:cs="Aptos"/>
                <w:color w:val="000000" w:themeColor="text1"/>
                <w:sz w:val="19"/>
                <w:szCs w:val="19"/>
              </w:rPr>
            </w:pPr>
          </w:p>
          <w:p w:rsidR="2B7FFB25" w:rsidP="2B7FFB25" w:rsidRDefault="212F5A6D" w14:paraId="038DAEC0" w14:textId="14BDFFB2">
            <w:pPr>
              <w:spacing w:line="259" w:lineRule="auto"/>
              <w:jc w:val="center"/>
              <w:rPr>
                <w:rFonts w:ascii="Aptos" w:hAnsi="Aptos" w:eastAsia="Aptos" w:cs="Aptos"/>
                <w:color w:val="000000" w:themeColor="text1"/>
                <w:sz w:val="19"/>
                <w:szCs w:val="19"/>
              </w:rPr>
            </w:pPr>
            <w:r w:rsidRPr="7018C8AF">
              <w:rPr>
                <w:rFonts w:ascii="Aptos" w:hAnsi="Aptos" w:eastAsia="Aptos" w:cs="Aptos"/>
                <w:color w:val="000000" w:themeColor="text1"/>
                <w:sz w:val="19"/>
                <w:szCs w:val="19"/>
              </w:rPr>
              <w:t>Slack-based measure model- Deposit utilizing stage ( Production approach)</w:t>
            </w:r>
          </w:p>
        </w:tc>
        <w:tc>
          <w:tcPr>
            <w:tcW w:w="2148" w:type="dxa"/>
            <w:tcMar/>
          </w:tcPr>
          <w:p w:rsidR="2B7FFB25" w:rsidP="2B7FFB25" w:rsidRDefault="212F5A6D" w14:paraId="6D8FAC7C" w14:textId="70626782">
            <w:pPr>
              <w:spacing w:line="259" w:lineRule="auto"/>
              <w:jc w:val="center"/>
              <w:rPr>
                <w:rFonts w:ascii="Aptos" w:hAnsi="Aptos" w:eastAsia="Aptos" w:cs="Aptos"/>
                <w:color w:val="000000" w:themeColor="text1"/>
                <w:sz w:val="19"/>
                <w:szCs w:val="19"/>
              </w:rPr>
            </w:pPr>
            <w:r w:rsidRPr="7018C8AF">
              <w:rPr>
                <w:rFonts w:ascii="Aptos" w:hAnsi="Aptos" w:eastAsia="Aptos" w:cs="Aptos"/>
                <w:color w:val="000000" w:themeColor="text1"/>
                <w:sz w:val="19"/>
                <w:szCs w:val="19"/>
              </w:rPr>
              <w:t>Slack-based measure model-Deposit Generation Stage (</w:t>
            </w:r>
            <w:r w:rsidRPr="7018C8AF" w:rsidR="2B7FFB25">
              <w:rPr>
                <w:rFonts w:ascii="Aptos" w:hAnsi="Aptos" w:eastAsia="Aptos" w:cs="Aptos"/>
                <w:color w:val="000000" w:themeColor="text1"/>
                <w:sz w:val="19"/>
                <w:szCs w:val="19"/>
              </w:rPr>
              <w:t>Number of labors</w:t>
            </w:r>
            <w:r w:rsidRPr="7018C8AF" w:rsidR="5BC25714">
              <w:rPr>
                <w:rFonts w:ascii="Aptos" w:hAnsi="Aptos" w:eastAsia="Aptos" w:cs="Aptos"/>
                <w:color w:val="000000" w:themeColor="text1"/>
                <w:sz w:val="19"/>
                <w:szCs w:val="19"/>
              </w:rPr>
              <w:t>,</w:t>
            </w:r>
          </w:p>
          <w:p w:rsidR="2B7FFB25" w:rsidP="2B7FFB25" w:rsidRDefault="2B7FFB25" w14:paraId="69957E5C" w14:textId="61267BD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Equity capital</w:t>
            </w:r>
            <w:r w:rsidRPr="7018C8AF" w:rsidR="79639D34">
              <w:rPr>
                <w:rFonts w:ascii="Aptos" w:hAnsi="Aptos" w:eastAsia="Aptos" w:cs="Aptos"/>
                <w:color w:val="000000" w:themeColor="text1"/>
                <w:sz w:val="19"/>
                <w:szCs w:val="19"/>
              </w:rPr>
              <w:t>,</w:t>
            </w:r>
          </w:p>
          <w:p w:rsidR="2B7FFB25" w:rsidP="7018C8AF" w:rsidRDefault="2B7FFB25" w14:paraId="36C8402B" w14:textId="23815FA0">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Net-value fixed assets</w:t>
            </w:r>
            <w:r w:rsidRPr="7018C8AF" w:rsidR="3C6BB3F3">
              <w:rPr>
                <w:rFonts w:ascii="Aptos" w:hAnsi="Aptos" w:eastAsia="Aptos" w:cs="Aptos"/>
                <w:color w:val="000000" w:themeColor="text1"/>
                <w:sz w:val="19"/>
                <w:szCs w:val="19"/>
              </w:rPr>
              <w:t>)</w:t>
            </w:r>
          </w:p>
          <w:p w:rsidR="2B7FFB25" w:rsidP="7018C8AF" w:rsidRDefault="2B7FFB25" w14:paraId="2F0BC168" w14:textId="5E542E91">
            <w:pPr>
              <w:spacing w:line="259" w:lineRule="auto"/>
              <w:jc w:val="center"/>
              <w:rPr>
                <w:rFonts w:ascii="Aptos" w:hAnsi="Aptos" w:eastAsia="Aptos" w:cs="Aptos"/>
                <w:color w:val="000000" w:themeColor="text1"/>
                <w:sz w:val="19"/>
                <w:szCs w:val="19"/>
              </w:rPr>
            </w:pPr>
          </w:p>
          <w:p w:rsidR="2B7FFB25" w:rsidP="2B7FFB25" w:rsidRDefault="1F7D3AF8" w14:paraId="25641F7F" w14:textId="18A33DBF">
            <w:pPr>
              <w:spacing w:line="259" w:lineRule="auto"/>
              <w:jc w:val="center"/>
              <w:rPr>
                <w:rFonts w:ascii="Aptos" w:hAnsi="Aptos" w:eastAsia="Aptos" w:cs="Aptos"/>
                <w:color w:val="000000" w:themeColor="text1"/>
                <w:sz w:val="19"/>
                <w:szCs w:val="19"/>
              </w:rPr>
            </w:pPr>
            <w:r w:rsidRPr="7018C8AF">
              <w:rPr>
                <w:rFonts w:ascii="Aptos" w:hAnsi="Aptos" w:eastAsia="Aptos" w:cs="Aptos"/>
                <w:color w:val="000000" w:themeColor="text1"/>
                <w:sz w:val="19"/>
                <w:szCs w:val="19"/>
              </w:rPr>
              <w:t>Slack-based measure model- Deposit utilizing stage(</w:t>
            </w:r>
            <w:r w:rsidRPr="7018C8AF" w:rsidR="11EBE86B">
              <w:rPr>
                <w:rFonts w:ascii="Aptos" w:hAnsi="Aptos" w:eastAsia="Aptos" w:cs="Aptos"/>
                <w:color w:val="000000" w:themeColor="text1"/>
                <w:sz w:val="19"/>
                <w:szCs w:val="19"/>
              </w:rPr>
              <w:t>deposits)</w:t>
            </w:r>
          </w:p>
        </w:tc>
        <w:tc>
          <w:tcPr>
            <w:tcW w:w="2144" w:type="dxa"/>
            <w:tcMar/>
          </w:tcPr>
          <w:p w:rsidR="2B7FFB25" w:rsidP="7018C8AF" w:rsidRDefault="3C6BB3F3" w14:paraId="52A07521" w14:textId="2A8178E4">
            <w:pPr>
              <w:spacing w:line="259" w:lineRule="auto"/>
              <w:jc w:val="center"/>
              <w:rPr>
                <w:rFonts w:ascii="Aptos" w:hAnsi="Aptos" w:eastAsia="Aptos" w:cs="Aptos"/>
                <w:color w:val="000000" w:themeColor="text1"/>
                <w:sz w:val="19"/>
                <w:szCs w:val="19"/>
              </w:rPr>
            </w:pPr>
            <w:r w:rsidRPr="7018C8AF">
              <w:rPr>
                <w:rFonts w:ascii="Aptos" w:hAnsi="Aptos" w:eastAsia="Aptos" w:cs="Aptos"/>
                <w:color w:val="000000" w:themeColor="text1"/>
                <w:sz w:val="19"/>
                <w:szCs w:val="19"/>
              </w:rPr>
              <w:t>Slack-based measure model-Deposit Generation Stage (</w:t>
            </w:r>
            <w:r w:rsidRPr="7018C8AF" w:rsidR="2B7FFB25">
              <w:rPr>
                <w:rFonts w:ascii="Aptos" w:hAnsi="Aptos" w:eastAsia="Aptos" w:cs="Aptos"/>
                <w:color w:val="000000" w:themeColor="text1"/>
                <w:sz w:val="19"/>
                <w:szCs w:val="19"/>
              </w:rPr>
              <w:t>Deposits</w:t>
            </w:r>
            <w:r w:rsidRPr="7018C8AF" w:rsidR="5BC147A7">
              <w:rPr>
                <w:rFonts w:ascii="Aptos" w:hAnsi="Aptos" w:eastAsia="Aptos" w:cs="Aptos"/>
                <w:color w:val="000000" w:themeColor="text1"/>
                <w:sz w:val="19"/>
                <w:szCs w:val="19"/>
              </w:rPr>
              <w:t>)</w:t>
            </w:r>
          </w:p>
          <w:p w:rsidR="2B7FFB25" w:rsidP="7018C8AF" w:rsidRDefault="2B7FFB25" w14:paraId="0159ED24" w14:textId="14E5929F">
            <w:pPr>
              <w:spacing w:line="259" w:lineRule="auto"/>
              <w:jc w:val="center"/>
              <w:rPr>
                <w:rFonts w:ascii="Aptos" w:hAnsi="Aptos" w:eastAsia="Aptos" w:cs="Aptos"/>
                <w:color w:val="000000" w:themeColor="text1"/>
                <w:sz w:val="19"/>
                <w:szCs w:val="19"/>
              </w:rPr>
            </w:pPr>
          </w:p>
          <w:p w:rsidR="2B7FFB25" w:rsidP="7018C8AF" w:rsidRDefault="3F5752BE" w14:paraId="74456508" w14:textId="69877259">
            <w:pPr>
              <w:spacing w:line="259" w:lineRule="auto"/>
              <w:jc w:val="center"/>
              <w:rPr>
                <w:rFonts w:ascii="Aptos" w:hAnsi="Aptos" w:eastAsia="Aptos" w:cs="Aptos"/>
                <w:color w:val="000000" w:themeColor="text1"/>
                <w:sz w:val="19"/>
                <w:szCs w:val="19"/>
              </w:rPr>
            </w:pPr>
            <w:r w:rsidRPr="7018C8AF">
              <w:rPr>
                <w:rFonts w:ascii="Aptos" w:hAnsi="Aptos" w:eastAsia="Aptos" w:cs="Aptos"/>
                <w:color w:val="000000" w:themeColor="text1"/>
                <w:sz w:val="19"/>
                <w:szCs w:val="19"/>
              </w:rPr>
              <w:t>Slack-based measure model- Deposit utilizing stage</w:t>
            </w:r>
            <w:r w:rsidRPr="7018C8AF">
              <w:rPr>
                <w:rFonts w:eastAsiaTheme="minorEastAsia"/>
                <w:color w:val="000000" w:themeColor="text1"/>
                <w:sz w:val="19"/>
                <w:szCs w:val="19"/>
              </w:rPr>
              <w:t>(loans and securities investments)</w:t>
            </w:r>
          </w:p>
          <w:p w:rsidR="2B7FFB25" w:rsidP="2B7FFB25" w:rsidRDefault="2B7FFB25" w14:paraId="7BC4ED52" w14:textId="21A8910B">
            <w:pPr>
              <w:spacing w:line="259" w:lineRule="auto"/>
              <w:jc w:val="center"/>
              <w:rPr>
                <w:rFonts w:ascii="Aptos" w:hAnsi="Aptos" w:eastAsia="Aptos" w:cs="Aptos"/>
                <w:color w:val="000000" w:themeColor="text1"/>
                <w:sz w:val="19"/>
                <w:szCs w:val="19"/>
              </w:rPr>
            </w:pPr>
          </w:p>
        </w:tc>
      </w:tr>
      <w:tr w:rsidR="2B7FFB25" w:rsidTr="4F940BA9" w14:paraId="71425383" w14:textId="77777777">
        <w:trPr>
          <w:trHeight w:val="284"/>
        </w:trPr>
        <w:tc>
          <w:tcPr>
            <w:tcW w:w="1278" w:type="dxa"/>
            <w:tcMar/>
          </w:tcPr>
          <w:p w:rsidR="2B7FFB25" w:rsidP="2B7FFB25" w:rsidRDefault="2B7FFB25" w14:paraId="33C64F0F" w14:textId="38447D46">
            <w:pPr>
              <w:jc w:val="center"/>
              <w:rPr>
                <w:rFonts w:hint="eastAsia" w:cs="Calibri"/>
                <w:sz w:val="20"/>
                <w:szCs w:val="20"/>
                <w:lang w:eastAsia="zh-CN"/>
              </w:rPr>
            </w:pPr>
            <w:r w:rsidRPr="2B7FFB25">
              <w:rPr>
                <w:rFonts w:cs="Calibri"/>
                <w:sz w:val="20"/>
                <w:szCs w:val="20"/>
                <w:lang w:eastAsia="zh-CN"/>
              </w:rPr>
              <w:t>16</w:t>
            </w:r>
          </w:p>
        </w:tc>
        <w:tc>
          <w:tcPr>
            <w:tcW w:w="1277" w:type="dxa"/>
            <w:tcMar/>
          </w:tcPr>
          <w:p w:rsidRPr="2E56052F" w:rsidR="2E56052F" w:rsidP="2E56052F" w:rsidRDefault="2E56052F" w14:paraId="441D8266" w14:textId="5537210E">
            <w:pPr>
              <w:jc w:val="center"/>
              <w:rPr>
                <w:rFonts w:hint="eastAsia" w:cs="Calibri"/>
                <w:sz w:val="20"/>
                <w:szCs w:val="20"/>
                <w:lang w:eastAsia="zh-CN"/>
              </w:rPr>
            </w:pPr>
            <w:r w:rsidRPr="2E56052F">
              <w:rPr>
                <w:rFonts w:cs="Calibri"/>
                <w:sz w:val="20"/>
                <w:szCs w:val="20"/>
                <w:lang w:eastAsia="zh-CN"/>
              </w:rPr>
              <w:t>Hirofumi Fukuyamaa , Yong Tan (2022)</w:t>
            </w:r>
          </w:p>
        </w:tc>
        <w:tc>
          <w:tcPr>
            <w:tcW w:w="2148" w:type="dxa"/>
            <w:tcMar/>
          </w:tcPr>
          <w:p w:rsidR="2B7FFB25" w:rsidP="2B7FFB25" w:rsidRDefault="2B7FFB25" w14:paraId="3CF19F7D" w14:textId="7699521C">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 xml:space="preserve">Integrated Approach (Production Approach and Intermediation Approach) </w:t>
            </w:r>
          </w:p>
        </w:tc>
        <w:tc>
          <w:tcPr>
            <w:tcW w:w="2148" w:type="dxa"/>
            <w:tcMar/>
          </w:tcPr>
          <w:p w:rsidR="2B7FFB25" w:rsidP="2B7FFB25" w:rsidRDefault="2B7FFB25" w14:paraId="1B40091C" w14:textId="2690235E">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 xml:space="preserve">Production approach(labour cost and other operating costs) </w:t>
            </w:r>
            <w:r w:rsidRPr="2B7FFB25" w:rsidR="2C81D72D">
              <w:rPr>
                <w:rFonts w:ascii="Aptos" w:hAnsi="Aptos" w:eastAsia="Aptos" w:cs="Aptos"/>
                <w:color w:val="000000" w:themeColor="text1"/>
                <w:sz w:val="19"/>
                <w:szCs w:val="19"/>
              </w:rPr>
              <w:t>,</w:t>
            </w:r>
          </w:p>
          <w:p w:rsidR="2B7FFB25" w:rsidP="2B7FFB25" w:rsidRDefault="2B7FFB25" w14:paraId="66CE5E42" w14:textId="01277140">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Intermediation approach (labor, fixed assets, and deposits)</w:t>
            </w:r>
          </w:p>
        </w:tc>
        <w:tc>
          <w:tcPr>
            <w:tcW w:w="2144" w:type="dxa"/>
            <w:tcMar/>
          </w:tcPr>
          <w:p w:rsidR="2B7FFB25" w:rsidP="2B7FFB25" w:rsidRDefault="2B7FFB25" w14:paraId="3589C56D" w14:textId="7CB2115C">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Production approach (Innovation efficiency)</w:t>
            </w:r>
            <w:r w:rsidRPr="2B7FFB25" w:rsidR="19FD4FAE">
              <w:rPr>
                <w:rFonts w:ascii="Aptos" w:hAnsi="Aptos" w:eastAsia="Aptos" w:cs="Aptos"/>
                <w:color w:val="000000" w:themeColor="text1"/>
                <w:sz w:val="19"/>
                <w:szCs w:val="19"/>
              </w:rPr>
              <w:t>,</w:t>
            </w:r>
          </w:p>
          <w:p w:rsidR="2B7FFB25" w:rsidP="2B7FFB25" w:rsidRDefault="2B7FFB25" w14:paraId="177BCF1E" w14:textId="7425D0C1">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Intermediation approach(securities and loans)</w:t>
            </w:r>
          </w:p>
        </w:tc>
      </w:tr>
      <w:tr w:rsidR="2B7FFB25" w:rsidTr="4F940BA9" w14:paraId="59133B2C" w14:textId="77777777">
        <w:trPr>
          <w:trHeight w:val="284"/>
        </w:trPr>
        <w:tc>
          <w:tcPr>
            <w:tcW w:w="1278" w:type="dxa"/>
            <w:tcMar/>
          </w:tcPr>
          <w:p w:rsidR="2B7FFB25" w:rsidP="2B7FFB25" w:rsidRDefault="2B7FFB25" w14:paraId="0666E222" w14:textId="3E747C6B">
            <w:pPr>
              <w:jc w:val="center"/>
              <w:rPr>
                <w:rFonts w:hint="eastAsia" w:cs="Calibri"/>
                <w:sz w:val="20"/>
                <w:szCs w:val="20"/>
                <w:lang w:eastAsia="zh-CN"/>
              </w:rPr>
            </w:pPr>
            <w:r w:rsidRPr="2B7FFB25">
              <w:rPr>
                <w:rFonts w:cs="Calibri"/>
                <w:sz w:val="20"/>
                <w:szCs w:val="20"/>
                <w:lang w:eastAsia="zh-CN"/>
              </w:rPr>
              <w:t>21</w:t>
            </w:r>
          </w:p>
        </w:tc>
        <w:tc>
          <w:tcPr>
            <w:tcW w:w="1277" w:type="dxa"/>
            <w:tcMar/>
          </w:tcPr>
          <w:p w:rsidRPr="2E56052F" w:rsidR="2E56052F" w:rsidP="2E56052F" w:rsidRDefault="2E56052F" w14:paraId="22998406" w14:textId="3776F236">
            <w:pPr>
              <w:jc w:val="center"/>
              <w:rPr>
                <w:rFonts w:hint="eastAsia" w:cs="Calibri"/>
                <w:sz w:val="20"/>
                <w:szCs w:val="20"/>
                <w:lang w:eastAsia="zh-CN"/>
              </w:rPr>
            </w:pPr>
            <w:r w:rsidRPr="2E56052F">
              <w:rPr>
                <w:rFonts w:cs="Calibri"/>
                <w:sz w:val="20"/>
                <w:szCs w:val="20"/>
                <w:lang w:eastAsia="zh-CN"/>
              </w:rPr>
              <w:t>Hirofumi Fukuyamaa , Roman Matousek (2017)</w:t>
            </w:r>
          </w:p>
        </w:tc>
        <w:tc>
          <w:tcPr>
            <w:tcW w:w="2148" w:type="dxa"/>
            <w:tcMar/>
          </w:tcPr>
          <w:p w:rsidR="2B7FFB25" w:rsidP="2B7FFB25" w:rsidRDefault="2B7FFB25" w14:paraId="2B84F2A6" w14:textId="6FD6ACD0">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Production of Intermediate products</w:t>
            </w:r>
          </w:p>
        </w:tc>
        <w:tc>
          <w:tcPr>
            <w:tcW w:w="2148" w:type="dxa"/>
            <w:tcMar/>
          </w:tcPr>
          <w:p w:rsidR="2B7FFB25" w:rsidP="2B7FFB25" w:rsidRDefault="2B7FFB25" w14:paraId="005F9C4C" w14:textId="2D8406DE">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Labor</w:t>
            </w:r>
          </w:p>
          <w:p w:rsidR="2B7FFB25" w:rsidP="2B7FFB25" w:rsidRDefault="2B7FFB25" w14:paraId="11378696" w14:textId="6250B717">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Capital</w:t>
            </w:r>
          </w:p>
          <w:p w:rsidR="2B7FFB25" w:rsidP="2B7FFB25" w:rsidRDefault="2B7FFB25" w14:paraId="6607C382" w14:textId="4AAE72C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Operational resources</w:t>
            </w:r>
          </w:p>
        </w:tc>
        <w:tc>
          <w:tcPr>
            <w:tcW w:w="2144" w:type="dxa"/>
            <w:tcMar/>
          </w:tcPr>
          <w:p w:rsidR="2B7FFB25" w:rsidP="2B7FFB25" w:rsidRDefault="2B7FFB25" w14:paraId="37F63192" w14:textId="058B24BE">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Financial products and services</w:t>
            </w:r>
          </w:p>
          <w:p w:rsidR="2B7FFB25" w:rsidP="2B7FFB25" w:rsidRDefault="2B7FFB25" w14:paraId="29A9BA24" w14:textId="4D20674B">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Accumulated deposits</w:t>
            </w:r>
          </w:p>
          <w:p w:rsidR="2B7FFB25" w:rsidP="2B7FFB25" w:rsidRDefault="2B7FFB25" w14:paraId="5D6AC930" w14:textId="47047F58">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Processed application</w:t>
            </w:r>
          </w:p>
        </w:tc>
      </w:tr>
      <w:tr w:rsidR="2B7FFB25" w:rsidTr="4F940BA9" w14:paraId="4333949F" w14:textId="77777777">
        <w:trPr>
          <w:trHeight w:val="284"/>
        </w:trPr>
        <w:tc>
          <w:tcPr>
            <w:tcW w:w="1278" w:type="dxa"/>
            <w:tcMar/>
          </w:tcPr>
          <w:p w:rsidR="2B7FFB25" w:rsidP="2B7FFB25" w:rsidRDefault="2B7FFB25" w14:paraId="2C0EBA01" w14:textId="5A37F5DF">
            <w:pPr>
              <w:jc w:val="center"/>
              <w:rPr>
                <w:rFonts w:hint="eastAsia" w:cs="Calibri"/>
                <w:sz w:val="20"/>
                <w:szCs w:val="20"/>
                <w:lang w:eastAsia="zh-CN"/>
              </w:rPr>
            </w:pPr>
            <w:r w:rsidRPr="2B7FFB25">
              <w:rPr>
                <w:rFonts w:cs="Calibri"/>
                <w:sz w:val="20"/>
                <w:szCs w:val="20"/>
                <w:lang w:eastAsia="zh-CN"/>
              </w:rPr>
              <w:t>26</w:t>
            </w:r>
          </w:p>
        </w:tc>
        <w:tc>
          <w:tcPr>
            <w:tcW w:w="1277" w:type="dxa"/>
            <w:tcMar/>
          </w:tcPr>
          <w:p w:rsidRPr="2E56052F" w:rsidR="2E56052F" w:rsidP="2E56052F" w:rsidRDefault="2E56052F" w14:paraId="00BDD675" w14:textId="118D7968">
            <w:pPr>
              <w:jc w:val="center"/>
              <w:rPr>
                <w:rFonts w:hint="eastAsia" w:cs="Calibri"/>
                <w:sz w:val="20"/>
                <w:szCs w:val="20"/>
                <w:lang w:eastAsia="zh-CN"/>
              </w:rPr>
            </w:pPr>
            <w:r w:rsidRPr="2E56052F">
              <w:rPr>
                <w:rFonts w:cs="Calibri"/>
                <w:sz w:val="20"/>
                <w:szCs w:val="20"/>
                <w:lang w:eastAsia="zh-CN"/>
              </w:rPr>
              <w:t>Kent Matthews a , Zhiguo Xiao (2020)</w:t>
            </w:r>
          </w:p>
        </w:tc>
        <w:tc>
          <w:tcPr>
            <w:tcW w:w="2148" w:type="dxa"/>
            <w:tcMar/>
          </w:tcPr>
          <w:p w:rsidR="2B7FFB25" w:rsidP="2B7FFB25" w:rsidRDefault="2B7FFB25" w14:paraId="1AAB3A0D" w14:textId="4BC91EE5">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Hybrid approach</w:t>
            </w:r>
          </w:p>
          <w:p w:rsidR="2B7FFB25" w:rsidP="2B7FFB25" w:rsidRDefault="2B7FFB25" w14:paraId="37ED71A0" w14:textId="1AA8E844">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(IA and AA)</w:t>
            </w:r>
          </w:p>
        </w:tc>
        <w:tc>
          <w:tcPr>
            <w:tcW w:w="2148" w:type="dxa"/>
            <w:tcMar/>
          </w:tcPr>
          <w:p w:rsidR="2B7FFB25" w:rsidP="2B7FFB25" w:rsidRDefault="2B7FFB25" w14:paraId="3BFD3041" w14:textId="3796FFB3">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Liabilities</w:t>
            </w:r>
          </w:p>
        </w:tc>
        <w:tc>
          <w:tcPr>
            <w:tcW w:w="2144" w:type="dxa"/>
            <w:tcMar/>
          </w:tcPr>
          <w:p w:rsidR="2B7FFB25" w:rsidP="2B7FFB25" w:rsidRDefault="2B7FFB25" w14:paraId="33ED067E" w14:textId="3AA6E0C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Total performing loans</w:t>
            </w:r>
          </w:p>
          <w:p w:rsidR="2B7FFB25" w:rsidP="2B7FFB25" w:rsidRDefault="2B7FFB25" w14:paraId="1D672E7B" w14:textId="44BA9B3E">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Total earning assets</w:t>
            </w:r>
          </w:p>
          <w:p w:rsidR="2B7FFB25" w:rsidP="2B7FFB25" w:rsidRDefault="2B7FFB25" w14:paraId="2099923A" w14:textId="0917B721">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Bad loans</w:t>
            </w:r>
          </w:p>
        </w:tc>
      </w:tr>
      <w:tr w:rsidR="2B7FFB25" w:rsidTr="4F940BA9" w14:paraId="234DE308" w14:textId="77777777">
        <w:trPr>
          <w:trHeight w:val="284"/>
        </w:trPr>
        <w:tc>
          <w:tcPr>
            <w:tcW w:w="1278" w:type="dxa"/>
            <w:tcMar/>
          </w:tcPr>
          <w:p w:rsidR="2B7FFB25" w:rsidP="2B7FFB25" w:rsidRDefault="2B7FFB25" w14:paraId="53A38D40" w14:textId="0BF7029E">
            <w:pPr>
              <w:jc w:val="center"/>
              <w:rPr>
                <w:rFonts w:hint="eastAsia" w:cs="Calibri"/>
                <w:sz w:val="20"/>
                <w:szCs w:val="20"/>
                <w:lang w:eastAsia="zh-CN"/>
              </w:rPr>
            </w:pPr>
            <w:r w:rsidRPr="2B7FFB25">
              <w:rPr>
                <w:rFonts w:cs="Calibri"/>
                <w:sz w:val="20"/>
                <w:szCs w:val="20"/>
                <w:lang w:eastAsia="zh-CN"/>
              </w:rPr>
              <w:t>31</w:t>
            </w:r>
          </w:p>
        </w:tc>
        <w:tc>
          <w:tcPr>
            <w:tcW w:w="1277" w:type="dxa"/>
            <w:tcMar/>
          </w:tcPr>
          <w:p w:rsidRPr="2E56052F" w:rsidR="2E56052F" w:rsidP="2E56052F" w:rsidRDefault="2E56052F" w14:paraId="72ABE4DC" w14:textId="53010C09">
            <w:pPr>
              <w:jc w:val="center"/>
              <w:rPr>
                <w:rFonts w:hint="eastAsia" w:cs="Calibri"/>
                <w:sz w:val="20"/>
                <w:szCs w:val="20"/>
                <w:lang w:eastAsia="zh-CN"/>
              </w:rPr>
            </w:pPr>
            <w:r w:rsidRPr="2E56052F">
              <w:rPr>
                <w:rFonts w:cs="Calibri"/>
                <w:sz w:val="20"/>
                <w:szCs w:val="20"/>
                <w:lang w:eastAsia="zh-CN"/>
              </w:rPr>
              <w:t>Fukuyama, Tsionas, Tan (2023)</w:t>
            </w:r>
          </w:p>
        </w:tc>
        <w:tc>
          <w:tcPr>
            <w:tcW w:w="2148" w:type="dxa"/>
            <w:tcMar/>
          </w:tcPr>
          <w:p w:rsidR="2B7FFB25" w:rsidP="2B7FFB25" w:rsidRDefault="2B7FFB25" w14:paraId="5BFA2154" w14:textId="24FA6CF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Production approach</w:t>
            </w:r>
          </w:p>
        </w:tc>
        <w:tc>
          <w:tcPr>
            <w:tcW w:w="2148" w:type="dxa"/>
            <w:tcMar/>
          </w:tcPr>
          <w:p w:rsidR="2B7FFB25" w:rsidP="2B7FFB25" w:rsidRDefault="2B7FFB25" w14:paraId="7BE7464A" w14:textId="30376BB3">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Labor</w:t>
            </w:r>
          </w:p>
          <w:p w:rsidR="2B7FFB25" w:rsidP="2B7FFB25" w:rsidRDefault="2B7FFB25" w14:paraId="7CF6D062" w14:textId="144ECFD1">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Capital</w:t>
            </w:r>
          </w:p>
          <w:p w:rsidR="2B7FFB25" w:rsidP="2B7FFB25" w:rsidRDefault="2B7FFB25" w14:paraId="1F6549B1" w14:textId="68A6FEDA">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Equity of the current year</w:t>
            </w:r>
          </w:p>
          <w:p w:rsidR="2B7FFB25" w:rsidP="2B7FFB25" w:rsidRDefault="2B7FFB25" w14:paraId="325EBF90" w14:textId="3A0E81B6">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Non-performing loans</w:t>
            </w:r>
          </w:p>
        </w:tc>
        <w:tc>
          <w:tcPr>
            <w:tcW w:w="2144" w:type="dxa"/>
            <w:tcMar/>
          </w:tcPr>
          <w:p w:rsidR="2B7FFB25" w:rsidP="2B7FFB25" w:rsidRDefault="2B7FFB25" w14:paraId="57D54F0D" w14:textId="075D4D57">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Deposits</w:t>
            </w:r>
          </w:p>
          <w:p w:rsidR="2B7FFB25" w:rsidP="2B7FFB25" w:rsidRDefault="2B7FFB25" w14:paraId="731368D6" w14:textId="69B72986">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Raised funds</w:t>
            </w:r>
          </w:p>
        </w:tc>
      </w:tr>
      <w:tr w:rsidR="2B7FFB25" w:rsidTr="4F940BA9" w14:paraId="2C7DCC10" w14:textId="77777777">
        <w:trPr>
          <w:trHeight w:val="284"/>
        </w:trPr>
        <w:tc>
          <w:tcPr>
            <w:tcW w:w="1278" w:type="dxa"/>
            <w:tcMar/>
          </w:tcPr>
          <w:p w:rsidR="2B7FFB25" w:rsidP="2B7FFB25" w:rsidRDefault="2B7FFB25" w14:paraId="24751FA9" w14:textId="3FFB19EA">
            <w:pPr>
              <w:jc w:val="center"/>
              <w:rPr>
                <w:rFonts w:hint="eastAsia" w:cs="Calibri"/>
                <w:sz w:val="20"/>
                <w:szCs w:val="20"/>
                <w:lang w:eastAsia="zh-CN"/>
              </w:rPr>
            </w:pPr>
            <w:r w:rsidRPr="2B7FFB25">
              <w:rPr>
                <w:rFonts w:cs="Calibri"/>
                <w:sz w:val="20"/>
                <w:szCs w:val="20"/>
                <w:lang w:eastAsia="zh-CN"/>
              </w:rPr>
              <w:t>36</w:t>
            </w:r>
          </w:p>
        </w:tc>
        <w:tc>
          <w:tcPr>
            <w:tcW w:w="1277" w:type="dxa"/>
            <w:tcMar/>
          </w:tcPr>
          <w:p w:rsidRPr="2E56052F" w:rsidR="2E56052F" w:rsidP="2E56052F" w:rsidRDefault="2E56052F" w14:paraId="4E8EF37F" w14:textId="2F1EA956">
            <w:pPr>
              <w:jc w:val="center"/>
              <w:rPr>
                <w:rFonts w:hint="eastAsia" w:cs="Calibri"/>
                <w:sz w:val="20"/>
                <w:szCs w:val="20"/>
                <w:lang w:eastAsia="zh-CN"/>
              </w:rPr>
            </w:pPr>
            <w:r w:rsidRPr="2E56052F">
              <w:rPr>
                <w:rFonts w:cs="Calibri"/>
                <w:sz w:val="20"/>
                <w:szCs w:val="20"/>
                <w:lang w:eastAsia="zh-CN"/>
              </w:rPr>
              <w:t>Necmi K. Avkiran, Hiroshi Morita (2010)</w:t>
            </w:r>
          </w:p>
        </w:tc>
        <w:tc>
          <w:tcPr>
            <w:tcW w:w="2148" w:type="dxa"/>
            <w:tcMar/>
          </w:tcPr>
          <w:p w:rsidR="2B7FFB25" w:rsidP="2B7FFB25" w:rsidRDefault="2B7FFB25" w14:paraId="68FF5D85" w14:textId="2C96FB10">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Production Approach</w:t>
            </w:r>
          </w:p>
        </w:tc>
        <w:tc>
          <w:tcPr>
            <w:tcW w:w="2148" w:type="dxa"/>
            <w:tcMar/>
          </w:tcPr>
          <w:p w:rsidR="2B7FFB25" w:rsidP="2B7FFB25" w:rsidRDefault="2B7FFB25" w14:paraId="0F371863" w14:textId="55A8A586">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Shareholders</w:t>
            </w:r>
          </w:p>
          <w:p w:rsidR="2B7FFB25" w:rsidP="2B7FFB25" w:rsidRDefault="2B7FFB25" w14:paraId="0D4232FB" w14:textId="083706FA">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Customers</w:t>
            </w:r>
          </w:p>
          <w:p w:rsidR="2B7FFB25" w:rsidP="2B7FFB25" w:rsidRDefault="2B7FFB25" w14:paraId="56A02504" w14:textId="6FF5999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Management</w:t>
            </w:r>
          </w:p>
          <w:p w:rsidR="2B7FFB25" w:rsidP="2B7FFB25" w:rsidRDefault="2B7FFB25" w14:paraId="07B37918" w14:textId="37D748A3">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Employees</w:t>
            </w:r>
          </w:p>
          <w:p w:rsidR="2B7FFB25" w:rsidP="2B7FFB25" w:rsidRDefault="2B7FFB25" w14:paraId="35ADF0C6" w14:textId="6AAFEB42">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regulators</w:t>
            </w:r>
          </w:p>
        </w:tc>
        <w:tc>
          <w:tcPr>
            <w:tcW w:w="2144" w:type="dxa"/>
            <w:tcMar/>
          </w:tcPr>
          <w:p w:rsidR="2B7FFB25" w:rsidP="2B7FFB25" w:rsidRDefault="2B7FFB25" w14:paraId="7F2E86D8" w14:textId="251700F6">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loans</w:t>
            </w:r>
          </w:p>
        </w:tc>
      </w:tr>
      <w:tr w:rsidR="2B7FFB25" w:rsidTr="4F940BA9" w14:paraId="41E13B22" w14:textId="77777777">
        <w:trPr>
          <w:trHeight w:val="284"/>
        </w:trPr>
        <w:tc>
          <w:tcPr>
            <w:tcW w:w="1278" w:type="dxa"/>
            <w:tcMar/>
          </w:tcPr>
          <w:p w:rsidR="2B7FFB25" w:rsidP="2B7FFB25" w:rsidRDefault="2B7FFB25" w14:paraId="4E54119A" w14:textId="0F960152">
            <w:pPr>
              <w:jc w:val="center"/>
              <w:rPr>
                <w:rFonts w:hint="eastAsia" w:cs="Calibri"/>
                <w:sz w:val="20"/>
                <w:szCs w:val="20"/>
                <w:lang w:eastAsia="zh-CN"/>
              </w:rPr>
            </w:pPr>
            <w:r w:rsidRPr="2B7FFB25">
              <w:rPr>
                <w:rFonts w:cs="Calibri"/>
                <w:sz w:val="20"/>
                <w:szCs w:val="20"/>
                <w:lang w:eastAsia="zh-CN"/>
              </w:rPr>
              <w:t>41</w:t>
            </w:r>
          </w:p>
        </w:tc>
        <w:tc>
          <w:tcPr>
            <w:tcW w:w="1277" w:type="dxa"/>
            <w:tcMar/>
          </w:tcPr>
          <w:p w:rsidRPr="2E56052F" w:rsidR="2E56052F" w:rsidP="2E56052F" w:rsidRDefault="2E56052F" w14:paraId="2CA1D2D6" w14:textId="60171D5B">
            <w:pPr>
              <w:jc w:val="center"/>
              <w:rPr>
                <w:rFonts w:hint="eastAsia" w:cs="Calibri"/>
                <w:sz w:val="20"/>
                <w:szCs w:val="20"/>
                <w:lang w:eastAsia="zh-CN"/>
              </w:rPr>
            </w:pPr>
            <w:r w:rsidRPr="2E56052F">
              <w:rPr>
                <w:rFonts w:cs="Calibri"/>
                <w:sz w:val="20"/>
                <w:szCs w:val="20"/>
                <w:lang w:eastAsia="zh-CN"/>
              </w:rPr>
              <w:t>Guangcheng Xu and Zhixiang Zhou (2020)</w:t>
            </w:r>
          </w:p>
        </w:tc>
        <w:tc>
          <w:tcPr>
            <w:tcW w:w="2148" w:type="dxa"/>
            <w:tcMar/>
          </w:tcPr>
          <w:p w:rsidR="2B7FFB25" w:rsidP="2B7FFB25" w:rsidRDefault="2B7FFB25" w14:paraId="4FB20B4D" w14:textId="0156A975">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Production Approach</w:t>
            </w:r>
          </w:p>
        </w:tc>
        <w:tc>
          <w:tcPr>
            <w:tcW w:w="2148" w:type="dxa"/>
            <w:tcMar/>
          </w:tcPr>
          <w:p w:rsidR="2B7FFB25" w:rsidP="2B7FFB25" w:rsidRDefault="2B7FFB25" w14:paraId="25429B44" w14:textId="55F96C8E">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Total assets</w:t>
            </w:r>
          </w:p>
          <w:p w:rsidR="2B7FFB25" w:rsidP="2B7FFB25" w:rsidRDefault="2B7FFB25" w14:paraId="29C6B9A0" w14:textId="25968B9D">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Labor</w:t>
            </w:r>
          </w:p>
          <w:p w:rsidR="2B7FFB25" w:rsidP="2B7FFB25" w:rsidRDefault="2B7FFB25" w14:paraId="78E08448" w14:textId="6A0A75E3">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Operating expenses</w:t>
            </w:r>
          </w:p>
        </w:tc>
        <w:tc>
          <w:tcPr>
            <w:tcW w:w="2144" w:type="dxa"/>
            <w:tcMar/>
          </w:tcPr>
          <w:p w:rsidR="2B7FFB25" w:rsidP="2B7FFB25" w:rsidRDefault="2B7FFB25" w14:paraId="7C561DB2" w14:textId="7C5061BE">
            <w:pPr>
              <w:spacing w:line="259" w:lineRule="auto"/>
              <w:jc w:val="center"/>
              <w:rPr>
                <w:rFonts w:ascii="Aptos" w:hAnsi="Aptos" w:eastAsia="Aptos" w:cs="Aptos"/>
                <w:color w:val="000000" w:themeColor="text1"/>
                <w:sz w:val="19"/>
                <w:szCs w:val="19"/>
              </w:rPr>
            </w:pPr>
            <w:r w:rsidRPr="2B7FFB25">
              <w:rPr>
                <w:rFonts w:ascii="Aptos" w:hAnsi="Aptos" w:eastAsia="Aptos" w:cs="Aptos"/>
                <w:color w:val="000000" w:themeColor="text1"/>
                <w:sz w:val="19"/>
                <w:szCs w:val="19"/>
              </w:rPr>
              <w:t>Deposits</w:t>
            </w:r>
          </w:p>
        </w:tc>
      </w:tr>
      <w:tr w:rsidR="2B7FFB25" w:rsidTr="4F940BA9" w14:paraId="02AA566F" w14:textId="77777777">
        <w:trPr>
          <w:trHeight w:val="284"/>
        </w:trPr>
        <w:tc>
          <w:tcPr>
            <w:tcW w:w="1278" w:type="dxa"/>
            <w:tcMar/>
          </w:tcPr>
          <w:p w:rsidR="2B7FFB25" w:rsidP="2B7FFB25" w:rsidRDefault="2B7FFB25" w14:paraId="389F4709" w14:textId="75483B72">
            <w:pPr>
              <w:jc w:val="center"/>
              <w:rPr>
                <w:rFonts w:hint="eastAsia" w:cs="Calibri"/>
                <w:sz w:val="20"/>
                <w:szCs w:val="20"/>
                <w:lang w:eastAsia="zh-CN"/>
              </w:rPr>
            </w:pPr>
            <w:r w:rsidRPr="2B7FFB25">
              <w:rPr>
                <w:rFonts w:cs="Calibri"/>
                <w:sz w:val="20"/>
                <w:szCs w:val="20"/>
                <w:lang w:eastAsia="zh-CN"/>
              </w:rPr>
              <w:t>7</w:t>
            </w:r>
          </w:p>
        </w:tc>
        <w:tc>
          <w:tcPr>
            <w:tcW w:w="1277" w:type="dxa"/>
            <w:tcMar/>
          </w:tcPr>
          <w:p w:rsidR="2B7FFB25" w:rsidP="2B7FFB25" w:rsidRDefault="2B7FFB25" w14:paraId="41308F36" w14:textId="1537CE4D">
            <w:pPr>
              <w:jc w:val="center"/>
              <w:rPr>
                <w:rFonts w:hint="eastAsia"/>
              </w:rPr>
            </w:pPr>
            <w:r w:rsidRPr="2B7FFB25">
              <w:rPr>
                <w:rFonts w:ascii="Aptos" w:hAnsi="Aptos" w:eastAsia="Aptos" w:cs="Aptos"/>
                <w:sz w:val="20"/>
                <w:szCs w:val="20"/>
              </w:rPr>
              <w:t>Matthews, et al. (2010)</w:t>
            </w:r>
          </w:p>
        </w:tc>
        <w:tc>
          <w:tcPr>
            <w:tcW w:w="2148" w:type="dxa"/>
            <w:tcMar/>
          </w:tcPr>
          <w:p w:rsidR="2B7FFB25" w:rsidP="2B7FFB25" w:rsidRDefault="2B7FFB25" w14:paraId="1532A6EF" w14:textId="09012B3D">
            <w:pPr>
              <w:jc w:val="center"/>
              <w:rPr>
                <w:rFonts w:hint="eastAsia"/>
              </w:rPr>
            </w:pPr>
            <w:r w:rsidRPr="2B7FFB25">
              <w:rPr>
                <w:rFonts w:ascii="Aptos" w:hAnsi="Aptos" w:eastAsia="Aptos" w:cs="Aptos"/>
                <w:color w:val="000000" w:themeColor="text1"/>
                <w:sz w:val="20"/>
                <w:szCs w:val="20"/>
              </w:rPr>
              <w:t xml:space="preserve">performance criteria: </w:t>
            </w:r>
          </w:p>
          <w:p w:rsidR="2B7FFB25" w:rsidP="2B7FFB25" w:rsidRDefault="2B7FFB25" w14:paraId="0AFFD4AF" w14:textId="30FF056E">
            <w:pPr>
              <w:jc w:val="center"/>
              <w:rPr>
                <w:rFonts w:hint="eastAsia"/>
              </w:rPr>
            </w:pPr>
            <w:r w:rsidRPr="2B7FFB25">
              <w:rPr>
                <w:rFonts w:ascii="Aptos" w:hAnsi="Aptos" w:eastAsia="Aptos" w:cs="Aptos"/>
                <w:color w:val="000000" w:themeColor="text1"/>
                <w:sz w:val="20"/>
                <w:szCs w:val="20"/>
              </w:rPr>
              <w:t>a hybrid between the intermediation and production approaches (IA &amp; PA)</w:t>
            </w:r>
          </w:p>
          <w:p w:rsidR="2B7FFB25" w:rsidP="2B7FFB25" w:rsidRDefault="2B7FFB25" w14:paraId="4C6F3175" w14:textId="2355C529">
            <w:pPr>
              <w:rPr>
                <w:rFonts w:hint="eastAsia"/>
              </w:rPr>
            </w:pPr>
            <w:r w:rsidRPr="2B7FFB25">
              <w:rPr>
                <w:rFonts w:ascii="Aptos" w:hAnsi="Aptos" w:eastAsia="Aptos" w:cs="Aptos"/>
                <w:color w:val="000000" w:themeColor="text1"/>
                <w:sz w:val="20"/>
                <w:szCs w:val="20"/>
              </w:rPr>
              <w:t xml:space="preserve"> </w:t>
            </w:r>
          </w:p>
        </w:tc>
        <w:tc>
          <w:tcPr>
            <w:tcW w:w="2148" w:type="dxa"/>
            <w:tcMar/>
          </w:tcPr>
          <w:p w:rsidR="2B7FFB25" w:rsidP="2B7FFB25" w:rsidRDefault="2B7FFB25" w14:paraId="7B92E12A" w14:textId="79133FAE">
            <w:pPr>
              <w:jc w:val="center"/>
              <w:rPr>
                <w:rFonts w:hint="eastAsia"/>
              </w:rPr>
            </w:pPr>
            <w:r w:rsidRPr="2B7FFB25">
              <w:rPr>
                <w:rFonts w:ascii="Aptos" w:hAnsi="Aptos" w:eastAsia="Aptos" w:cs="Aptos"/>
                <w:color w:val="000000" w:themeColor="text1"/>
                <w:sz w:val="20"/>
                <w:szCs w:val="20"/>
              </w:rPr>
              <w:t>IA:</w:t>
            </w:r>
          </w:p>
          <w:p w:rsidR="2B7FFB25" w:rsidP="2B7FFB25" w:rsidRDefault="2B7FFB25" w14:paraId="321CAF28" w14:textId="39560134">
            <w:pPr>
              <w:jc w:val="center"/>
              <w:rPr>
                <w:rFonts w:hint="eastAsia"/>
              </w:rPr>
            </w:pPr>
            <w:r w:rsidRPr="2B7FFB25">
              <w:rPr>
                <w:rFonts w:ascii="Aptos" w:hAnsi="Aptos" w:eastAsia="Aptos" w:cs="Aptos"/>
                <w:color w:val="000000" w:themeColor="text1"/>
                <w:sz w:val="20"/>
                <w:szCs w:val="20"/>
              </w:rPr>
              <w:t>Deposits (RDEP), overheads (ROHD), fixed assets (RFA)</w:t>
            </w:r>
          </w:p>
        </w:tc>
        <w:tc>
          <w:tcPr>
            <w:tcW w:w="2144" w:type="dxa"/>
            <w:tcMar/>
          </w:tcPr>
          <w:p w:rsidR="2B7FFB25" w:rsidP="2B7FFB25" w:rsidRDefault="2B7FFB25" w14:paraId="6CA60AB9" w14:textId="7129906E">
            <w:pPr>
              <w:jc w:val="center"/>
              <w:rPr>
                <w:rFonts w:hint="eastAsia"/>
              </w:rPr>
            </w:pPr>
            <w:r w:rsidRPr="2B7FFB25">
              <w:rPr>
                <w:rFonts w:ascii="Aptos" w:hAnsi="Aptos" w:eastAsia="Aptos" w:cs="Aptos"/>
                <w:color w:val="000000" w:themeColor="text1"/>
                <w:sz w:val="20"/>
                <w:szCs w:val="20"/>
              </w:rPr>
              <w:t>IA:</w:t>
            </w:r>
          </w:p>
          <w:p w:rsidR="2B7FFB25" w:rsidP="2B7FFB25" w:rsidRDefault="2B7FFB25" w14:paraId="1F3A3D83" w14:textId="79481921">
            <w:pPr>
              <w:jc w:val="center"/>
              <w:rPr>
                <w:rFonts w:hint="eastAsia"/>
              </w:rPr>
            </w:pPr>
            <w:r w:rsidRPr="2B7FFB25">
              <w:rPr>
                <w:rFonts w:ascii="Aptos" w:hAnsi="Aptos" w:eastAsia="Aptos" w:cs="Aptos"/>
                <w:color w:val="000000" w:themeColor="text1"/>
                <w:sz w:val="20"/>
                <w:szCs w:val="20"/>
              </w:rPr>
              <w:t xml:space="preserve">Loans (RLOAN), </w:t>
            </w:r>
          </w:p>
          <w:p w:rsidR="2B7FFB25" w:rsidP="2B7FFB25" w:rsidRDefault="2B7FFB25" w14:paraId="3665A8A8" w14:textId="5F33FEF1">
            <w:pPr>
              <w:jc w:val="center"/>
              <w:rPr>
                <w:rFonts w:hint="eastAsia"/>
              </w:rPr>
            </w:pPr>
            <w:r w:rsidRPr="2B7FFB25">
              <w:rPr>
                <w:rFonts w:ascii="Aptos" w:hAnsi="Aptos" w:eastAsia="Aptos" w:cs="Aptos"/>
                <w:color w:val="000000" w:themeColor="text1"/>
                <w:sz w:val="20"/>
                <w:szCs w:val="20"/>
              </w:rPr>
              <w:t xml:space="preserve"> </w:t>
            </w:r>
          </w:p>
          <w:p w:rsidR="2B7FFB25" w:rsidP="2B7FFB25" w:rsidRDefault="2B7FFB25" w14:paraId="7A023559" w14:textId="2D811516">
            <w:pPr>
              <w:jc w:val="center"/>
              <w:rPr>
                <w:rFonts w:hint="eastAsia"/>
              </w:rPr>
            </w:pPr>
            <w:r w:rsidRPr="2B7FFB25">
              <w:rPr>
                <w:rFonts w:ascii="Aptos" w:hAnsi="Aptos" w:eastAsia="Aptos" w:cs="Aptos"/>
                <w:color w:val="000000" w:themeColor="text1"/>
                <w:sz w:val="20"/>
                <w:szCs w:val="20"/>
              </w:rPr>
              <w:t>PA:</w:t>
            </w:r>
          </w:p>
          <w:p w:rsidR="2B7FFB25" w:rsidP="2B7FFB25" w:rsidRDefault="2B7FFB25" w14:paraId="35DB313E" w14:textId="7485B427">
            <w:pPr>
              <w:jc w:val="center"/>
              <w:rPr>
                <w:rFonts w:hint="eastAsia"/>
              </w:rPr>
            </w:pPr>
            <w:r w:rsidRPr="2B7FFB25">
              <w:rPr>
                <w:rFonts w:ascii="Aptos" w:hAnsi="Aptos" w:eastAsia="Aptos" w:cs="Aptos"/>
                <w:color w:val="000000" w:themeColor="text1"/>
                <w:sz w:val="20"/>
                <w:szCs w:val="20"/>
              </w:rPr>
              <w:t>other earning assets (ROEA), RFEE (net fee income)</w:t>
            </w:r>
          </w:p>
          <w:p w:rsidR="2B7FFB25" w:rsidP="2B7FFB25" w:rsidRDefault="2B7FFB25" w14:paraId="49103CA3" w14:textId="4945DA76">
            <w:pPr>
              <w:jc w:val="center"/>
              <w:rPr>
                <w:rFonts w:hint="eastAsia"/>
              </w:rPr>
            </w:pPr>
            <w:r w:rsidRPr="2B7FFB25">
              <w:rPr>
                <w:rFonts w:ascii="Aptos" w:hAnsi="Aptos" w:eastAsia="Aptos" w:cs="Aptos"/>
                <w:sz w:val="20"/>
                <w:szCs w:val="20"/>
              </w:rPr>
              <w:t xml:space="preserve"> </w:t>
            </w:r>
          </w:p>
        </w:tc>
      </w:tr>
      <w:tr w:rsidR="2B7FFB25" w:rsidTr="4F940BA9" w14:paraId="3557018B" w14:textId="77777777">
        <w:trPr>
          <w:trHeight w:val="284"/>
        </w:trPr>
        <w:tc>
          <w:tcPr>
            <w:tcW w:w="1278" w:type="dxa"/>
            <w:tcMar/>
          </w:tcPr>
          <w:p w:rsidR="2B7FFB25" w:rsidP="2B7FFB25" w:rsidRDefault="2B7FFB25" w14:paraId="46A238C8" w14:textId="584F9138">
            <w:pPr>
              <w:jc w:val="center"/>
              <w:rPr>
                <w:rFonts w:hint="eastAsia" w:cs="Calibri"/>
                <w:sz w:val="20"/>
                <w:szCs w:val="20"/>
                <w:lang w:eastAsia="zh-CN"/>
              </w:rPr>
            </w:pPr>
            <w:r w:rsidRPr="2B7FFB25">
              <w:rPr>
                <w:rFonts w:cs="Calibri"/>
                <w:sz w:val="20"/>
                <w:szCs w:val="20"/>
                <w:lang w:eastAsia="zh-CN"/>
              </w:rPr>
              <w:t>27</w:t>
            </w:r>
          </w:p>
        </w:tc>
        <w:tc>
          <w:tcPr>
            <w:tcW w:w="1277" w:type="dxa"/>
            <w:tcMar/>
          </w:tcPr>
          <w:p w:rsidR="2B7FFB25" w:rsidP="2B7FFB25" w:rsidRDefault="2B7FFB25" w14:paraId="2B475CF9" w14:textId="0E94B9D8">
            <w:pPr>
              <w:jc w:val="center"/>
              <w:rPr>
                <w:rFonts w:hint="eastAsia"/>
              </w:rPr>
            </w:pPr>
            <w:r w:rsidRPr="2B7FFB25">
              <w:rPr>
                <w:rFonts w:ascii="Aptos" w:hAnsi="Aptos" w:eastAsia="Aptos" w:cs="Aptos"/>
                <w:sz w:val="20"/>
                <w:szCs w:val="20"/>
                <w:lang w:val="en-US"/>
              </w:rPr>
              <w:t>Hou, et al. (2014)</w:t>
            </w:r>
          </w:p>
        </w:tc>
        <w:tc>
          <w:tcPr>
            <w:tcW w:w="2148" w:type="dxa"/>
            <w:tcMar/>
          </w:tcPr>
          <w:p w:rsidR="2B7FFB25" w:rsidP="2B7FFB25" w:rsidRDefault="2B7FFB25" w14:paraId="52F4F001" w14:textId="2DADB5D3">
            <w:pPr>
              <w:jc w:val="center"/>
              <w:rPr>
                <w:rFonts w:hint="eastAsia"/>
              </w:rPr>
            </w:pPr>
            <w:r w:rsidRPr="2B7FFB25">
              <w:rPr>
                <w:rFonts w:ascii="Aptos" w:hAnsi="Aptos" w:eastAsia="Aptos" w:cs="Aptos"/>
                <w:color w:val="000000" w:themeColor="text1"/>
                <w:sz w:val="20"/>
                <w:szCs w:val="20"/>
              </w:rPr>
              <w:t>performance criteria: IA</w:t>
            </w:r>
          </w:p>
          <w:p w:rsidR="2B7FFB25" w:rsidP="2B7FFB25" w:rsidRDefault="2B7FFB25" w14:paraId="37FAE846" w14:textId="2A1A6CDB">
            <w:pPr>
              <w:rPr>
                <w:rFonts w:hint="eastAsia"/>
              </w:rPr>
            </w:pPr>
            <w:r w:rsidRPr="2B7FFB25">
              <w:rPr>
                <w:rFonts w:ascii="Aptos" w:hAnsi="Aptos" w:eastAsia="Aptos" w:cs="Aptos"/>
                <w:color w:val="000000" w:themeColor="text1"/>
                <w:sz w:val="20"/>
                <w:szCs w:val="20"/>
              </w:rPr>
              <w:t xml:space="preserve"> </w:t>
            </w:r>
          </w:p>
        </w:tc>
        <w:tc>
          <w:tcPr>
            <w:tcW w:w="2148" w:type="dxa"/>
            <w:tcMar/>
          </w:tcPr>
          <w:p w:rsidR="2B7FFB25" w:rsidP="2B7FFB25" w:rsidRDefault="2B7FFB25" w14:paraId="6646DE26" w14:textId="692994FC">
            <w:pPr>
              <w:jc w:val="center"/>
              <w:rPr>
                <w:rFonts w:hint="eastAsia"/>
              </w:rPr>
            </w:pPr>
            <w:r w:rsidRPr="2B7FFB25">
              <w:rPr>
                <w:rFonts w:ascii="Aptos" w:hAnsi="Aptos" w:eastAsia="Aptos" w:cs="Aptos"/>
                <w:color w:val="000000" w:themeColor="text1"/>
                <w:sz w:val="20"/>
                <w:szCs w:val="20"/>
              </w:rPr>
              <w:t>total deposits (</w:t>
            </w:r>
            <w:r w:rsidRPr="2B7FFB25">
              <w:rPr>
                <w:rFonts w:ascii="DengXian" w:hAnsi="DengXian" w:eastAsia="DengXian" w:cs="DengXian"/>
              </w:rPr>
              <w:t xml:space="preserve"> </w:t>
            </w:r>
            <w:r w:rsidRPr="2B7FFB25">
              <w:rPr>
                <w:rFonts w:ascii="Aptos" w:hAnsi="Aptos" w:eastAsia="Aptos" w:cs="Aptos"/>
                <w:color w:val="000000" w:themeColor="text1"/>
                <w:sz w:val="20"/>
                <w:szCs w:val="20"/>
              </w:rPr>
              <w:t>),</w:t>
            </w:r>
          </w:p>
          <w:p w:rsidR="2B7FFB25" w:rsidP="2B7FFB25" w:rsidRDefault="2B7FFB25" w14:paraId="70DF2307" w14:textId="326BC643">
            <w:pPr>
              <w:jc w:val="center"/>
              <w:rPr>
                <w:rFonts w:hint="eastAsia"/>
              </w:rPr>
            </w:pPr>
            <w:r w:rsidRPr="2B7FFB25">
              <w:rPr>
                <w:rFonts w:ascii="Aptos" w:hAnsi="Aptos" w:eastAsia="Aptos" w:cs="Aptos"/>
                <w:color w:val="000000" w:themeColor="text1"/>
                <w:sz w:val="20"/>
                <w:szCs w:val="20"/>
              </w:rPr>
              <w:t>fixed assets (</w:t>
            </w:r>
            <w:r w:rsidRPr="2B7FFB25">
              <w:rPr>
                <w:rFonts w:ascii="DengXian" w:hAnsi="DengXian" w:eastAsia="DengXian" w:cs="DengXian"/>
              </w:rPr>
              <w:t xml:space="preserve"> </w:t>
            </w:r>
            <w:r w:rsidRPr="2B7FFB25">
              <w:rPr>
                <w:rFonts w:ascii="Aptos" w:hAnsi="Aptos" w:eastAsia="Aptos" w:cs="Aptos"/>
                <w:color w:val="000000" w:themeColor="text1"/>
                <w:sz w:val="20"/>
                <w:szCs w:val="20"/>
              </w:rPr>
              <w:t>),</w:t>
            </w:r>
          </w:p>
          <w:p w:rsidR="2B7FFB25" w:rsidP="2B7FFB25" w:rsidRDefault="2B7FFB25" w14:paraId="3CD5B15C" w14:textId="41BE6EB3">
            <w:pPr>
              <w:jc w:val="center"/>
              <w:rPr>
                <w:rFonts w:hint="eastAsia"/>
              </w:rPr>
            </w:pPr>
            <w:r w:rsidRPr="2B7FFB25">
              <w:rPr>
                <w:rFonts w:ascii="Aptos" w:hAnsi="Aptos" w:eastAsia="Aptos" w:cs="Aptos"/>
                <w:color w:val="000000" w:themeColor="text1"/>
                <w:sz w:val="20"/>
                <w:szCs w:val="20"/>
              </w:rPr>
              <w:t>number of employees (</w:t>
            </w:r>
            <w:r w:rsidRPr="2B7FFB25">
              <w:rPr>
                <w:rFonts w:ascii="DengXian" w:hAnsi="DengXian" w:eastAsia="DengXian" w:cs="DengXian"/>
              </w:rPr>
              <w:t xml:space="preserve"> </w:t>
            </w:r>
            <w:r w:rsidRPr="2B7FFB25">
              <w:rPr>
                <w:rFonts w:ascii="Aptos" w:hAnsi="Aptos" w:eastAsia="Aptos" w:cs="Aptos"/>
                <w:color w:val="000000" w:themeColor="text1"/>
                <w:sz w:val="20"/>
                <w:szCs w:val="20"/>
              </w:rPr>
              <w:t>),</w:t>
            </w:r>
          </w:p>
        </w:tc>
        <w:tc>
          <w:tcPr>
            <w:tcW w:w="2144" w:type="dxa"/>
            <w:tcMar/>
          </w:tcPr>
          <w:p w:rsidR="2B7FFB25" w:rsidP="2B7FFB25" w:rsidRDefault="2B7FFB25" w14:paraId="65641086" w14:textId="1B837982">
            <w:pPr>
              <w:jc w:val="center"/>
              <w:rPr>
                <w:rFonts w:hint="eastAsia"/>
              </w:rPr>
            </w:pPr>
            <w:r w:rsidRPr="2B7FFB25">
              <w:rPr>
                <w:rFonts w:ascii="Aptos" w:hAnsi="Aptos" w:eastAsia="Aptos" w:cs="Aptos"/>
                <w:color w:val="000000" w:themeColor="text1"/>
                <w:sz w:val="20"/>
                <w:szCs w:val="20"/>
              </w:rPr>
              <w:t>total net loan (</w:t>
            </w:r>
            <w:r w:rsidRPr="2B7FFB25">
              <w:rPr>
                <w:rFonts w:ascii="DengXian" w:hAnsi="DengXian" w:eastAsia="DengXian" w:cs="DengXian"/>
              </w:rPr>
              <w:t xml:space="preserve"> </w:t>
            </w:r>
            <w:r w:rsidRPr="2B7FFB25">
              <w:rPr>
                <w:rFonts w:ascii="Aptos" w:hAnsi="Aptos" w:eastAsia="Aptos" w:cs="Aptos"/>
                <w:color w:val="000000" w:themeColor="text1"/>
                <w:sz w:val="20"/>
                <w:szCs w:val="20"/>
              </w:rPr>
              <w:t>),</w:t>
            </w:r>
          </w:p>
          <w:p w:rsidR="2B7FFB25" w:rsidP="2B7FFB25" w:rsidRDefault="2B7FFB25" w14:paraId="300C2490" w14:textId="4995E169">
            <w:pPr>
              <w:jc w:val="center"/>
              <w:rPr>
                <w:rFonts w:hint="eastAsia"/>
              </w:rPr>
            </w:pPr>
            <w:r w:rsidRPr="2B7FFB25">
              <w:rPr>
                <w:rFonts w:ascii="Aptos" w:hAnsi="Aptos" w:eastAsia="Aptos" w:cs="Aptos"/>
                <w:color w:val="000000" w:themeColor="text1"/>
                <w:sz w:val="20"/>
                <w:szCs w:val="20"/>
              </w:rPr>
              <w:t>other earning assets (</w:t>
            </w:r>
            <w:r w:rsidRPr="2B7FFB25">
              <w:rPr>
                <w:rFonts w:ascii="DengXian" w:hAnsi="DengXian" w:eastAsia="DengXian" w:cs="DengXian"/>
              </w:rPr>
              <w:t xml:space="preserve"> </w:t>
            </w:r>
            <w:r w:rsidRPr="2B7FFB25">
              <w:rPr>
                <w:rFonts w:ascii="Aptos" w:hAnsi="Aptos" w:eastAsia="Aptos" w:cs="Aptos"/>
                <w:color w:val="000000" w:themeColor="text1"/>
                <w:sz w:val="20"/>
                <w:szCs w:val="20"/>
              </w:rPr>
              <w:t>),</w:t>
            </w:r>
          </w:p>
          <w:p w:rsidR="2B7FFB25" w:rsidP="2B7FFB25" w:rsidRDefault="2B7FFB25" w14:paraId="06AC2903" w14:textId="51CEEAAC">
            <w:pPr>
              <w:jc w:val="center"/>
              <w:rPr>
                <w:rFonts w:hint="eastAsia"/>
              </w:rPr>
            </w:pPr>
            <w:r w:rsidRPr="2B7FFB25">
              <w:rPr>
                <w:rFonts w:ascii="Aptos" w:hAnsi="Aptos" w:eastAsia="Aptos" w:cs="Aptos"/>
                <w:sz w:val="20"/>
                <w:szCs w:val="20"/>
              </w:rPr>
              <w:t xml:space="preserve"> </w:t>
            </w:r>
          </w:p>
        </w:tc>
      </w:tr>
      <w:tr w:rsidR="2B7FFB25" w:rsidTr="4F940BA9" w14:paraId="2CA46805" w14:textId="77777777">
        <w:trPr>
          <w:trHeight w:val="284"/>
        </w:trPr>
        <w:tc>
          <w:tcPr>
            <w:tcW w:w="1278" w:type="dxa"/>
            <w:tcMar/>
          </w:tcPr>
          <w:p w:rsidR="2B7FFB25" w:rsidP="2B7FFB25" w:rsidRDefault="2B7FFB25" w14:paraId="5F650FF5" w14:textId="0D5FEFEC">
            <w:pPr>
              <w:jc w:val="center"/>
              <w:rPr>
                <w:rFonts w:hint="eastAsia" w:cs="Calibri"/>
                <w:sz w:val="20"/>
                <w:szCs w:val="20"/>
                <w:lang w:eastAsia="zh-CN"/>
              </w:rPr>
            </w:pPr>
            <w:r w:rsidRPr="2B7FFB25">
              <w:rPr>
                <w:rFonts w:cs="Calibri"/>
                <w:sz w:val="20"/>
                <w:szCs w:val="20"/>
                <w:lang w:eastAsia="zh-CN"/>
              </w:rPr>
              <w:t>32</w:t>
            </w:r>
          </w:p>
        </w:tc>
        <w:tc>
          <w:tcPr>
            <w:tcW w:w="1277" w:type="dxa"/>
            <w:tcMar/>
          </w:tcPr>
          <w:p w:rsidR="2B7FFB25" w:rsidP="2B7FFB25" w:rsidRDefault="2B7FFB25" w14:paraId="39E91AE3" w14:textId="20FB331D">
            <w:pPr>
              <w:jc w:val="center"/>
              <w:rPr>
                <w:rFonts w:hint="eastAsia"/>
              </w:rPr>
            </w:pPr>
            <w:r w:rsidRPr="2B7FFB25">
              <w:rPr>
                <w:rFonts w:ascii="Aptos" w:hAnsi="Aptos" w:eastAsia="Aptos" w:cs="Aptos"/>
                <w:sz w:val="20"/>
                <w:szCs w:val="20"/>
              </w:rPr>
              <w:t>Fukuyama, et al. (2021)</w:t>
            </w:r>
          </w:p>
        </w:tc>
        <w:tc>
          <w:tcPr>
            <w:tcW w:w="2148" w:type="dxa"/>
            <w:tcMar/>
          </w:tcPr>
          <w:p w:rsidR="2B7FFB25" w:rsidP="2B7FFB25" w:rsidRDefault="2B7FFB25" w14:paraId="5F360A5B" w14:textId="5CD750C3">
            <w:pPr>
              <w:jc w:val="center"/>
              <w:rPr>
                <w:rFonts w:hint="eastAsia"/>
              </w:rPr>
            </w:pPr>
            <w:r w:rsidRPr="2B7FFB25">
              <w:rPr>
                <w:rFonts w:ascii="Aptos" w:hAnsi="Aptos" w:eastAsia="Aptos" w:cs="Aptos"/>
                <w:color w:val="000000" w:themeColor="text1"/>
                <w:sz w:val="20"/>
                <w:szCs w:val="20"/>
              </w:rPr>
              <w:t xml:space="preserve">performance criteria: </w:t>
            </w:r>
          </w:p>
          <w:p w:rsidR="2B7FFB25" w:rsidP="2B7FFB25" w:rsidRDefault="2B7FFB25" w14:paraId="5D5B22A0" w14:textId="7C5553B4">
            <w:pPr>
              <w:jc w:val="center"/>
              <w:rPr>
                <w:rFonts w:hint="eastAsia"/>
              </w:rPr>
            </w:pPr>
            <w:r w:rsidRPr="2B7FFB25">
              <w:rPr>
                <w:rFonts w:ascii="Aptos" w:hAnsi="Aptos" w:eastAsia="Aptos" w:cs="Aptos"/>
                <w:color w:val="000000" w:themeColor="text1"/>
                <w:sz w:val="20"/>
                <w:szCs w:val="20"/>
              </w:rPr>
              <w:t>PA</w:t>
            </w:r>
          </w:p>
          <w:p w:rsidR="2B7FFB25" w:rsidP="2B7FFB25" w:rsidRDefault="2B7FFB25" w14:paraId="475B34C7" w14:textId="1F1AE535">
            <w:pPr>
              <w:jc w:val="center"/>
              <w:rPr>
                <w:rFonts w:hint="eastAsia"/>
              </w:rPr>
            </w:pPr>
            <w:r w:rsidRPr="2B7FFB25">
              <w:rPr>
                <w:rFonts w:ascii="Aptos" w:hAnsi="Aptos" w:eastAsia="Aptos" w:cs="Aptos"/>
                <w:color w:val="000000" w:themeColor="text1"/>
                <w:sz w:val="20"/>
                <w:szCs w:val="20"/>
              </w:rPr>
              <w:t xml:space="preserve"> </w:t>
            </w:r>
          </w:p>
        </w:tc>
        <w:tc>
          <w:tcPr>
            <w:tcW w:w="2148" w:type="dxa"/>
            <w:tcMar/>
          </w:tcPr>
          <w:p w:rsidR="2B7FFB25" w:rsidP="2B7FFB25" w:rsidRDefault="2B7FFB25" w14:paraId="375CF95C" w14:textId="49BE608F">
            <w:pPr>
              <w:jc w:val="center"/>
              <w:rPr>
                <w:rFonts w:hint="eastAsia"/>
              </w:rPr>
            </w:pPr>
            <w:r w:rsidRPr="2B7FFB25">
              <w:rPr>
                <w:rFonts w:ascii="Aptos" w:hAnsi="Aptos" w:eastAsia="Aptos" w:cs="Aptos"/>
                <w:color w:val="000000" w:themeColor="text1"/>
                <w:sz w:val="20"/>
                <w:szCs w:val="20"/>
              </w:rPr>
              <w:t>Personnel</w:t>
            </w:r>
          </w:p>
          <w:p w:rsidR="2B7FFB25" w:rsidP="2B7FFB25" w:rsidRDefault="2B7FFB25" w14:paraId="76135EE3" w14:textId="575D46CA">
            <w:pPr>
              <w:jc w:val="center"/>
              <w:rPr>
                <w:rFonts w:hint="eastAsia"/>
              </w:rPr>
            </w:pPr>
            <w:r w:rsidRPr="2B7FFB25">
              <w:rPr>
                <w:rFonts w:ascii="Aptos" w:hAnsi="Aptos" w:eastAsia="Aptos" w:cs="Aptos"/>
                <w:color w:val="000000" w:themeColor="text1"/>
                <w:sz w:val="20"/>
                <w:szCs w:val="20"/>
              </w:rPr>
              <w:t xml:space="preserve">expenses </w:t>
            </w:r>
          </w:p>
          <w:p w:rsidR="2B7FFB25" w:rsidP="2B7FFB25" w:rsidRDefault="2B7FFB25" w14:paraId="1733DDC3" w14:textId="4B52C555">
            <w:pPr>
              <w:jc w:val="center"/>
              <w:rPr>
                <w:rFonts w:hint="eastAsia"/>
              </w:rPr>
            </w:pPr>
            <w:r w:rsidRPr="2B7FFB25">
              <w:rPr>
                <w:rFonts w:ascii="Aptos" w:hAnsi="Aptos" w:eastAsia="Aptos" w:cs="Aptos"/>
                <w:color w:val="000000" w:themeColor="text1"/>
                <w:sz w:val="20"/>
                <w:szCs w:val="20"/>
              </w:rPr>
              <w:t>Equity capital,</w:t>
            </w:r>
          </w:p>
          <w:p w:rsidR="2B7FFB25" w:rsidP="2B7FFB25" w:rsidRDefault="2B7FFB25" w14:paraId="578508ED" w14:textId="47975A97">
            <w:pPr>
              <w:jc w:val="center"/>
              <w:rPr>
                <w:rFonts w:hint="eastAsia"/>
              </w:rPr>
            </w:pPr>
            <w:r w:rsidRPr="2B7FFB25">
              <w:rPr>
                <w:rFonts w:ascii="Aptos" w:hAnsi="Aptos" w:eastAsia="Aptos" w:cs="Aptos"/>
                <w:color w:val="000000" w:themeColor="text1"/>
                <w:sz w:val="20"/>
                <w:szCs w:val="20"/>
              </w:rPr>
              <w:t xml:space="preserve">Fixed assets </w:t>
            </w:r>
          </w:p>
        </w:tc>
        <w:tc>
          <w:tcPr>
            <w:tcW w:w="2144" w:type="dxa"/>
            <w:tcMar/>
          </w:tcPr>
          <w:p w:rsidR="2B7FFB25" w:rsidP="2B7FFB25" w:rsidRDefault="2B7FFB25" w14:paraId="197E0BDF" w14:textId="10C31776">
            <w:pPr>
              <w:jc w:val="center"/>
              <w:rPr>
                <w:rFonts w:hint="eastAsia"/>
              </w:rPr>
            </w:pPr>
            <w:r w:rsidRPr="2B7FFB25">
              <w:rPr>
                <w:rFonts w:ascii="Aptos" w:hAnsi="Aptos" w:eastAsia="Aptos" w:cs="Aptos"/>
                <w:color w:val="000000" w:themeColor="text1"/>
                <w:sz w:val="20"/>
                <w:szCs w:val="20"/>
              </w:rPr>
              <w:t>Loan loss reserves (LLRs)</w:t>
            </w:r>
          </w:p>
        </w:tc>
      </w:tr>
      <w:tr w:rsidR="2B7FFB25" w:rsidTr="4F940BA9" w14:paraId="236774C6" w14:textId="77777777">
        <w:trPr>
          <w:trHeight w:val="284"/>
        </w:trPr>
        <w:tc>
          <w:tcPr>
            <w:tcW w:w="1278" w:type="dxa"/>
            <w:tcMar/>
          </w:tcPr>
          <w:p w:rsidR="2B7FFB25" w:rsidP="2B7FFB25" w:rsidRDefault="2B7FFB25" w14:paraId="108B0557" w14:textId="4C8A35F8">
            <w:pPr>
              <w:jc w:val="center"/>
              <w:rPr>
                <w:rFonts w:hint="eastAsia" w:cs="Calibri"/>
                <w:sz w:val="20"/>
                <w:szCs w:val="20"/>
                <w:lang w:eastAsia="zh-CN"/>
              </w:rPr>
            </w:pPr>
            <w:r w:rsidRPr="2B7FFB25">
              <w:rPr>
                <w:rFonts w:cs="Calibri"/>
                <w:sz w:val="20"/>
                <w:szCs w:val="20"/>
                <w:lang w:eastAsia="zh-CN"/>
              </w:rPr>
              <w:t>22</w:t>
            </w:r>
          </w:p>
        </w:tc>
        <w:tc>
          <w:tcPr>
            <w:tcW w:w="1277" w:type="dxa"/>
            <w:tcMar/>
          </w:tcPr>
          <w:p w:rsidR="2B7FFB25" w:rsidP="2B7FFB25" w:rsidRDefault="2B7FFB25" w14:paraId="28965195" w14:textId="43E17249">
            <w:pPr>
              <w:jc w:val="center"/>
              <w:rPr>
                <w:rFonts w:hint="eastAsia"/>
              </w:rPr>
            </w:pPr>
            <w:r w:rsidRPr="2B7FFB25">
              <w:rPr>
                <w:rFonts w:ascii="Aptos" w:hAnsi="Aptos" w:eastAsia="Aptos" w:cs="Aptos"/>
                <w:sz w:val="20"/>
                <w:szCs w:val="20"/>
              </w:rPr>
              <w:t>Fukuyama, et al. (2021)</w:t>
            </w:r>
          </w:p>
        </w:tc>
        <w:tc>
          <w:tcPr>
            <w:tcW w:w="2148" w:type="dxa"/>
            <w:tcMar/>
          </w:tcPr>
          <w:p w:rsidR="2B7FFB25" w:rsidP="2B7FFB25" w:rsidRDefault="2B7FFB25" w14:paraId="34109760" w14:textId="2438F09C">
            <w:pPr>
              <w:jc w:val="center"/>
              <w:rPr>
                <w:rFonts w:hint="eastAsia"/>
              </w:rPr>
            </w:pPr>
            <w:r w:rsidRPr="2B7FFB25">
              <w:rPr>
                <w:rFonts w:ascii="Aptos" w:hAnsi="Aptos" w:eastAsia="Aptos" w:cs="Aptos"/>
                <w:color w:val="000000" w:themeColor="text1"/>
                <w:sz w:val="20"/>
                <w:szCs w:val="20"/>
              </w:rPr>
              <w:t xml:space="preserve">performance criteria: </w:t>
            </w:r>
          </w:p>
          <w:p w:rsidR="2B7FFB25" w:rsidP="2B7FFB25" w:rsidRDefault="2B7FFB25" w14:paraId="3FF13D9C" w14:textId="227C2D57">
            <w:pPr>
              <w:jc w:val="center"/>
              <w:rPr>
                <w:rFonts w:hint="eastAsia"/>
              </w:rPr>
            </w:pPr>
            <w:r w:rsidRPr="2B7FFB25">
              <w:rPr>
                <w:rFonts w:ascii="Aptos" w:hAnsi="Aptos" w:eastAsia="Aptos" w:cs="Aptos"/>
                <w:color w:val="000000" w:themeColor="text1"/>
                <w:sz w:val="20"/>
                <w:szCs w:val="20"/>
              </w:rPr>
              <w:t>POA</w:t>
            </w:r>
          </w:p>
          <w:p w:rsidR="2B7FFB25" w:rsidP="2B7FFB25" w:rsidRDefault="2B7FFB25" w14:paraId="56B2C5A8" w14:textId="145BFEC0">
            <w:pPr>
              <w:rPr>
                <w:rFonts w:hint="eastAsia"/>
              </w:rPr>
            </w:pPr>
            <w:r w:rsidRPr="2B7FFB25">
              <w:rPr>
                <w:rFonts w:ascii="Aptos" w:hAnsi="Aptos" w:eastAsia="Aptos" w:cs="Aptos"/>
              </w:rPr>
              <w:t xml:space="preserve"> </w:t>
            </w:r>
          </w:p>
        </w:tc>
        <w:tc>
          <w:tcPr>
            <w:tcW w:w="2148" w:type="dxa"/>
            <w:tcMar/>
          </w:tcPr>
          <w:p w:rsidR="2B7FFB25" w:rsidP="2B7FFB25" w:rsidRDefault="2B7FFB25" w14:paraId="27AAEA3B" w14:textId="1FBACF14">
            <w:pPr>
              <w:jc w:val="center"/>
              <w:rPr>
                <w:rFonts w:hint="eastAsia"/>
              </w:rPr>
            </w:pPr>
            <w:r w:rsidRPr="2B7FFB25">
              <w:rPr>
                <w:rFonts w:ascii="Aptos" w:hAnsi="Aptos" w:eastAsia="Aptos" w:cs="Aptos"/>
                <w:color w:val="000000" w:themeColor="text1"/>
                <w:sz w:val="20"/>
                <w:szCs w:val="20"/>
              </w:rPr>
              <w:t>number of employees, fixed assets, deposit</w:t>
            </w:r>
          </w:p>
        </w:tc>
        <w:tc>
          <w:tcPr>
            <w:tcW w:w="2144" w:type="dxa"/>
            <w:tcMar/>
          </w:tcPr>
          <w:p w:rsidR="2B7FFB25" w:rsidP="2B7FFB25" w:rsidRDefault="2B7FFB25" w14:paraId="6DD12028" w14:textId="5F60F160">
            <w:pPr>
              <w:jc w:val="center"/>
              <w:rPr>
                <w:rFonts w:hint="eastAsia"/>
              </w:rPr>
            </w:pPr>
            <w:r w:rsidRPr="2B7FFB25">
              <w:rPr>
                <w:rFonts w:ascii="Aptos" w:hAnsi="Aptos" w:eastAsia="Aptos" w:cs="Aptos"/>
                <w:color w:val="000000" w:themeColor="text1"/>
                <w:sz w:val="20"/>
                <w:szCs w:val="20"/>
              </w:rPr>
              <w:t>interest income, non-interest income</w:t>
            </w:r>
          </w:p>
        </w:tc>
      </w:tr>
      <w:tr w:rsidR="2B7FFB25" w:rsidTr="4F940BA9" w14:paraId="7CE66E3E" w14:textId="77777777">
        <w:trPr>
          <w:trHeight w:val="284"/>
        </w:trPr>
        <w:tc>
          <w:tcPr>
            <w:tcW w:w="1278" w:type="dxa"/>
            <w:tcMar/>
          </w:tcPr>
          <w:p w:rsidR="2B7FFB25" w:rsidP="2B7FFB25" w:rsidRDefault="2B7FFB25" w14:paraId="158625AC" w14:textId="6D9A1F1B">
            <w:pPr>
              <w:jc w:val="center"/>
              <w:rPr>
                <w:rFonts w:hint="eastAsia" w:cs="Calibri"/>
                <w:sz w:val="20"/>
                <w:szCs w:val="20"/>
                <w:lang w:eastAsia="zh-CN"/>
              </w:rPr>
            </w:pPr>
            <w:r w:rsidRPr="2B7FFB25">
              <w:rPr>
                <w:rFonts w:cs="Calibri"/>
                <w:sz w:val="20"/>
                <w:szCs w:val="20"/>
                <w:lang w:eastAsia="zh-CN"/>
              </w:rPr>
              <w:t>17</w:t>
            </w:r>
          </w:p>
        </w:tc>
        <w:tc>
          <w:tcPr>
            <w:tcW w:w="1277" w:type="dxa"/>
            <w:tcMar/>
          </w:tcPr>
          <w:p w:rsidR="2B7FFB25" w:rsidP="2B7FFB25" w:rsidRDefault="2B7FFB25" w14:paraId="1698309B" w14:textId="6D96F7D0">
            <w:pPr>
              <w:jc w:val="center"/>
              <w:rPr>
                <w:rFonts w:hint="eastAsia"/>
              </w:rPr>
            </w:pPr>
            <w:r w:rsidRPr="2B7FFB25">
              <w:rPr>
                <w:rFonts w:ascii="Aptos" w:hAnsi="Aptos" w:eastAsia="Aptos" w:cs="Aptos"/>
                <w:sz w:val="20"/>
                <w:szCs w:val="20"/>
              </w:rPr>
              <w:t>Dong et al. (2016)</w:t>
            </w:r>
          </w:p>
        </w:tc>
        <w:tc>
          <w:tcPr>
            <w:tcW w:w="2148" w:type="dxa"/>
            <w:tcMar/>
          </w:tcPr>
          <w:p w:rsidR="2B7FFB25" w:rsidP="2B7FFB25" w:rsidRDefault="2B7FFB25" w14:paraId="2544682F" w14:textId="3FC0C244">
            <w:pPr>
              <w:jc w:val="center"/>
              <w:rPr>
                <w:rFonts w:hint="eastAsia"/>
              </w:rPr>
            </w:pPr>
            <w:r w:rsidRPr="2B7FFB25">
              <w:rPr>
                <w:rFonts w:ascii="Aptos" w:hAnsi="Aptos" w:eastAsia="Aptos" w:cs="Aptos"/>
                <w:color w:val="000000" w:themeColor="text1"/>
                <w:sz w:val="20"/>
                <w:szCs w:val="20"/>
              </w:rPr>
              <w:t>performance criteria: IA</w:t>
            </w:r>
          </w:p>
          <w:p w:rsidR="2B7FFB25" w:rsidP="2B7FFB25" w:rsidRDefault="2B7FFB25" w14:paraId="77C365C8" w14:textId="6BF0DBBC">
            <w:pPr>
              <w:jc w:val="center"/>
              <w:rPr>
                <w:rFonts w:hint="eastAsia"/>
              </w:rPr>
            </w:pPr>
            <w:r w:rsidRPr="2B7FFB25">
              <w:rPr>
                <w:rFonts w:ascii="Aptos" w:hAnsi="Aptos" w:eastAsia="Aptos" w:cs="Aptos"/>
                <w:color w:val="000000" w:themeColor="text1"/>
                <w:sz w:val="20"/>
                <w:szCs w:val="20"/>
              </w:rPr>
              <w:t xml:space="preserve"> </w:t>
            </w:r>
          </w:p>
          <w:p w:rsidR="2B7FFB25" w:rsidP="2B7FFB25" w:rsidRDefault="2B7FFB25" w14:paraId="08F60528" w14:textId="58FD1CF3">
            <w:pPr>
              <w:rPr>
                <w:rFonts w:hint="eastAsia"/>
              </w:rPr>
            </w:pPr>
            <w:r w:rsidRPr="2B7FFB25">
              <w:rPr>
                <w:rFonts w:ascii="Aptos" w:hAnsi="Aptos" w:eastAsia="Aptos" w:cs="Aptos"/>
                <w:color w:val="000000" w:themeColor="text1"/>
                <w:sz w:val="20"/>
                <w:szCs w:val="20"/>
              </w:rPr>
              <w:t xml:space="preserve"> </w:t>
            </w:r>
          </w:p>
        </w:tc>
        <w:tc>
          <w:tcPr>
            <w:tcW w:w="2148" w:type="dxa"/>
            <w:tcMar/>
          </w:tcPr>
          <w:p w:rsidR="2B7FFB25" w:rsidP="2B7FFB25" w:rsidRDefault="2B7FFB25" w14:paraId="11C4BC43" w14:textId="6116B811">
            <w:pPr>
              <w:jc w:val="center"/>
              <w:rPr>
                <w:rFonts w:hint="eastAsia"/>
              </w:rPr>
            </w:pPr>
            <w:r w:rsidRPr="2B7FFB25">
              <w:rPr>
                <w:rFonts w:ascii="Aptos" w:hAnsi="Aptos" w:eastAsia="Aptos" w:cs="Aptos"/>
                <w:color w:val="000000" w:themeColor="text1"/>
                <w:sz w:val="20"/>
                <w:szCs w:val="20"/>
              </w:rPr>
              <w:t>Price of total borrowed funds (w1) (ratio of total interest expenses to total borrowed funds)</w:t>
            </w:r>
          </w:p>
          <w:p w:rsidR="2B7FFB25" w:rsidP="2B7FFB25" w:rsidRDefault="2B7FFB25" w14:paraId="0CF54792" w14:textId="68EED6F6">
            <w:pPr>
              <w:jc w:val="center"/>
              <w:rPr>
                <w:rFonts w:hint="eastAsia"/>
              </w:rPr>
            </w:pPr>
            <w:r w:rsidRPr="2B7FFB25">
              <w:rPr>
                <w:rFonts w:ascii="Aptos" w:hAnsi="Aptos" w:eastAsia="Aptos" w:cs="Aptos"/>
                <w:color w:val="000000" w:themeColor="text1"/>
                <w:sz w:val="20"/>
                <w:szCs w:val="20"/>
              </w:rPr>
              <w:t>Price of physical capital (w2), also known as the flow factor price for capital (measured by the ratio of other operating expenses to fixed assets)</w:t>
            </w:r>
          </w:p>
          <w:p w:rsidR="2B7FFB25" w:rsidP="2B7FFB25" w:rsidRDefault="2B7FFB25" w14:paraId="40D13DE4" w14:textId="060D22E7">
            <w:pPr>
              <w:jc w:val="center"/>
              <w:rPr>
                <w:rFonts w:hint="eastAsia"/>
              </w:rPr>
            </w:pPr>
            <w:r w:rsidRPr="2B7FFB25">
              <w:rPr>
                <w:rFonts w:ascii="Aptos" w:hAnsi="Aptos" w:eastAsia="Aptos" w:cs="Aptos"/>
                <w:color w:val="000000" w:themeColor="text1"/>
                <w:sz w:val="20"/>
                <w:szCs w:val="20"/>
              </w:rPr>
              <w:t>Price of labor (w3) (using the ratio of personnel expenses to the number of employees as a proxy)</w:t>
            </w:r>
          </w:p>
          <w:p w:rsidR="2B7FFB25" w:rsidP="2B7FFB25" w:rsidRDefault="2B7FFB25" w14:paraId="041E1856" w14:textId="460BC306">
            <w:pPr>
              <w:jc w:val="center"/>
              <w:rPr>
                <w:rFonts w:hint="eastAsia"/>
              </w:rPr>
            </w:pPr>
            <w:r w:rsidRPr="2B7FFB25">
              <w:rPr>
                <w:rFonts w:ascii="Aptos" w:hAnsi="Aptos" w:eastAsia="Aptos" w:cs="Aptos"/>
                <w:color w:val="000000" w:themeColor="text1"/>
                <w:sz w:val="20"/>
                <w:szCs w:val="20"/>
              </w:rPr>
              <w:t>Total equity capital (z) (as a quasi-fixed input)</w:t>
            </w:r>
          </w:p>
        </w:tc>
        <w:tc>
          <w:tcPr>
            <w:tcW w:w="2144" w:type="dxa"/>
            <w:tcMar/>
          </w:tcPr>
          <w:p w:rsidR="2B7FFB25" w:rsidP="2B7FFB25" w:rsidRDefault="2B7FFB25" w14:paraId="029D652D" w14:textId="7E399C48">
            <w:pPr>
              <w:jc w:val="center"/>
              <w:rPr>
                <w:rFonts w:hint="eastAsia"/>
              </w:rPr>
            </w:pPr>
            <w:r w:rsidRPr="2B7FFB25">
              <w:rPr>
                <w:rFonts w:ascii="Aptos" w:hAnsi="Aptos" w:eastAsia="Aptos" w:cs="Aptos"/>
                <w:color w:val="000000" w:themeColor="text1"/>
                <w:sz w:val="20"/>
                <w:szCs w:val="20"/>
              </w:rPr>
              <w:t>Total loans (y1)</w:t>
            </w:r>
          </w:p>
          <w:p w:rsidR="2B7FFB25" w:rsidP="2B7FFB25" w:rsidRDefault="2B7FFB25" w14:paraId="48774625" w14:textId="526DDF4F">
            <w:pPr>
              <w:jc w:val="center"/>
              <w:rPr>
                <w:rFonts w:hint="eastAsia"/>
              </w:rPr>
            </w:pPr>
            <w:r w:rsidRPr="2B7FFB25">
              <w:rPr>
                <w:rFonts w:ascii="Aptos" w:hAnsi="Aptos" w:eastAsia="Aptos" w:cs="Aptos"/>
                <w:color w:val="000000" w:themeColor="text1"/>
                <w:sz w:val="20"/>
                <w:szCs w:val="20"/>
              </w:rPr>
              <w:t>Other earning assets (y2)</w:t>
            </w:r>
          </w:p>
          <w:p w:rsidR="2B7FFB25" w:rsidP="2B7FFB25" w:rsidRDefault="2B7FFB25" w14:paraId="5F38133E" w14:textId="33CF5FC0">
            <w:pPr>
              <w:jc w:val="center"/>
              <w:rPr>
                <w:rFonts w:hint="eastAsia"/>
              </w:rPr>
            </w:pPr>
            <w:r w:rsidRPr="2B7FFB25">
              <w:rPr>
                <w:rFonts w:ascii="Aptos" w:hAnsi="Aptos" w:eastAsia="Aptos" w:cs="Aptos"/>
                <w:color w:val="000000" w:themeColor="text1"/>
                <w:sz w:val="20"/>
                <w:szCs w:val="20"/>
              </w:rPr>
              <w:t>Non-interest income (y3)</w:t>
            </w:r>
          </w:p>
        </w:tc>
      </w:tr>
      <w:tr w:rsidR="2B7FFB25" w:rsidTr="4F940BA9" w14:paraId="53FC0489" w14:textId="77777777">
        <w:trPr>
          <w:trHeight w:val="284"/>
        </w:trPr>
        <w:tc>
          <w:tcPr>
            <w:tcW w:w="1278" w:type="dxa"/>
            <w:tcMar/>
          </w:tcPr>
          <w:p w:rsidR="2B7FFB25" w:rsidP="2B7FFB25" w:rsidRDefault="2B7FFB25" w14:paraId="358FBFC6" w14:textId="350FF14F">
            <w:pPr>
              <w:jc w:val="center"/>
              <w:rPr>
                <w:rFonts w:hint="eastAsia" w:cs="Calibri"/>
                <w:sz w:val="20"/>
                <w:szCs w:val="20"/>
                <w:lang w:eastAsia="zh-CN"/>
              </w:rPr>
            </w:pPr>
            <w:r w:rsidRPr="2B7FFB25">
              <w:rPr>
                <w:rFonts w:cs="Calibri"/>
                <w:sz w:val="20"/>
                <w:szCs w:val="20"/>
                <w:lang w:eastAsia="zh-CN"/>
              </w:rPr>
              <w:t>12</w:t>
            </w:r>
          </w:p>
        </w:tc>
        <w:tc>
          <w:tcPr>
            <w:tcW w:w="1277" w:type="dxa"/>
            <w:tcMar/>
          </w:tcPr>
          <w:p w:rsidR="2B7FFB25" w:rsidP="2B7FFB25" w:rsidRDefault="2B7FFB25" w14:paraId="6154143E" w14:textId="165B6A21">
            <w:pPr>
              <w:jc w:val="center"/>
              <w:rPr>
                <w:rFonts w:hint="eastAsia"/>
              </w:rPr>
            </w:pPr>
            <w:r w:rsidRPr="2B7FFB25">
              <w:rPr>
                <w:rFonts w:ascii="Aptos" w:hAnsi="Aptos" w:eastAsia="Aptos" w:cs="Aptos"/>
                <w:sz w:val="20"/>
                <w:szCs w:val="20"/>
              </w:rPr>
              <w:t>Luo et al. (2011)</w:t>
            </w:r>
          </w:p>
        </w:tc>
        <w:tc>
          <w:tcPr>
            <w:tcW w:w="2148" w:type="dxa"/>
            <w:tcMar/>
          </w:tcPr>
          <w:p w:rsidR="2B7FFB25" w:rsidP="2B7FFB25" w:rsidRDefault="2B7FFB25" w14:paraId="570D0B91" w14:textId="503D6F66">
            <w:pPr>
              <w:jc w:val="center"/>
              <w:rPr>
                <w:rFonts w:hint="eastAsia"/>
              </w:rPr>
            </w:pPr>
            <w:r w:rsidRPr="2B7FFB25">
              <w:rPr>
                <w:rFonts w:ascii="Aptos" w:hAnsi="Aptos" w:eastAsia="Aptos" w:cs="Aptos"/>
                <w:color w:val="000000" w:themeColor="text1"/>
                <w:sz w:val="20"/>
                <w:szCs w:val="20"/>
              </w:rPr>
              <w:t>performance criteria: IA</w:t>
            </w:r>
          </w:p>
          <w:p w:rsidR="2B7FFB25" w:rsidP="2B7FFB25" w:rsidRDefault="2B7FFB25" w14:paraId="77E2C45E" w14:textId="1FAF1085">
            <w:pPr>
              <w:jc w:val="center"/>
              <w:rPr>
                <w:rFonts w:hint="eastAsia"/>
              </w:rPr>
            </w:pPr>
            <w:r w:rsidRPr="2B7FFB25">
              <w:rPr>
                <w:rFonts w:ascii="Aptos" w:hAnsi="Aptos" w:eastAsia="Aptos" w:cs="Aptos"/>
                <w:color w:val="000000" w:themeColor="text1"/>
                <w:sz w:val="20"/>
                <w:szCs w:val="20"/>
              </w:rPr>
              <w:t xml:space="preserve"> </w:t>
            </w:r>
          </w:p>
          <w:p w:rsidR="2B7FFB25" w:rsidP="2B7FFB25" w:rsidRDefault="2B7FFB25" w14:paraId="2CD71FA9" w14:textId="4F8785C9">
            <w:pPr>
              <w:jc w:val="center"/>
              <w:rPr>
                <w:rFonts w:hint="eastAsia"/>
              </w:rPr>
            </w:pPr>
            <w:r w:rsidRPr="2B7FFB25">
              <w:rPr>
                <w:rFonts w:ascii="Aptos" w:hAnsi="Aptos" w:eastAsia="Aptos" w:cs="Aptos"/>
                <w:color w:val="000000" w:themeColor="text1"/>
                <w:sz w:val="20"/>
                <w:szCs w:val="20"/>
              </w:rPr>
              <w:t xml:space="preserve"> </w:t>
            </w:r>
          </w:p>
        </w:tc>
        <w:tc>
          <w:tcPr>
            <w:tcW w:w="2148" w:type="dxa"/>
            <w:tcMar/>
          </w:tcPr>
          <w:p w:rsidR="2B7FFB25" w:rsidP="2B7FFB25" w:rsidRDefault="2B7FFB25" w14:paraId="17AD5412" w14:textId="04FADF6C">
            <w:pPr>
              <w:jc w:val="center"/>
              <w:rPr>
                <w:rFonts w:hint="eastAsia"/>
              </w:rPr>
            </w:pPr>
            <w:r w:rsidRPr="2B7FFB25">
              <w:rPr>
                <w:rFonts w:ascii="Aptos" w:hAnsi="Aptos" w:eastAsia="Aptos" w:cs="Aptos"/>
                <w:color w:val="000000" w:themeColor="text1"/>
                <w:sz w:val="20"/>
                <w:szCs w:val="20"/>
              </w:rPr>
              <w:t>Number of employees,</w:t>
            </w:r>
          </w:p>
          <w:p w:rsidR="2B7FFB25" w:rsidP="2B7FFB25" w:rsidRDefault="2B7FFB25" w14:paraId="1CEBDB20" w14:textId="5172B241">
            <w:pPr>
              <w:jc w:val="center"/>
              <w:rPr>
                <w:rFonts w:hint="eastAsia"/>
              </w:rPr>
            </w:pPr>
            <w:r w:rsidRPr="2B7FFB25">
              <w:rPr>
                <w:rFonts w:ascii="Aptos" w:hAnsi="Aptos" w:eastAsia="Aptos" w:cs="Aptos"/>
                <w:color w:val="000000" w:themeColor="text1"/>
                <w:sz w:val="20"/>
                <w:szCs w:val="20"/>
              </w:rPr>
              <w:t>Fixed assets,</w:t>
            </w:r>
          </w:p>
          <w:p w:rsidR="2B7FFB25" w:rsidP="2B7FFB25" w:rsidRDefault="2B7FFB25" w14:paraId="2AAAF23E" w14:textId="638ED714">
            <w:pPr>
              <w:jc w:val="center"/>
              <w:rPr>
                <w:rFonts w:hint="eastAsia"/>
              </w:rPr>
            </w:pPr>
            <w:r w:rsidRPr="2B7FFB25">
              <w:rPr>
                <w:rFonts w:ascii="Aptos" w:hAnsi="Aptos" w:eastAsia="Aptos" w:cs="Aptos"/>
                <w:color w:val="000000" w:themeColor="text1"/>
                <w:sz w:val="20"/>
                <w:szCs w:val="20"/>
              </w:rPr>
              <w:t>Deposits</w:t>
            </w:r>
          </w:p>
        </w:tc>
        <w:tc>
          <w:tcPr>
            <w:tcW w:w="2144" w:type="dxa"/>
            <w:tcMar/>
          </w:tcPr>
          <w:p w:rsidR="2B7FFB25" w:rsidP="2B7FFB25" w:rsidRDefault="2B7FFB25" w14:paraId="27243310" w14:textId="367F9BD1">
            <w:pPr>
              <w:jc w:val="center"/>
              <w:rPr>
                <w:rFonts w:hint="eastAsia"/>
              </w:rPr>
            </w:pPr>
            <w:r w:rsidRPr="2B7FFB25">
              <w:rPr>
                <w:rFonts w:ascii="Aptos" w:hAnsi="Aptos" w:eastAsia="Aptos" w:cs="Aptos"/>
                <w:color w:val="000000" w:themeColor="text1"/>
                <w:sz w:val="20"/>
                <w:szCs w:val="20"/>
              </w:rPr>
              <w:t xml:space="preserve">Total loans, </w:t>
            </w:r>
          </w:p>
          <w:p w:rsidR="2B7FFB25" w:rsidP="2B7FFB25" w:rsidRDefault="2B7FFB25" w14:paraId="13386F9E" w14:textId="26B880A8">
            <w:pPr>
              <w:jc w:val="center"/>
              <w:rPr>
                <w:rFonts w:hint="eastAsia"/>
              </w:rPr>
            </w:pPr>
            <w:r w:rsidRPr="2B7FFB25">
              <w:rPr>
                <w:rFonts w:ascii="Aptos" w:hAnsi="Aptos" w:eastAsia="Aptos" w:cs="Aptos"/>
                <w:color w:val="000000" w:themeColor="text1"/>
                <w:sz w:val="20"/>
                <w:szCs w:val="20"/>
              </w:rPr>
              <w:t>Other earning assets</w:t>
            </w:r>
          </w:p>
        </w:tc>
      </w:tr>
      <w:tr w:rsidR="2B7FFB25" w:rsidTr="4F940BA9" w14:paraId="3001683C" w14:textId="77777777">
        <w:trPr>
          <w:trHeight w:val="284"/>
        </w:trPr>
        <w:tc>
          <w:tcPr>
            <w:tcW w:w="1278" w:type="dxa"/>
            <w:tcMar/>
          </w:tcPr>
          <w:p w:rsidR="2B7FFB25" w:rsidP="2B7FFB25" w:rsidRDefault="2B7FFB25" w14:paraId="433BD757" w14:textId="7FC87F23">
            <w:pPr>
              <w:jc w:val="center"/>
              <w:rPr>
                <w:rFonts w:hint="eastAsia" w:cs="Calibri"/>
                <w:sz w:val="20"/>
                <w:szCs w:val="20"/>
                <w:lang w:eastAsia="zh-CN"/>
              </w:rPr>
            </w:pPr>
            <w:r w:rsidRPr="2B7FFB25">
              <w:rPr>
                <w:rFonts w:cs="Calibri"/>
                <w:sz w:val="20"/>
                <w:szCs w:val="20"/>
                <w:lang w:eastAsia="zh-CN"/>
              </w:rPr>
              <w:t>2</w:t>
            </w:r>
          </w:p>
          <w:p w:rsidR="2B7FFB25" w:rsidP="2B7FFB25" w:rsidRDefault="2B7FFB25" w14:paraId="066E7374" w14:textId="7C20EA47">
            <w:pPr>
              <w:jc w:val="center"/>
              <w:rPr>
                <w:rFonts w:hint="eastAsia" w:cs="Calibri"/>
                <w:sz w:val="20"/>
                <w:szCs w:val="20"/>
                <w:lang w:eastAsia="zh-CN"/>
              </w:rPr>
            </w:pPr>
          </w:p>
        </w:tc>
        <w:tc>
          <w:tcPr>
            <w:tcW w:w="1277" w:type="dxa"/>
            <w:tcMar/>
          </w:tcPr>
          <w:p w:rsidR="2B7FFB25" w:rsidP="2B7FFB25" w:rsidRDefault="2B7FFB25" w14:paraId="3511E39A" w14:textId="5AB5870C">
            <w:pPr>
              <w:jc w:val="center"/>
              <w:rPr>
                <w:rFonts w:hint="eastAsia"/>
              </w:rPr>
            </w:pPr>
            <w:r w:rsidRPr="2B7FFB25">
              <w:rPr>
                <w:rFonts w:ascii="Aptos" w:hAnsi="Aptos" w:eastAsia="Aptos" w:cs="Aptos"/>
                <w:sz w:val="20"/>
                <w:szCs w:val="20"/>
              </w:rPr>
              <w:t>Antunes et al. (2022)</w:t>
            </w:r>
          </w:p>
        </w:tc>
        <w:tc>
          <w:tcPr>
            <w:tcW w:w="2148" w:type="dxa"/>
            <w:tcMar/>
          </w:tcPr>
          <w:p w:rsidR="2B7FFB25" w:rsidP="2B7FFB25" w:rsidRDefault="2B7FFB25" w14:paraId="1CF987B4" w14:textId="5F5D4375">
            <w:pPr>
              <w:jc w:val="center"/>
              <w:rPr>
                <w:rFonts w:hint="eastAsia"/>
              </w:rPr>
            </w:pPr>
            <w:r w:rsidRPr="2B7FFB25">
              <w:rPr>
                <w:rFonts w:ascii="Aptos" w:hAnsi="Aptos" w:eastAsia="Aptos" w:cs="Aptos"/>
                <w:color w:val="000000" w:themeColor="text1"/>
                <w:sz w:val="20"/>
                <w:szCs w:val="20"/>
              </w:rPr>
              <w:t>performance criteria: IA</w:t>
            </w:r>
          </w:p>
          <w:p w:rsidR="2B7FFB25" w:rsidP="2B7FFB25" w:rsidRDefault="2B7FFB25" w14:paraId="61A6EB3C" w14:textId="626953F1">
            <w:pPr>
              <w:jc w:val="center"/>
              <w:rPr>
                <w:rFonts w:hint="eastAsia"/>
              </w:rPr>
            </w:pPr>
            <w:r w:rsidRPr="2B7FFB25">
              <w:rPr>
                <w:rFonts w:ascii="Aptos" w:hAnsi="Aptos" w:eastAsia="Aptos" w:cs="Aptos"/>
                <w:color w:val="000000" w:themeColor="text1"/>
                <w:sz w:val="20"/>
                <w:szCs w:val="20"/>
              </w:rPr>
              <w:t xml:space="preserve"> </w:t>
            </w:r>
          </w:p>
          <w:p w:rsidR="2B7FFB25" w:rsidP="2B7FFB25" w:rsidRDefault="2B7FFB25" w14:paraId="0006CDF4" w14:textId="2D4A02EA">
            <w:pPr>
              <w:jc w:val="center"/>
              <w:rPr>
                <w:rFonts w:hint="eastAsia"/>
              </w:rPr>
            </w:pPr>
            <w:r w:rsidRPr="2B7FFB25">
              <w:rPr>
                <w:rFonts w:ascii="Aptos" w:hAnsi="Aptos" w:eastAsia="Aptos" w:cs="Aptos"/>
                <w:color w:val="000000" w:themeColor="text1"/>
                <w:sz w:val="20"/>
                <w:szCs w:val="20"/>
              </w:rPr>
              <w:t xml:space="preserve"> </w:t>
            </w:r>
          </w:p>
        </w:tc>
        <w:tc>
          <w:tcPr>
            <w:tcW w:w="2148" w:type="dxa"/>
            <w:tcMar/>
          </w:tcPr>
          <w:p w:rsidR="2B7FFB25" w:rsidP="2B7FFB25" w:rsidRDefault="2B7FFB25" w14:paraId="2B16DAA1" w14:textId="34433613">
            <w:pPr>
              <w:jc w:val="center"/>
              <w:rPr>
                <w:rFonts w:hint="eastAsia"/>
              </w:rPr>
            </w:pPr>
            <w:r w:rsidRPr="2B7FFB25">
              <w:rPr>
                <w:rFonts w:ascii="Aptos" w:hAnsi="Aptos" w:eastAsia="Aptos" w:cs="Aptos"/>
                <w:color w:val="000000" w:themeColor="text1"/>
                <w:sz w:val="20"/>
                <w:szCs w:val="20"/>
              </w:rPr>
              <w:t>fixed assets, total deposits, and personnel expenses</w:t>
            </w:r>
          </w:p>
        </w:tc>
        <w:tc>
          <w:tcPr>
            <w:tcW w:w="2144" w:type="dxa"/>
            <w:tcMar/>
          </w:tcPr>
          <w:p w:rsidR="2B7FFB25" w:rsidP="2B7FFB25" w:rsidRDefault="2B7FFB25" w14:paraId="6F869599" w14:textId="7979534F">
            <w:pPr>
              <w:jc w:val="center"/>
              <w:rPr>
                <w:rFonts w:hint="eastAsia"/>
              </w:rPr>
            </w:pPr>
            <w:r w:rsidRPr="2B7FFB25">
              <w:rPr>
                <w:rFonts w:ascii="Aptos" w:hAnsi="Aptos" w:eastAsia="Aptos" w:cs="Aptos"/>
                <w:color w:val="000000" w:themeColor="text1"/>
                <w:sz w:val="20"/>
                <w:szCs w:val="20"/>
              </w:rPr>
              <w:t>total securities and total loans</w:t>
            </w:r>
          </w:p>
        </w:tc>
      </w:tr>
      <w:tr w:rsidR="2B7FFB25" w:rsidTr="4F940BA9" w14:paraId="2751CC82" w14:textId="77777777">
        <w:trPr>
          <w:trHeight w:val="284"/>
        </w:trPr>
        <w:tc>
          <w:tcPr>
            <w:tcW w:w="1278" w:type="dxa"/>
            <w:tcMar/>
          </w:tcPr>
          <w:p w:rsidR="2B7FFB25" w:rsidP="2B7FFB25" w:rsidRDefault="2B7FFB25" w14:paraId="2CE13931" w14:textId="059C9C80">
            <w:pPr>
              <w:jc w:val="center"/>
              <w:rPr>
                <w:rFonts w:hint="eastAsia" w:cs="Calibri"/>
                <w:sz w:val="20"/>
                <w:szCs w:val="20"/>
                <w:lang w:eastAsia="zh-CN"/>
              </w:rPr>
            </w:pPr>
            <w:r w:rsidRPr="2B7FFB25">
              <w:rPr>
                <w:rFonts w:cs="Calibri"/>
                <w:sz w:val="20"/>
                <w:szCs w:val="20"/>
                <w:lang w:eastAsia="zh-CN"/>
              </w:rPr>
              <w:t>46</w:t>
            </w:r>
          </w:p>
        </w:tc>
        <w:tc>
          <w:tcPr>
            <w:tcW w:w="1277" w:type="dxa"/>
            <w:tcMar/>
          </w:tcPr>
          <w:p w:rsidR="2B7FFB25" w:rsidP="2B7FFB25" w:rsidRDefault="2B7FFB25" w14:paraId="33ADDC3D" w14:textId="47458060">
            <w:pPr>
              <w:jc w:val="center"/>
              <w:rPr>
                <w:rFonts w:hint="eastAsia"/>
              </w:rPr>
            </w:pPr>
            <w:r w:rsidRPr="2B7FFB25">
              <w:rPr>
                <w:rFonts w:ascii="Aptos" w:hAnsi="Aptos" w:eastAsia="Aptos" w:cs="Aptos"/>
                <w:sz w:val="20"/>
                <w:szCs w:val="20"/>
              </w:rPr>
              <w:t>Bingquan et al. (2019)</w:t>
            </w:r>
          </w:p>
        </w:tc>
        <w:tc>
          <w:tcPr>
            <w:tcW w:w="2148" w:type="dxa"/>
            <w:tcMar/>
          </w:tcPr>
          <w:p w:rsidR="2B7FFB25" w:rsidP="2B7FFB25" w:rsidRDefault="2B7FFB25" w14:paraId="138D52A6" w14:textId="08CA2C0B">
            <w:pPr>
              <w:jc w:val="center"/>
              <w:rPr>
                <w:rFonts w:hint="eastAsia"/>
              </w:rPr>
            </w:pPr>
            <w:r w:rsidRPr="2B7FFB25">
              <w:rPr>
                <w:rFonts w:ascii="Aptos" w:hAnsi="Aptos" w:eastAsia="Aptos" w:cs="Aptos"/>
                <w:color w:val="000000" w:themeColor="text1"/>
                <w:sz w:val="20"/>
                <w:szCs w:val="20"/>
              </w:rPr>
              <w:t>performance criteria: IA</w:t>
            </w:r>
          </w:p>
        </w:tc>
        <w:tc>
          <w:tcPr>
            <w:tcW w:w="2148" w:type="dxa"/>
            <w:tcMar/>
          </w:tcPr>
          <w:p w:rsidR="2B7FFB25" w:rsidP="2B7FFB25" w:rsidRDefault="2B7FFB25" w14:paraId="4D75F2F6" w14:textId="27EB2B02">
            <w:pPr>
              <w:jc w:val="center"/>
              <w:rPr>
                <w:rFonts w:hint="eastAsia"/>
              </w:rPr>
            </w:pPr>
            <w:r w:rsidRPr="2B7FFB25">
              <w:rPr>
                <w:rFonts w:ascii="Aptos" w:hAnsi="Aptos" w:eastAsia="Aptos" w:cs="Aptos"/>
                <w:color w:val="000000" w:themeColor="text1"/>
                <w:sz w:val="20"/>
                <w:szCs w:val="20"/>
              </w:rPr>
              <w:t>deposits, labour and fixed assets</w:t>
            </w:r>
          </w:p>
        </w:tc>
        <w:tc>
          <w:tcPr>
            <w:tcW w:w="2144" w:type="dxa"/>
            <w:tcMar/>
          </w:tcPr>
          <w:p w:rsidR="2B7FFB25" w:rsidP="2B7FFB25" w:rsidRDefault="2B7FFB25" w14:paraId="27B07A1D" w14:textId="2549C5BE">
            <w:pPr>
              <w:jc w:val="center"/>
              <w:rPr>
                <w:rFonts w:hint="eastAsia"/>
              </w:rPr>
            </w:pPr>
            <w:r w:rsidRPr="2B7FFB25">
              <w:rPr>
                <w:rFonts w:ascii="Aptos" w:hAnsi="Aptos" w:eastAsia="Aptos" w:cs="Aptos"/>
                <w:color w:val="000000" w:themeColor="text1"/>
                <w:sz w:val="20"/>
                <w:szCs w:val="20"/>
              </w:rPr>
              <w:t>loans</w:t>
            </w:r>
          </w:p>
        </w:tc>
      </w:tr>
      <w:tr w:rsidR="2B7FFB25" w:rsidTr="4F940BA9" w14:paraId="7CDDA904" w14:textId="77777777">
        <w:trPr>
          <w:trHeight w:val="284"/>
        </w:trPr>
        <w:tc>
          <w:tcPr>
            <w:tcW w:w="1278" w:type="dxa"/>
            <w:tcMar/>
          </w:tcPr>
          <w:p w:rsidR="2B7FFB25" w:rsidP="2B7FFB25" w:rsidRDefault="2B7FFB25" w14:paraId="53C0B13C" w14:textId="682078A4">
            <w:pPr>
              <w:jc w:val="center"/>
              <w:rPr>
                <w:rFonts w:hint="eastAsia" w:cs="Calibri"/>
                <w:sz w:val="20"/>
                <w:szCs w:val="20"/>
                <w:lang w:eastAsia="zh-CN"/>
              </w:rPr>
            </w:pPr>
            <w:r w:rsidRPr="2B7FFB25">
              <w:rPr>
                <w:rFonts w:cs="Calibri"/>
                <w:sz w:val="20"/>
                <w:szCs w:val="20"/>
                <w:lang w:eastAsia="zh-CN"/>
              </w:rPr>
              <w:t>42</w:t>
            </w:r>
          </w:p>
        </w:tc>
        <w:tc>
          <w:tcPr>
            <w:tcW w:w="1277" w:type="dxa"/>
            <w:tcMar/>
          </w:tcPr>
          <w:p w:rsidR="2B7FFB25" w:rsidP="2B7FFB25" w:rsidRDefault="2B7FFB25" w14:paraId="57B4849A" w14:textId="67C4CC4F">
            <w:pPr>
              <w:jc w:val="center"/>
              <w:rPr>
                <w:rFonts w:hint="eastAsia"/>
              </w:rPr>
            </w:pPr>
            <w:r w:rsidRPr="2B7FFB25">
              <w:rPr>
                <w:rFonts w:ascii="Aptos" w:hAnsi="Aptos" w:eastAsia="Aptos" w:cs="Aptos"/>
                <w:sz w:val="20"/>
                <w:szCs w:val="20"/>
              </w:rPr>
              <w:t>Luo et al. (2010)</w:t>
            </w:r>
          </w:p>
        </w:tc>
        <w:tc>
          <w:tcPr>
            <w:tcW w:w="2148" w:type="dxa"/>
            <w:tcMar/>
          </w:tcPr>
          <w:p w:rsidR="2B7FFB25" w:rsidP="2B7FFB25" w:rsidRDefault="2B7FFB25" w14:paraId="4B7F1C5D" w14:textId="5E616349">
            <w:pPr>
              <w:jc w:val="center"/>
              <w:rPr>
                <w:rFonts w:hint="eastAsia"/>
              </w:rPr>
            </w:pPr>
            <w:r w:rsidRPr="2B7FFB25">
              <w:rPr>
                <w:rFonts w:ascii="Aptos" w:hAnsi="Aptos" w:eastAsia="Aptos" w:cs="Aptos"/>
                <w:color w:val="000000" w:themeColor="text1"/>
                <w:sz w:val="20"/>
                <w:szCs w:val="20"/>
              </w:rPr>
              <w:t>performance criteria: IA</w:t>
            </w:r>
          </w:p>
        </w:tc>
        <w:tc>
          <w:tcPr>
            <w:tcW w:w="2148" w:type="dxa"/>
            <w:tcMar/>
          </w:tcPr>
          <w:p w:rsidR="2B7FFB25" w:rsidP="2B7FFB25" w:rsidRDefault="2B7FFB25" w14:paraId="08D32262" w14:textId="1588B5CD">
            <w:pPr>
              <w:jc w:val="center"/>
              <w:rPr>
                <w:rFonts w:hint="eastAsia"/>
              </w:rPr>
            </w:pPr>
            <w:r w:rsidRPr="2B7FFB25">
              <w:rPr>
                <w:rFonts w:ascii="Aptos" w:hAnsi="Aptos" w:eastAsia="Aptos" w:cs="Aptos"/>
                <w:color w:val="000000" w:themeColor="text1"/>
                <w:sz w:val="20"/>
                <w:szCs w:val="20"/>
              </w:rPr>
              <w:t>Number of employees, fixed assets, and deposits (estimated due to missing data)</w:t>
            </w:r>
          </w:p>
        </w:tc>
        <w:tc>
          <w:tcPr>
            <w:tcW w:w="2144" w:type="dxa"/>
            <w:tcMar/>
          </w:tcPr>
          <w:p w:rsidR="2B7FFB25" w:rsidP="2B7FFB25" w:rsidRDefault="2B7FFB25" w14:paraId="285F0899" w14:textId="42A59018">
            <w:pPr>
              <w:jc w:val="center"/>
              <w:rPr>
                <w:rFonts w:hint="eastAsia"/>
              </w:rPr>
            </w:pPr>
            <w:r w:rsidRPr="2B7FFB25">
              <w:rPr>
                <w:rFonts w:ascii="Aptos" w:hAnsi="Aptos" w:eastAsia="Aptos" w:cs="Aptos"/>
                <w:color w:val="000000" w:themeColor="text1"/>
                <w:sz w:val="20"/>
                <w:szCs w:val="20"/>
              </w:rPr>
              <w:t>Total loans (TLs) and other earning assets.</w:t>
            </w:r>
            <w:r w:rsidRPr="2B7FFB25">
              <w:rPr>
                <w:rFonts w:ascii="Aptos" w:hAnsi="Aptos" w:eastAsia="Aptos" w:cs="Aptos"/>
                <w:sz w:val="20"/>
                <w:szCs w:val="20"/>
              </w:rPr>
              <w:t xml:space="preserve"> </w:t>
            </w:r>
          </w:p>
        </w:tc>
      </w:tr>
      <w:tr w:rsidR="4F940BA9" w:rsidTr="4F940BA9" w14:paraId="2F7CB0FA">
        <w:trPr>
          <w:trHeight w:val="284"/>
        </w:trPr>
        <w:tc>
          <w:tcPr>
            <w:tcW w:w="1274" w:type="dxa"/>
            <w:tcMar/>
          </w:tcPr>
          <w:p w:rsidR="3A9722F5" w:rsidP="4F940BA9" w:rsidRDefault="3A9722F5" w14:paraId="30E9FEB8" w14:textId="758B6D14">
            <w:pPr>
              <w:pStyle w:val="Normal"/>
              <w:jc w:val="center"/>
              <w:rPr>
                <w:rFonts w:cs="Calibri"/>
                <w:sz w:val="20"/>
                <w:szCs w:val="20"/>
                <w:lang w:eastAsia="zh-CN"/>
              </w:rPr>
            </w:pPr>
            <w:r w:rsidRPr="4F940BA9" w:rsidR="3A9722F5">
              <w:rPr>
                <w:rFonts w:cs="Calibri"/>
                <w:sz w:val="20"/>
                <w:szCs w:val="20"/>
                <w:lang w:eastAsia="zh-CN"/>
              </w:rPr>
              <w:t>4</w:t>
            </w:r>
          </w:p>
        </w:tc>
        <w:tc>
          <w:tcPr>
            <w:tcW w:w="1287" w:type="dxa"/>
            <w:tcMar/>
          </w:tcPr>
          <w:p w:rsidR="4F940BA9" w:rsidP="4F940BA9" w:rsidRDefault="4F940BA9" w14:paraId="655FAF88" w14:textId="5B67D6C6">
            <w:pPr>
              <w:spacing w:before="0" w:beforeAutospacing="off" w:after="0" w:afterAutospacing="off"/>
              <w:ind w:left="-20" w:right="-20"/>
              <w:jc w:val="center"/>
            </w:pPr>
            <w:r w:rsidRPr="4F940BA9" w:rsidR="4F940BA9">
              <w:rPr>
                <w:rFonts w:ascii="Calibri" w:hAnsi="Calibri" w:eastAsia="Calibri" w:cs="Calibri"/>
                <w:sz w:val="20"/>
                <w:szCs w:val="20"/>
                <w:lang w:val="en-GB"/>
              </w:rPr>
              <w:t>Wang et al. (2014)</w:t>
            </w:r>
          </w:p>
        </w:tc>
        <w:tc>
          <w:tcPr>
            <w:tcW w:w="2146" w:type="dxa"/>
            <w:tcMar/>
          </w:tcPr>
          <w:p w:rsidR="4F940BA9" w:rsidP="4F940BA9" w:rsidRDefault="4F940BA9" w14:paraId="05815A6E" w14:textId="508CA1D3">
            <w:pPr>
              <w:spacing w:before="0" w:beforeAutospacing="off" w:after="0" w:afterAutospacing="off"/>
              <w:ind w:left="-20" w:right="-20"/>
            </w:pPr>
            <w:r w:rsidRPr="4F940BA9" w:rsidR="4F940BA9">
              <w:rPr>
                <w:rFonts w:ascii="Calibri" w:hAnsi="Calibri" w:eastAsia="Calibri" w:cs="Calibri"/>
                <w:sz w:val="22"/>
                <w:szCs w:val="22"/>
                <w:lang w:val="en-GB"/>
              </w:rPr>
              <w:t>Intermediation</w:t>
            </w:r>
          </w:p>
          <w:p w:rsidR="4F940BA9" w:rsidP="4F940BA9" w:rsidRDefault="4F940BA9" w14:paraId="16810FC4" w14:textId="46731826">
            <w:pPr>
              <w:spacing w:before="0" w:beforeAutospacing="off" w:after="0" w:afterAutospacing="off"/>
              <w:ind w:left="-20" w:right="-20"/>
            </w:pPr>
            <w:r w:rsidRPr="4F940BA9" w:rsidR="4F940BA9">
              <w:rPr>
                <w:rFonts w:ascii="Calibri" w:hAnsi="Calibri" w:eastAsia="Calibri" w:cs="Calibri"/>
                <w:sz w:val="22"/>
                <w:szCs w:val="22"/>
                <w:lang w:val="en-GB"/>
              </w:rPr>
              <w:t>Approach (IA)</w:t>
            </w:r>
          </w:p>
        </w:tc>
        <w:tc>
          <w:tcPr>
            <w:tcW w:w="2146" w:type="dxa"/>
            <w:tcMar/>
          </w:tcPr>
          <w:p w:rsidR="4F940BA9" w:rsidP="4F940BA9" w:rsidRDefault="4F940BA9" w14:paraId="162A8CF0" w14:textId="60611EA4">
            <w:pPr>
              <w:spacing w:before="0" w:beforeAutospacing="off" w:after="0" w:afterAutospacing="off"/>
              <w:ind w:left="-20" w:right="-20"/>
            </w:pPr>
            <w:r w:rsidRPr="4F940BA9" w:rsidR="4F940BA9">
              <w:rPr>
                <w:rFonts w:ascii="Calibri" w:hAnsi="Calibri" w:eastAsia="Calibri" w:cs="Calibri"/>
                <w:sz w:val="22"/>
                <w:szCs w:val="22"/>
                <w:lang w:val="en-GB"/>
              </w:rPr>
              <w:t xml:space="preserve">Fixed assets, Labors </w:t>
            </w:r>
          </w:p>
        </w:tc>
        <w:tc>
          <w:tcPr>
            <w:tcW w:w="2142" w:type="dxa"/>
            <w:tcMar/>
          </w:tcPr>
          <w:p w:rsidR="4F940BA9" w:rsidP="4F940BA9" w:rsidRDefault="4F940BA9" w14:paraId="656EEB53" w14:textId="5E9A66E9">
            <w:pPr>
              <w:spacing w:before="0" w:beforeAutospacing="off" w:after="0" w:afterAutospacing="off"/>
              <w:ind w:left="-20" w:right="-20"/>
            </w:pPr>
            <w:r w:rsidRPr="4F940BA9" w:rsidR="4F940BA9">
              <w:rPr>
                <w:rFonts w:ascii="Calibri" w:hAnsi="Calibri" w:eastAsia="Calibri" w:cs="Calibri"/>
                <w:sz w:val="22"/>
                <w:szCs w:val="22"/>
                <w:lang w:val="en-GB"/>
              </w:rPr>
              <w:t xml:space="preserve">Non-interest incomes, Interest incomes, Non-performing loans  </w:t>
            </w:r>
          </w:p>
        </w:tc>
      </w:tr>
      <w:tr w:rsidR="4F940BA9" w:rsidTr="4F940BA9" w14:paraId="43BADC17">
        <w:trPr>
          <w:trHeight w:val="284"/>
        </w:trPr>
        <w:tc>
          <w:tcPr>
            <w:tcW w:w="1274" w:type="dxa"/>
            <w:tcMar/>
          </w:tcPr>
          <w:p w:rsidR="29E8BAEE" w:rsidP="4F940BA9" w:rsidRDefault="29E8BAEE" w14:paraId="523B6499" w14:textId="5EF10A1A">
            <w:pPr>
              <w:pStyle w:val="Normal"/>
              <w:jc w:val="center"/>
              <w:rPr>
                <w:rFonts w:cs="Calibri"/>
                <w:sz w:val="20"/>
                <w:szCs w:val="20"/>
                <w:lang w:eastAsia="zh-CN"/>
              </w:rPr>
            </w:pPr>
            <w:r w:rsidRPr="4F940BA9" w:rsidR="29E8BAEE">
              <w:rPr>
                <w:rFonts w:cs="Calibri"/>
                <w:sz w:val="20"/>
                <w:szCs w:val="20"/>
                <w:lang w:eastAsia="zh-CN"/>
              </w:rPr>
              <w:t>14</w:t>
            </w:r>
          </w:p>
        </w:tc>
        <w:tc>
          <w:tcPr>
            <w:tcW w:w="1287" w:type="dxa"/>
            <w:tcMar/>
          </w:tcPr>
          <w:p w:rsidR="4F940BA9" w:rsidP="4F940BA9" w:rsidRDefault="4F940BA9" w14:paraId="1151DCFF" w14:textId="1514F384">
            <w:pPr>
              <w:spacing w:before="0" w:beforeAutospacing="off" w:after="0" w:afterAutospacing="off"/>
              <w:ind w:left="-20" w:right="-20"/>
              <w:jc w:val="center"/>
            </w:pPr>
            <w:r w:rsidRPr="4F940BA9" w:rsidR="4F940BA9">
              <w:rPr>
                <w:rFonts w:ascii="Arial" w:hAnsi="Arial" w:eastAsia="Arial" w:cs="Arial"/>
                <w:color w:val="222222"/>
                <w:sz w:val="20"/>
                <w:szCs w:val="20"/>
                <w:lang w:val="en-GB"/>
              </w:rPr>
              <w:t>Fukuyama, H., Tsionas, M. and Tan, Y.,</w:t>
            </w:r>
            <w:r w:rsidRPr="4F940BA9" w:rsidR="4F940BA9">
              <w:rPr>
                <w:rFonts w:ascii="Calibri" w:hAnsi="Calibri" w:eastAsia="Calibri" w:cs="Calibri"/>
                <w:sz w:val="20"/>
                <w:szCs w:val="20"/>
                <w:lang w:val="en-GB"/>
              </w:rPr>
              <w:t xml:space="preserve"> (2023) </w:t>
            </w:r>
          </w:p>
        </w:tc>
        <w:tc>
          <w:tcPr>
            <w:tcW w:w="2146" w:type="dxa"/>
            <w:tcMar/>
          </w:tcPr>
          <w:p w:rsidR="4F940BA9" w:rsidP="4F940BA9" w:rsidRDefault="4F940BA9" w14:paraId="2025DB9F" w14:textId="08B20D5D">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 xml:space="preserve"> </w:t>
            </w:r>
          </w:p>
        </w:tc>
        <w:tc>
          <w:tcPr>
            <w:tcW w:w="2146" w:type="dxa"/>
            <w:tcMar/>
          </w:tcPr>
          <w:p w:rsidR="4F940BA9" w:rsidP="4F940BA9" w:rsidRDefault="4F940BA9" w14:paraId="2F5D91B2" w14:textId="626B34D1">
            <w:pPr>
              <w:spacing w:before="0" w:beforeAutospacing="off" w:after="0" w:afterAutospacing="off"/>
              <w:ind w:left="-20" w:right="-20"/>
              <w:jc w:val="center"/>
            </w:pPr>
            <w:r w:rsidRPr="4F940BA9" w:rsidR="4F940BA9">
              <w:rPr>
                <w:rFonts w:ascii="Calibri" w:hAnsi="Calibri" w:eastAsia="Calibri" w:cs="Calibri"/>
                <w:sz w:val="22"/>
                <w:szCs w:val="22"/>
                <w:lang w:val="en-GB"/>
              </w:rPr>
              <w:t xml:space="preserve">covariates, predictions, collaboration networks, and supply chain data </w:t>
            </w:r>
          </w:p>
        </w:tc>
        <w:tc>
          <w:tcPr>
            <w:tcW w:w="2142" w:type="dxa"/>
            <w:tcMar/>
          </w:tcPr>
          <w:p w:rsidR="4F940BA9" w:rsidP="4F940BA9" w:rsidRDefault="4F940BA9" w14:paraId="31F2DB5D" w14:textId="3A406D82">
            <w:pPr>
              <w:spacing w:before="0" w:beforeAutospacing="off" w:after="0" w:afterAutospacing="off"/>
              <w:ind w:left="-20" w:right="-20"/>
              <w:jc w:val="center"/>
            </w:pPr>
            <w:r w:rsidRPr="4F940BA9" w:rsidR="4F940BA9">
              <w:rPr>
                <w:rFonts w:ascii="Calibri" w:hAnsi="Calibri" w:eastAsia="Calibri" w:cs="Calibri"/>
                <w:sz w:val="22"/>
                <w:szCs w:val="22"/>
                <w:lang w:val="en-GB"/>
              </w:rPr>
              <w:t>efficiency, exposure effects, queueing systems, collaboration networks, and parameter identification for creep models</w:t>
            </w:r>
          </w:p>
        </w:tc>
      </w:tr>
      <w:tr w:rsidR="4F940BA9" w:rsidTr="4F940BA9" w14:paraId="101F4CA8">
        <w:trPr>
          <w:trHeight w:val="284"/>
        </w:trPr>
        <w:tc>
          <w:tcPr>
            <w:tcW w:w="1274" w:type="dxa"/>
            <w:tcMar/>
          </w:tcPr>
          <w:p w:rsidR="40FDB959" w:rsidP="4F940BA9" w:rsidRDefault="40FDB959" w14:paraId="710FFF21" w14:textId="69DE2ABF">
            <w:pPr>
              <w:pStyle w:val="Normal"/>
              <w:jc w:val="center"/>
              <w:rPr>
                <w:rFonts w:cs="Calibri"/>
                <w:sz w:val="20"/>
                <w:szCs w:val="20"/>
                <w:lang w:eastAsia="zh-CN"/>
              </w:rPr>
            </w:pPr>
            <w:r w:rsidRPr="4F940BA9" w:rsidR="40FDB959">
              <w:rPr>
                <w:rFonts w:cs="Calibri"/>
                <w:sz w:val="20"/>
                <w:szCs w:val="20"/>
                <w:lang w:eastAsia="zh-CN"/>
              </w:rPr>
              <w:t>19</w:t>
            </w:r>
          </w:p>
        </w:tc>
        <w:tc>
          <w:tcPr>
            <w:tcW w:w="1287" w:type="dxa"/>
            <w:tcMar/>
          </w:tcPr>
          <w:p w:rsidR="4F940BA9" w:rsidP="4F940BA9" w:rsidRDefault="4F940BA9" w14:paraId="66E65F39" w14:textId="14268668">
            <w:pPr>
              <w:spacing w:before="0" w:beforeAutospacing="off" w:after="0" w:afterAutospacing="off"/>
              <w:ind w:left="-20" w:right="-20"/>
              <w:jc w:val="center"/>
            </w:pPr>
            <w:r w:rsidRPr="4F940BA9" w:rsidR="4F940BA9">
              <w:rPr>
                <w:rFonts w:ascii="Arial" w:hAnsi="Arial" w:eastAsia="Arial" w:cs="Arial"/>
                <w:color w:val="222222"/>
                <w:sz w:val="20"/>
                <w:szCs w:val="20"/>
                <w:lang w:val="en-GB"/>
              </w:rPr>
              <w:t xml:space="preserve">Zhou, X.,(2019) </w:t>
            </w:r>
          </w:p>
        </w:tc>
        <w:tc>
          <w:tcPr>
            <w:tcW w:w="2146" w:type="dxa"/>
            <w:tcMar/>
          </w:tcPr>
          <w:p w:rsidR="4F940BA9" w:rsidP="4F940BA9" w:rsidRDefault="4F940BA9" w14:paraId="2D572E2F" w14:textId="728FDD9A">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AI</w:t>
            </w:r>
          </w:p>
        </w:tc>
        <w:tc>
          <w:tcPr>
            <w:tcW w:w="2146" w:type="dxa"/>
            <w:tcMar/>
          </w:tcPr>
          <w:p w:rsidR="4F940BA9" w:rsidP="4F940BA9" w:rsidRDefault="4F940BA9" w14:paraId="7C20C200" w14:textId="57A02DB5">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Employee’s salaries\ fixed assets</w:t>
            </w:r>
          </w:p>
        </w:tc>
        <w:tc>
          <w:tcPr>
            <w:tcW w:w="2142" w:type="dxa"/>
            <w:tcMar/>
          </w:tcPr>
          <w:p w:rsidR="4F940BA9" w:rsidP="4F940BA9" w:rsidRDefault="4F940BA9" w14:paraId="0D4F3C58" w14:textId="2CB8BF56">
            <w:pPr>
              <w:spacing w:before="0" w:beforeAutospacing="off" w:after="0" w:afterAutospacing="off"/>
              <w:ind w:left="-20" w:right="-20"/>
              <w:jc w:val="center"/>
            </w:pPr>
            <w:r w:rsidRPr="4F940BA9" w:rsidR="4F940BA9">
              <w:rPr>
                <w:rFonts w:ascii="Calibri" w:hAnsi="Calibri" w:eastAsia="Calibri" w:cs="Calibri"/>
                <w:sz w:val="22"/>
                <w:szCs w:val="22"/>
                <w:lang w:val="en-GB"/>
              </w:rPr>
              <w:t>Net interest incomes\ non performing loans</w:t>
            </w:r>
          </w:p>
        </w:tc>
      </w:tr>
      <w:tr w:rsidR="4F940BA9" w:rsidTr="4F940BA9" w14:paraId="58D6EE92">
        <w:trPr>
          <w:trHeight w:val="284"/>
        </w:trPr>
        <w:tc>
          <w:tcPr>
            <w:tcW w:w="1274" w:type="dxa"/>
            <w:tcMar/>
          </w:tcPr>
          <w:p w:rsidR="54E497EA" w:rsidP="4F940BA9" w:rsidRDefault="54E497EA" w14:paraId="4C050C6C" w14:textId="324C2D9C">
            <w:pPr>
              <w:pStyle w:val="Normal"/>
              <w:jc w:val="center"/>
              <w:rPr>
                <w:rFonts w:cs="Calibri"/>
                <w:sz w:val="20"/>
                <w:szCs w:val="20"/>
                <w:lang w:eastAsia="zh-CN"/>
              </w:rPr>
            </w:pPr>
            <w:r w:rsidRPr="4F940BA9" w:rsidR="54E497EA">
              <w:rPr>
                <w:rFonts w:cs="Calibri"/>
                <w:sz w:val="20"/>
                <w:szCs w:val="20"/>
                <w:lang w:eastAsia="zh-CN"/>
              </w:rPr>
              <w:t>29</w:t>
            </w:r>
          </w:p>
        </w:tc>
        <w:tc>
          <w:tcPr>
            <w:tcW w:w="1287" w:type="dxa"/>
            <w:tcMar/>
          </w:tcPr>
          <w:p w:rsidR="4F940BA9" w:rsidP="4F940BA9" w:rsidRDefault="4F940BA9" w14:paraId="66E26D66" w14:textId="7DAF3F50">
            <w:pPr>
              <w:spacing w:before="0" w:beforeAutospacing="off" w:after="0" w:afterAutospacing="off"/>
              <w:ind w:left="-20" w:right="-20"/>
              <w:jc w:val="center"/>
            </w:pPr>
            <w:r w:rsidRPr="4F940BA9" w:rsidR="4F940BA9">
              <w:rPr>
                <w:rFonts w:ascii="Arial" w:hAnsi="Arial" w:eastAsia="Arial" w:cs="Arial"/>
                <w:color w:val="222222"/>
                <w:sz w:val="20"/>
                <w:szCs w:val="20"/>
                <w:lang w:val="en-GB"/>
              </w:rPr>
              <w:t xml:space="preserve">Boussemart, J.P. (2019) </w:t>
            </w:r>
          </w:p>
        </w:tc>
        <w:tc>
          <w:tcPr>
            <w:tcW w:w="2146" w:type="dxa"/>
            <w:tcMar/>
          </w:tcPr>
          <w:p w:rsidR="4F940BA9" w:rsidP="4F940BA9" w:rsidRDefault="4F940BA9" w14:paraId="67C64196" w14:textId="02D5093E">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AI</w:t>
            </w:r>
          </w:p>
        </w:tc>
        <w:tc>
          <w:tcPr>
            <w:tcW w:w="2146" w:type="dxa"/>
            <w:tcMar/>
          </w:tcPr>
          <w:p w:rsidR="4F940BA9" w:rsidP="4F940BA9" w:rsidRDefault="4F940BA9" w14:paraId="13EE83C5" w14:textId="513871B0">
            <w:pPr>
              <w:spacing w:before="0" w:beforeAutospacing="off" w:after="0" w:afterAutospacing="off"/>
              <w:ind w:left="-20" w:right="-20"/>
            </w:pPr>
            <w:r w:rsidRPr="4F940BA9" w:rsidR="4F940BA9">
              <w:rPr>
                <w:rFonts w:ascii="Calibri" w:hAnsi="Calibri" w:eastAsia="Calibri" w:cs="Calibri"/>
                <w:sz w:val="22"/>
                <w:szCs w:val="22"/>
                <w:highlight w:val="yellow"/>
                <w:lang w:val="en-GB"/>
              </w:rPr>
              <w:t>interest expenses (IE), non-interest expenses (NIE).</w:t>
            </w:r>
          </w:p>
          <w:p w:rsidR="4F940BA9" w:rsidP="4F940BA9" w:rsidRDefault="4F940BA9" w14:paraId="26D54E39" w14:textId="6D067AF9">
            <w:pPr>
              <w:spacing w:before="0" w:beforeAutospacing="off" w:after="0" w:afterAutospacing="off"/>
              <w:ind w:left="-20" w:right="-20"/>
            </w:pPr>
            <w:r w:rsidRPr="4F940BA9" w:rsidR="4F940BA9">
              <w:rPr>
                <w:rFonts w:ascii="Calibri" w:hAnsi="Calibri" w:eastAsia="Calibri" w:cs="Calibri"/>
                <w:color w:val="000000" w:themeColor="text1" w:themeTint="FF" w:themeShade="FF"/>
                <w:sz w:val="20"/>
                <w:szCs w:val="20"/>
                <w:lang w:val="en-GB"/>
              </w:rPr>
              <w:t xml:space="preserve"> </w:t>
            </w:r>
          </w:p>
        </w:tc>
        <w:tc>
          <w:tcPr>
            <w:tcW w:w="2142" w:type="dxa"/>
            <w:tcMar/>
          </w:tcPr>
          <w:p w:rsidR="4F940BA9" w:rsidP="4F940BA9" w:rsidRDefault="4F940BA9" w14:paraId="07DD6244" w14:textId="1AD9A536">
            <w:pPr>
              <w:spacing w:before="0" w:beforeAutospacing="off" w:after="0" w:afterAutospacing="off"/>
              <w:ind w:left="-20" w:right="-20"/>
            </w:pPr>
            <w:r w:rsidRPr="4F940BA9" w:rsidR="4F940BA9">
              <w:rPr>
                <w:rFonts w:ascii="Calibri" w:hAnsi="Calibri" w:eastAsia="Calibri" w:cs="Calibri"/>
                <w:sz w:val="22"/>
                <w:szCs w:val="22"/>
                <w:highlight w:val="yellow"/>
                <w:lang w:val="en-GB"/>
              </w:rPr>
              <w:t>-interest income (II),  non-interest income (NII)), bad outputs (non-performing loans (NPL)</w:t>
            </w:r>
          </w:p>
          <w:p w:rsidR="4F940BA9" w:rsidP="4F940BA9" w:rsidRDefault="4F940BA9" w14:paraId="76A1BFD0" w14:textId="039C91B8">
            <w:pPr>
              <w:spacing w:before="0" w:beforeAutospacing="off" w:after="0" w:afterAutospacing="off"/>
              <w:ind w:left="-20" w:right="-20"/>
            </w:pPr>
            <w:r w:rsidRPr="4F940BA9" w:rsidR="4F940BA9">
              <w:rPr>
                <w:rFonts w:ascii="Calibri" w:hAnsi="Calibri" w:eastAsia="Calibri" w:cs="Calibri"/>
                <w:sz w:val="22"/>
                <w:szCs w:val="22"/>
                <w:highlight w:val="yellow"/>
                <w:lang w:val="en-GB"/>
              </w:rPr>
              <w:t>- Good loans (GL) are considered a desirable output, while non-performing loans (NPL) are treated as an undesirable output.(ask)</w:t>
            </w:r>
          </w:p>
          <w:p w:rsidR="4F940BA9" w:rsidP="4F940BA9" w:rsidRDefault="4F940BA9" w14:paraId="42F05B22" w14:textId="09D3DB45">
            <w:pPr>
              <w:spacing w:before="0" w:beforeAutospacing="off" w:after="0" w:afterAutospacing="off"/>
              <w:ind w:left="-20" w:right="-20"/>
              <w:rPr>
                <w:rFonts w:ascii="Calibri" w:hAnsi="Calibri" w:eastAsia="Calibri" w:cs="Calibri"/>
                <w:sz w:val="20"/>
                <w:szCs w:val="20"/>
                <w:lang w:val="en-GB"/>
              </w:rPr>
            </w:pPr>
          </w:p>
        </w:tc>
      </w:tr>
      <w:tr w:rsidR="4F940BA9" w:rsidTr="4F940BA9" w14:paraId="22B1BF35">
        <w:trPr>
          <w:trHeight w:val="284"/>
        </w:trPr>
        <w:tc>
          <w:tcPr>
            <w:tcW w:w="1274" w:type="dxa"/>
            <w:tcMar/>
          </w:tcPr>
          <w:p w:rsidR="105D9A71" w:rsidP="4F940BA9" w:rsidRDefault="105D9A71" w14:paraId="222F7480" w14:textId="24738D8A">
            <w:pPr>
              <w:pStyle w:val="Normal"/>
              <w:jc w:val="center"/>
              <w:rPr>
                <w:rFonts w:cs="Calibri"/>
                <w:sz w:val="20"/>
                <w:szCs w:val="20"/>
                <w:lang w:eastAsia="zh-CN"/>
              </w:rPr>
            </w:pPr>
            <w:r w:rsidRPr="4F940BA9" w:rsidR="105D9A71">
              <w:rPr>
                <w:rFonts w:cs="Calibri"/>
                <w:sz w:val="20"/>
                <w:szCs w:val="20"/>
                <w:lang w:eastAsia="zh-CN"/>
              </w:rPr>
              <w:t>48</w:t>
            </w:r>
          </w:p>
        </w:tc>
        <w:tc>
          <w:tcPr>
            <w:tcW w:w="1287" w:type="dxa"/>
            <w:tcMar/>
          </w:tcPr>
          <w:p w:rsidR="4F940BA9" w:rsidP="4F940BA9" w:rsidRDefault="4F940BA9" w14:paraId="086AF6B7" w14:textId="2C2EDD8C">
            <w:pPr>
              <w:spacing w:before="0" w:beforeAutospacing="off" w:after="0" w:afterAutospacing="off"/>
              <w:ind w:left="-20" w:right="-20"/>
              <w:jc w:val="center"/>
            </w:pPr>
            <w:r w:rsidRPr="4F940BA9" w:rsidR="4F940BA9">
              <w:rPr>
                <w:rFonts w:ascii="Calibri" w:hAnsi="Calibri" w:eastAsia="Calibri" w:cs="Calibri"/>
                <w:sz w:val="22"/>
                <w:szCs w:val="22"/>
                <w:lang w:val="en-GB"/>
              </w:rPr>
              <w:t xml:space="preserve">Yan Luo, Gongbing Bi, Liang Liang (2012) </w:t>
            </w:r>
          </w:p>
        </w:tc>
        <w:tc>
          <w:tcPr>
            <w:tcW w:w="2146" w:type="dxa"/>
            <w:tcMar/>
          </w:tcPr>
          <w:p w:rsidR="4F940BA9" w:rsidP="4F940BA9" w:rsidRDefault="4F940BA9" w14:paraId="796674AB" w14:textId="563F683F">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AI</w:t>
            </w:r>
          </w:p>
        </w:tc>
        <w:tc>
          <w:tcPr>
            <w:tcW w:w="2146" w:type="dxa"/>
            <w:tcMar/>
          </w:tcPr>
          <w:p w:rsidR="4F940BA9" w:rsidP="4F940BA9" w:rsidRDefault="4F940BA9" w14:paraId="0DADBFF1" w14:textId="75119141">
            <w:pPr>
              <w:spacing w:before="0" w:beforeAutospacing="off" w:after="0" w:afterAutospacing="off"/>
              <w:ind w:left="-20" w:right="-20"/>
              <w:jc w:val="center"/>
            </w:pPr>
            <w:r w:rsidRPr="4F940BA9" w:rsidR="4F940BA9">
              <w:rPr>
                <w:rFonts w:ascii="Calibri" w:hAnsi="Calibri" w:eastAsia="Calibri" w:cs="Calibri"/>
                <w:sz w:val="22"/>
                <w:szCs w:val="22"/>
                <w:lang w:val="en-GB"/>
              </w:rPr>
              <w:t xml:space="preserve">cash and balances with central banks, deposits and placements with banks, investments, loans and advances to customers, financial assets held for trading, and other assets </w:t>
            </w:r>
          </w:p>
        </w:tc>
        <w:tc>
          <w:tcPr>
            <w:tcW w:w="2142" w:type="dxa"/>
            <w:tcMar/>
          </w:tcPr>
          <w:p w:rsidR="4F940BA9" w:rsidP="4F940BA9" w:rsidRDefault="4F940BA9" w14:paraId="51C8C171" w14:textId="07745A8D">
            <w:pPr>
              <w:spacing w:before="0" w:beforeAutospacing="off" w:after="0" w:afterAutospacing="off"/>
              <w:ind w:left="-20" w:right="-20"/>
              <w:jc w:val="center"/>
            </w:pPr>
            <w:r w:rsidRPr="4F940BA9" w:rsidR="4F940BA9">
              <w:rPr>
                <w:rFonts w:ascii="Calibri" w:hAnsi="Calibri" w:eastAsia="Calibri" w:cs="Calibri"/>
                <w:sz w:val="22"/>
                <w:szCs w:val="22"/>
                <w:lang w:val="en-GB"/>
              </w:rPr>
              <w:t>customer deposits and stockholders' equity</w:t>
            </w:r>
          </w:p>
        </w:tc>
      </w:tr>
      <w:tr w:rsidR="4F940BA9" w:rsidTr="4F940BA9" w14:paraId="40824298">
        <w:trPr>
          <w:trHeight w:val="284"/>
        </w:trPr>
        <w:tc>
          <w:tcPr>
            <w:tcW w:w="1274" w:type="dxa"/>
            <w:tcMar/>
          </w:tcPr>
          <w:p w:rsidR="5E70DF01" w:rsidP="4F940BA9" w:rsidRDefault="5E70DF01" w14:paraId="767A1957" w14:textId="51DC03C3">
            <w:pPr>
              <w:pStyle w:val="Normal"/>
              <w:jc w:val="center"/>
              <w:rPr>
                <w:rFonts w:cs="Calibri"/>
                <w:sz w:val="20"/>
                <w:szCs w:val="20"/>
                <w:lang w:eastAsia="zh-CN"/>
              </w:rPr>
            </w:pPr>
            <w:r w:rsidRPr="4F940BA9" w:rsidR="5E70DF01">
              <w:rPr>
                <w:rFonts w:cs="Calibri"/>
                <w:sz w:val="20"/>
                <w:szCs w:val="20"/>
                <w:lang w:eastAsia="zh-CN"/>
              </w:rPr>
              <w:t>47</w:t>
            </w:r>
          </w:p>
        </w:tc>
        <w:tc>
          <w:tcPr>
            <w:tcW w:w="1287" w:type="dxa"/>
            <w:tcMar/>
          </w:tcPr>
          <w:p w:rsidR="4F940BA9" w:rsidP="4F940BA9" w:rsidRDefault="4F940BA9" w14:paraId="1498BD2F" w14:textId="5D30A8EA">
            <w:pPr>
              <w:spacing w:before="0" w:beforeAutospacing="off" w:after="0" w:afterAutospacing="off"/>
              <w:ind w:left="-20" w:right="-20"/>
              <w:jc w:val="center"/>
            </w:pPr>
            <w:r w:rsidRPr="4F940BA9" w:rsidR="4F940BA9">
              <w:rPr>
                <w:rFonts w:ascii="Calibri" w:hAnsi="Calibri" w:eastAsia="Calibri" w:cs="Calibri"/>
                <w:sz w:val="21"/>
                <w:szCs w:val="21"/>
                <w:lang w:val="en-GB"/>
              </w:rPr>
              <w:t xml:space="preserve">Jorge Antunes(2024) </w:t>
            </w:r>
          </w:p>
        </w:tc>
        <w:tc>
          <w:tcPr>
            <w:tcW w:w="2146" w:type="dxa"/>
            <w:tcMar/>
          </w:tcPr>
          <w:p w:rsidR="4F940BA9" w:rsidP="4F940BA9" w:rsidRDefault="4F940BA9" w14:paraId="35B37EF0" w14:textId="14F915B6">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AI</w:t>
            </w:r>
          </w:p>
        </w:tc>
        <w:tc>
          <w:tcPr>
            <w:tcW w:w="2146" w:type="dxa"/>
            <w:tcMar/>
          </w:tcPr>
          <w:p w:rsidR="4F940BA9" w:rsidP="4F940BA9" w:rsidRDefault="4F940BA9" w14:paraId="7EAD1E34" w14:textId="6E007AC5">
            <w:pPr>
              <w:spacing w:before="0" w:beforeAutospacing="off" w:after="0" w:afterAutospacing="off"/>
              <w:ind w:left="-20" w:right="-20"/>
            </w:pPr>
            <w:r w:rsidRPr="4F940BA9" w:rsidR="4F940BA9">
              <w:rPr>
                <w:rFonts w:ascii="Calibri" w:hAnsi="Calibri" w:eastAsia="Calibri" w:cs="Calibri"/>
                <w:sz w:val="13"/>
                <w:szCs w:val="13"/>
                <w:lang w:val="en-GB"/>
              </w:rPr>
              <w:t xml:space="preserve"> </w:t>
            </w:r>
            <w:r w:rsidRPr="4F940BA9" w:rsidR="4F940BA9">
              <w:rPr>
                <w:rFonts w:ascii="Calibri" w:hAnsi="Calibri" w:eastAsia="Calibri" w:cs="Calibri"/>
                <w:sz w:val="22"/>
                <w:szCs w:val="22"/>
                <w:lang w:val="en-GB"/>
              </w:rPr>
              <w:t>fixed assets, total deposits, and personnel expenses</w:t>
            </w:r>
          </w:p>
        </w:tc>
        <w:tc>
          <w:tcPr>
            <w:tcW w:w="2142" w:type="dxa"/>
            <w:tcMar/>
          </w:tcPr>
          <w:p w:rsidR="4F940BA9" w:rsidP="4F940BA9" w:rsidRDefault="4F940BA9" w14:paraId="2158E729" w14:textId="29878D28">
            <w:pPr>
              <w:spacing w:before="0" w:beforeAutospacing="off" w:after="0" w:afterAutospacing="off"/>
              <w:ind w:left="-20" w:right="-20"/>
              <w:jc w:val="center"/>
            </w:pPr>
            <w:r w:rsidRPr="4F940BA9" w:rsidR="4F940BA9">
              <w:rPr>
                <w:rFonts w:ascii="Calibri" w:hAnsi="Calibri" w:eastAsia="Calibri" w:cs="Calibri"/>
                <w:sz w:val="22"/>
                <w:szCs w:val="22"/>
                <w:lang w:val="en-GB"/>
              </w:rPr>
              <w:t>total securities and gross loans</w:t>
            </w:r>
          </w:p>
          <w:p w:rsidR="4F940BA9" w:rsidP="4F940BA9" w:rsidRDefault="4F940BA9" w14:paraId="17C8778E" w14:textId="4C65D4C6">
            <w:pPr>
              <w:spacing w:before="0" w:beforeAutospacing="off" w:after="0" w:afterAutospacing="off"/>
              <w:ind w:left="-20" w:right="-20"/>
              <w:jc w:val="center"/>
            </w:pPr>
            <w:r w:rsidRPr="4F940BA9" w:rsidR="4F940BA9">
              <w:rPr>
                <w:rFonts w:ascii="Calibri" w:hAnsi="Calibri" w:eastAsia="Calibri" w:cs="Calibri"/>
                <w:sz w:val="22"/>
                <w:szCs w:val="22"/>
                <w:lang w:val="en-GB"/>
              </w:rPr>
              <w:t xml:space="preserve"> </w:t>
            </w:r>
          </w:p>
          <w:p w:rsidR="4F940BA9" w:rsidP="4F940BA9" w:rsidRDefault="4F940BA9" w14:paraId="56FCEC4C" w14:textId="77CB6B35">
            <w:pPr>
              <w:spacing w:before="0" w:beforeAutospacing="off" w:after="0" w:afterAutospacing="off"/>
              <w:ind w:left="-20" w:right="-20"/>
              <w:jc w:val="center"/>
            </w:pPr>
            <w:r w:rsidRPr="4F940BA9" w:rsidR="4F940BA9">
              <w:rPr>
                <w:rFonts w:ascii="Calibri" w:hAnsi="Calibri" w:eastAsia="Calibri" w:cs="Calibri"/>
                <w:sz w:val="20"/>
                <w:szCs w:val="20"/>
                <w:highlight w:val="yellow"/>
                <w:lang w:val="en-GB"/>
              </w:rPr>
              <w:t>(the paper mention variables for second model)</w:t>
            </w:r>
          </w:p>
        </w:tc>
      </w:tr>
      <w:tr w:rsidR="4F940BA9" w:rsidTr="4F940BA9" w14:paraId="78779477">
        <w:trPr>
          <w:trHeight w:val="284"/>
        </w:trPr>
        <w:tc>
          <w:tcPr>
            <w:tcW w:w="1274" w:type="dxa"/>
            <w:tcMar/>
          </w:tcPr>
          <w:p w:rsidR="192BBFB9" w:rsidP="4F940BA9" w:rsidRDefault="192BBFB9" w14:paraId="3D6274BB" w14:textId="7D893464">
            <w:pPr>
              <w:pStyle w:val="Normal"/>
              <w:jc w:val="center"/>
              <w:rPr>
                <w:rFonts w:cs="Calibri"/>
                <w:sz w:val="20"/>
                <w:szCs w:val="20"/>
                <w:lang w:eastAsia="zh-CN"/>
              </w:rPr>
            </w:pPr>
            <w:r w:rsidRPr="4F940BA9" w:rsidR="192BBFB9">
              <w:rPr>
                <w:rFonts w:cs="Calibri"/>
                <w:sz w:val="20"/>
                <w:szCs w:val="20"/>
                <w:lang w:eastAsia="zh-CN"/>
              </w:rPr>
              <w:t>34</w:t>
            </w:r>
          </w:p>
        </w:tc>
        <w:tc>
          <w:tcPr>
            <w:tcW w:w="1287" w:type="dxa"/>
            <w:tcMar/>
          </w:tcPr>
          <w:p w:rsidR="4F940BA9" w:rsidP="4F940BA9" w:rsidRDefault="4F940BA9" w14:paraId="23FDC047" w14:textId="1B73F212">
            <w:pPr>
              <w:spacing w:before="0" w:beforeAutospacing="off" w:after="0" w:afterAutospacing="off"/>
              <w:ind w:left="-20" w:right="-20"/>
              <w:jc w:val="center"/>
            </w:pPr>
            <w:r w:rsidRPr="4F940BA9" w:rsidR="4F940BA9">
              <w:rPr>
                <w:rFonts w:ascii="Calibri" w:hAnsi="Calibri" w:eastAsia="Calibri" w:cs="Calibri"/>
                <w:sz w:val="24"/>
                <w:szCs w:val="24"/>
              </w:rPr>
              <w:t xml:space="preserve">Yongjun Li(2019) </w:t>
            </w:r>
          </w:p>
        </w:tc>
        <w:tc>
          <w:tcPr>
            <w:tcW w:w="2146" w:type="dxa"/>
            <w:tcMar/>
          </w:tcPr>
          <w:p w:rsidR="4F940BA9" w:rsidP="4F940BA9" w:rsidRDefault="4F940BA9" w14:paraId="214D7F84" w14:textId="1DF546D2">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AI</w:t>
            </w:r>
          </w:p>
        </w:tc>
        <w:tc>
          <w:tcPr>
            <w:tcW w:w="2146" w:type="dxa"/>
            <w:tcMar/>
          </w:tcPr>
          <w:p w:rsidR="4F940BA9" w:rsidP="4F940BA9" w:rsidRDefault="4F940BA9" w14:paraId="7841C627" w14:textId="50F3EB73">
            <w:pPr>
              <w:spacing w:before="0" w:beforeAutospacing="off" w:after="0" w:afterAutospacing="off"/>
              <w:ind w:left="-20" w:right="-20"/>
            </w:pPr>
            <w:r w:rsidRPr="4F940BA9" w:rsidR="4F940BA9">
              <w:rPr>
                <w:rFonts w:ascii="Calibri" w:hAnsi="Calibri" w:eastAsia="Calibri" w:cs="Calibri"/>
                <w:sz w:val="22"/>
                <w:szCs w:val="22"/>
                <w:highlight w:val="yellow"/>
                <w:lang w:val="en-GB"/>
              </w:rPr>
              <w:t xml:space="preserve">Fixed assets, Labours </w:t>
            </w:r>
          </w:p>
        </w:tc>
        <w:tc>
          <w:tcPr>
            <w:tcW w:w="2142" w:type="dxa"/>
            <w:tcMar/>
          </w:tcPr>
          <w:p w:rsidR="4F940BA9" w:rsidP="4F940BA9" w:rsidRDefault="4F940BA9" w14:paraId="448A6540" w14:textId="74C8C4E3">
            <w:pPr>
              <w:spacing w:before="0" w:beforeAutospacing="off" w:after="0" w:afterAutospacing="off"/>
              <w:ind w:left="-20" w:right="-20"/>
            </w:pPr>
            <w:r w:rsidRPr="4F940BA9" w:rsidR="4F940BA9">
              <w:rPr>
                <w:rFonts w:ascii="Calibri" w:hAnsi="Calibri" w:eastAsia="Calibri" w:cs="Calibri"/>
                <w:sz w:val="22"/>
                <w:szCs w:val="22"/>
                <w:highlight w:val="yellow"/>
                <w:lang w:val="en-GB"/>
              </w:rPr>
              <w:t>interest income \non-income interest</w:t>
            </w:r>
          </w:p>
        </w:tc>
      </w:tr>
      <w:tr w:rsidR="4F940BA9" w:rsidTr="4F940BA9" w14:paraId="732C25A5">
        <w:trPr>
          <w:trHeight w:val="284"/>
        </w:trPr>
        <w:tc>
          <w:tcPr>
            <w:tcW w:w="1274" w:type="dxa"/>
            <w:tcMar/>
          </w:tcPr>
          <w:p w:rsidR="1C0B1889" w:rsidP="4F940BA9" w:rsidRDefault="1C0B1889" w14:paraId="054BD66A" w14:textId="2ECC869C">
            <w:pPr>
              <w:pStyle w:val="Normal"/>
              <w:jc w:val="center"/>
              <w:rPr>
                <w:rFonts w:cs="Calibri"/>
                <w:sz w:val="20"/>
                <w:szCs w:val="20"/>
                <w:lang w:eastAsia="zh-CN"/>
              </w:rPr>
            </w:pPr>
            <w:r w:rsidRPr="4F940BA9" w:rsidR="1C0B1889">
              <w:rPr>
                <w:rFonts w:cs="Calibri"/>
                <w:sz w:val="20"/>
                <w:szCs w:val="20"/>
                <w:lang w:eastAsia="zh-CN"/>
              </w:rPr>
              <w:t>39</w:t>
            </w:r>
          </w:p>
        </w:tc>
        <w:tc>
          <w:tcPr>
            <w:tcW w:w="1287" w:type="dxa"/>
            <w:tcMar/>
          </w:tcPr>
          <w:p w:rsidR="4F940BA9" w:rsidP="4F940BA9" w:rsidRDefault="4F940BA9" w14:paraId="63F02DB3" w14:textId="0042D0AD">
            <w:pPr>
              <w:spacing w:before="0" w:beforeAutospacing="off" w:after="0" w:afterAutospacing="off"/>
              <w:ind w:left="-20" w:right="-20"/>
              <w:jc w:val="center"/>
            </w:pPr>
            <w:r w:rsidRPr="4F940BA9" w:rsidR="4F940BA9">
              <w:rPr>
                <w:rFonts w:ascii="Calibri" w:hAnsi="Calibri" w:eastAsia="Calibri" w:cs="Calibri"/>
                <w:sz w:val="22"/>
                <w:szCs w:val="22"/>
                <w:lang w:val="en-GB"/>
              </w:rPr>
              <w:t>Tai-Hsin Huang a, Chung-I Lin b,</w:t>
            </w:r>
            <w:r w:rsidRPr="4F940BA9" w:rsidR="4F940BA9">
              <w:rPr>
                <w:rFonts w:ascii="Segoe UI Symbol" w:hAnsi="Segoe UI Symbol" w:eastAsia="Segoe UI Symbol" w:cs="Segoe UI Symbol"/>
                <w:sz w:val="22"/>
                <w:szCs w:val="22"/>
                <w:lang w:val="en-GB"/>
              </w:rPr>
              <w:t>⁎</w:t>
            </w:r>
            <w:r w:rsidRPr="4F940BA9" w:rsidR="4F940BA9">
              <w:rPr>
                <w:rFonts w:ascii="Calibri" w:hAnsi="Calibri" w:eastAsia="Calibri" w:cs="Calibri"/>
                <w:sz w:val="22"/>
                <w:szCs w:val="22"/>
                <w:lang w:val="en-GB"/>
              </w:rPr>
              <w:t>, Kuan-Chen Chenc(2017)</w:t>
            </w:r>
          </w:p>
        </w:tc>
        <w:tc>
          <w:tcPr>
            <w:tcW w:w="2146" w:type="dxa"/>
            <w:tcMar/>
          </w:tcPr>
          <w:p w:rsidR="4F940BA9" w:rsidP="4F940BA9" w:rsidRDefault="4F940BA9" w14:paraId="1AAF7748" w14:textId="410673A2">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AI</w:t>
            </w:r>
          </w:p>
        </w:tc>
        <w:tc>
          <w:tcPr>
            <w:tcW w:w="2146" w:type="dxa"/>
            <w:tcMar/>
          </w:tcPr>
          <w:p w:rsidR="4F940BA9" w:rsidP="4F940BA9" w:rsidRDefault="4F940BA9" w14:paraId="46606963" w14:textId="308B5379">
            <w:pPr>
              <w:spacing w:before="0" w:beforeAutospacing="off" w:after="0" w:afterAutospacing="off"/>
              <w:ind w:left="-20" w:right="-20"/>
            </w:pPr>
            <w:r w:rsidRPr="4F940BA9" w:rsidR="4F940BA9">
              <w:rPr>
                <w:rFonts w:ascii="Calibri" w:hAnsi="Calibri" w:eastAsia="Calibri" w:cs="Calibri"/>
                <w:sz w:val="22"/>
                <w:szCs w:val="22"/>
                <w:lang w:val="en-GB"/>
              </w:rPr>
              <w:t>labor and capital</w:t>
            </w:r>
          </w:p>
        </w:tc>
        <w:tc>
          <w:tcPr>
            <w:tcW w:w="2142" w:type="dxa"/>
            <w:tcMar/>
          </w:tcPr>
          <w:p w:rsidR="4F940BA9" w:rsidP="4F940BA9" w:rsidRDefault="4F940BA9" w14:paraId="7F652AD7" w14:textId="3C1D37F2">
            <w:pPr>
              <w:spacing w:before="0" w:beforeAutospacing="off" w:after="0" w:afterAutospacing="off"/>
              <w:ind w:left="-20" w:right="-20"/>
            </w:pPr>
            <w:r w:rsidRPr="4F940BA9" w:rsidR="4F940BA9">
              <w:rPr>
                <w:rFonts w:ascii="Calibri" w:hAnsi="Calibri" w:eastAsia="Calibri" w:cs="Calibri"/>
                <w:sz w:val="22"/>
                <w:szCs w:val="22"/>
                <w:lang w:val="en-GB"/>
              </w:rPr>
              <w:t>loans, investments, and non-interest income</w:t>
            </w:r>
          </w:p>
        </w:tc>
      </w:tr>
      <w:tr w:rsidR="4F940BA9" w:rsidTr="4F940BA9" w14:paraId="309CB9B3">
        <w:trPr>
          <w:trHeight w:val="284"/>
        </w:trPr>
        <w:tc>
          <w:tcPr>
            <w:tcW w:w="1274" w:type="dxa"/>
            <w:tcMar/>
          </w:tcPr>
          <w:p w:rsidR="255FC045" w:rsidP="4F940BA9" w:rsidRDefault="255FC045" w14:paraId="4404325B" w14:textId="5531A9D5">
            <w:pPr>
              <w:pStyle w:val="Normal"/>
              <w:jc w:val="center"/>
              <w:rPr>
                <w:rFonts w:cs="Calibri"/>
                <w:sz w:val="20"/>
                <w:szCs w:val="20"/>
                <w:highlight w:val="green"/>
                <w:lang w:eastAsia="zh-CN"/>
              </w:rPr>
            </w:pPr>
            <w:r w:rsidRPr="4F940BA9" w:rsidR="255FC045">
              <w:rPr>
                <w:rFonts w:cs="Calibri"/>
                <w:sz w:val="20"/>
                <w:szCs w:val="20"/>
                <w:highlight w:val="green"/>
                <w:lang w:eastAsia="zh-CN"/>
              </w:rPr>
              <w:t>24</w:t>
            </w:r>
          </w:p>
        </w:tc>
        <w:tc>
          <w:tcPr>
            <w:tcW w:w="1287" w:type="dxa"/>
            <w:tcMar/>
          </w:tcPr>
          <w:p w:rsidR="4F940BA9" w:rsidP="4F940BA9" w:rsidRDefault="4F940BA9" w14:paraId="5C4985E8" w14:textId="4D45E956">
            <w:pPr>
              <w:spacing w:before="0" w:beforeAutospacing="off" w:after="0" w:afterAutospacing="off"/>
              <w:ind w:left="-20" w:right="-20"/>
              <w:jc w:val="center"/>
            </w:pPr>
            <w:r w:rsidRPr="4F940BA9" w:rsidR="4F940BA9">
              <w:rPr>
                <w:rFonts w:ascii="Arial" w:hAnsi="Arial" w:eastAsia="Arial" w:cs="Arial"/>
                <w:color w:val="222222"/>
                <w:sz w:val="20"/>
                <w:szCs w:val="20"/>
                <w:highlight w:val="green"/>
                <w:lang w:val="en-GB"/>
              </w:rPr>
              <w:t xml:space="preserve">Shabani, P. and Akbarpour Shirazi, M., (2023) </w:t>
            </w:r>
          </w:p>
        </w:tc>
        <w:tc>
          <w:tcPr>
            <w:tcW w:w="2146" w:type="dxa"/>
            <w:tcMar/>
          </w:tcPr>
          <w:p w:rsidR="4F940BA9" w:rsidP="4F940BA9" w:rsidRDefault="4F940BA9" w14:paraId="3954E99A" w14:textId="5E12FE52">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highlight w:val="green"/>
                <w:lang w:val="en-GB"/>
              </w:rPr>
              <w:t xml:space="preserve"> </w:t>
            </w:r>
          </w:p>
        </w:tc>
        <w:tc>
          <w:tcPr>
            <w:tcW w:w="2146" w:type="dxa"/>
            <w:tcMar/>
          </w:tcPr>
          <w:p w:rsidR="4F940BA9" w:rsidP="4F940BA9" w:rsidRDefault="4F940BA9" w14:paraId="3EEA1D2A" w14:textId="32FAD500">
            <w:pPr>
              <w:spacing w:before="0" w:beforeAutospacing="off" w:after="0" w:afterAutospacing="off"/>
              <w:ind w:left="-20" w:right="-20"/>
              <w:jc w:val="center"/>
            </w:pPr>
            <w:r w:rsidRPr="4F940BA9" w:rsidR="4F940BA9">
              <w:rPr>
                <w:rFonts w:ascii="Calibri" w:hAnsi="Calibri" w:eastAsia="Calibri" w:cs="Calibri"/>
                <w:sz w:val="22"/>
                <w:szCs w:val="22"/>
                <w:highlight w:val="green"/>
                <w:lang w:val="en-GB"/>
              </w:rPr>
              <w:t>revenue, expenses, assets, and liabilities of commercial bank branches</w:t>
            </w:r>
          </w:p>
        </w:tc>
        <w:tc>
          <w:tcPr>
            <w:tcW w:w="2142" w:type="dxa"/>
            <w:tcMar/>
          </w:tcPr>
          <w:p w:rsidR="4F940BA9" w:rsidP="4F940BA9" w:rsidRDefault="4F940BA9" w14:paraId="5498D7B2" w14:textId="3B75F640">
            <w:pPr>
              <w:spacing w:before="0" w:beforeAutospacing="off" w:after="0" w:afterAutospacing="off"/>
              <w:ind w:left="-20" w:right="-20"/>
              <w:jc w:val="center"/>
            </w:pPr>
            <w:r w:rsidRPr="4F940BA9" w:rsidR="4F940BA9">
              <w:rPr>
                <w:rFonts w:ascii="Calibri" w:hAnsi="Calibri" w:eastAsia="Calibri" w:cs="Calibri"/>
                <w:sz w:val="22"/>
                <w:szCs w:val="22"/>
                <w:highlight w:val="green"/>
                <w:lang w:val="en-GB"/>
              </w:rPr>
              <w:t>efficiency measures, profitability indicators, operational effectiveness metrics, and recommendations for improvement</w:t>
            </w:r>
          </w:p>
        </w:tc>
      </w:tr>
      <w:tr w:rsidR="4F940BA9" w:rsidTr="4F940BA9" w14:paraId="113F5944">
        <w:trPr>
          <w:trHeight w:val="284"/>
        </w:trPr>
        <w:tc>
          <w:tcPr>
            <w:tcW w:w="1274" w:type="dxa"/>
            <w:tcMar/>
          </w:tcPr>
          <w:p w:rsidR="3DC3519A" w:rsidP="4F940BA9" w:rsidRDefault="3DC3519A" w14:paraId="6CD327F0" w14:textId="783B8C66">
            <w:pPr>
              <w:pStyle w:val="Normal"/>
              <w:jc w:val="center"/>
              <w:rPr>
                <w:rFonts w:cs="Calibri"/>
                <w:sz w:val="20"/>
                <w:szCs w:val="20"/>
                <w:highlight w:val="green"/>
                <w:lang w:eastAsia="zh-CN"/>
              </w:rPr>
            </w:pPr>
            <w:r w:rsidRPr="4F940BA9" w:rsidR="3DC3519A">
              <w:rPr>
                <w:rFonts w:cs="Calibri"/>
                <w:sz w:val="20"/>
                <w:szCs w:val="20"/>
                <w:highlight w:val="green"/>
                <w:lang w:eastAsia="zh-CN"/>
              </w:rPr>
              <w:t>49</w:t>
            </w:r>
          </w:p>
        </w:tc>
        <w:tc>
          <w:tcPr>
            <w:tcW w:w="1287" w:type="dxa"/>
            <w:tcMar/>
          </w:tcPr>
          <w:p w:rsidR="4F940BA9" w:rsidP="4F940BA9" w:rsidRDefault="4F940BA9" w14:paraId="39430832" w14:textId="780CA442">
            <w:pPr>
              <w:spacing w:before="0" w:beforeAutospacing="off" w:after="0" w:afterAutospacing="off"/>
              <w:ind w:left="-20" w:right="-20"/>
              <w:jc w:val="center"/>
            </w:pPr>
            <w:r w:rsidRPr="4F940BA9" w:rsidR="4F940BA9">
              <w:rPr>
                <w:rFonts w:ascii="Arial" w:hAnsi="Arial" w:eastAsia="Arial" w:cs="Arial"/>
                <w:color w:val="222222"/>
                <w:sz w:val="20"/>
                <w:szCs w:val="20"/>
                <w:highlight w:val="green"/>
                <w:lang w:val="en-GB"/>
              </w:rPr>
              <w:t>Lin, T.T., Lee, C.C. and Chiu, T.F., (2009)</w:t>
            </w:r>
          </w:p>
        </w:tc>
        <w:tc>
          <w:tcPr>
            <w:tcW w:w="2146" w:type="dxa"/>
            <w:tcMar/>
          </w:tcPr>
          <w:p w:rsidR="4F940BA9" w:rsidP="4F940BA9" w:rsidRDefault="4F940BA9" w14:paraId="69173EEF" w14:textId="466820CF">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highlight w:val="green"/>
                <w:lang w:val="en-GB"/>
              </w:rPr>
              <w:t>AI</w:t>
            </w:r>
          </w:p>
        </w:tc>
        <w:tc>
          <w:tcPr>
            <w:tcW w:w="2146" w:type="dxa"/>
            <w:tcMar/>
          </w:tcPr>
          <w:p w:rsidR="4F940BA9" w:rsidP="4F940BA9" w:rsidRDefault="4F940BA9" w14:paraId="0A667F8D" w14:textId="45BC96FA">
            <w:pPr>
              <w:spacing w:before="0" w:beforeAutospacing="off" w:after="0" w:afterAutospacing="off"/>
              <w:ind w:left="-20" w:right="-20"/>
            </w:pPr>
            <w:r w:rsidRPr="4F940BA9" w:rsidR="4F940BA9">
              <w:rPr>
                <w:rFonts w:ascii="Calibri" w:hAnsi="Calibri" w:eastAsia="Calibri" w:cs="Calibri"/>
                <w:sz w:val="22"/>
                <w:szCs w:val="22"/>
                <w:highlight w:val="green"/>
                <w:lang w:val="en-GB"/>
              </w:rPr>
              <w:t>the number</w:t>
            </w:r>
          </w:p>
          <w:p w:rsidR="4F940BA9" w:rsidP="4F940BA9" w:rsidRDefault="4F940BA9" w14:paraId="3738FD40" w14:textId="33EEB090">
            <w:pPr>
              <w:spacing w:before="0" w:beforeAutospacing="off" w:after="0" w:afterAutospacing="off"/>
              <w:ind w:left="-20" w:right="-20"/>
            </w:pPr>
            <w:r w:rsidRPr="4F940BA9" w:rsidR="4F940BA9">
              <w:rPr>
                <w:rFonts w:ascii="Calibri" w:hAnsi="Calibri" w:eastAsia="Calibri" w:cs="Calibri"/>
                <w:sz w:val="22"/>
                <w:szCs w:val="22"/>
                <w:highlight w:val="green"/>
                <w:lang w:val="en-GB"/>
              </w:rPr>
              <w:t>of staff, interest expense, deposit operating amount (including</w:t>
            </w:r>
          </w:p>
          <w:p w:rsidR="4F940BA9" w:rsidP="4F940BA9" w:rsidRDefault="4F940BA9" w14:paraId="46956A77" w14:textId="5A39B9F6">
            <w:pPr>
              <w:spacing w:before="0" w:beforeAutospacing="off" w:after="0" w:afterAutospacing="off"/>
              <w:ind w:left="-20" w:right="-20"/>
            </w:pPr>
            <w:r w:rsidRPr="4F940BA9" w:rsidR="4F940BA9">
              <w:rPr>
                <w:rFonts w:ascii="Calibri" w:hAnsi="Calibri" w:eastAsia="Calibri" w:cs="Calibri"/>
                <w:sz w:val="22"/>
                <w:szCs w:val="22"/>
                <w:highlight w:val="green"/>
                <w:lang w:val="en-GB"/>
              </w:rPr>
              <w:t>check deposit, current deposit, foreign exchange current deposit,</w:t>
            </w:r>
          </w:p>
          <w:p w:rsidR="4F940BA9" w:rsidP="4F940BA9" w:rsidRDefault="4F940BA9" w14:paraId="5606D6FA" w14:textId="57875DBE">
            <w:pPr>
              <w:spacing w:before="0" w:beforeAutospacing="off" w:after="0" w:afterAutospacing="off"/>
              <w:ind w:left="-20" w:right="-20"/>
            </w:pPr>
            <w:r w:rsidRPr="4F940BA9" w:rsidR="4F940BA9">
              <w:rPr>
                <w:rFonts w:ascii="Calibri" w:hAnsi="Calibri" w:eastAsia="Calibri" w:cs="Calibri"/>
                <w:sz w:val="22"/>
                <w:szCs w:val="22"/>
                <w:highlight w:val="green"/>
                <w:lang w:val="en-GB"/>
              </w:rPr>
              <w:t>current savings deposit, current treasury bond deposit, time deposit),</w:t>
            </w:r>
          </w:p>
          <w:p w:rsidR="4F940BA9" w:rsidP="4F940BA9" w:rsidRDefault="4F940BA9" w14:paraId="61463095" w14:textId="6EB23C6E">
            <w:pPr>
              <w:spacing w:before="0" w:beforeAutospacing="off" w:after="0" w:afterAutospacing="off"/>
              <w:ind w:left="-20" w:right="-20"/>
            </w:pPr>
            <w:r w:rsidRPr="4F940BA9" w:rsidR="4F940BA9">
              <w:rPr>
                <w:rFonts w:ascii="Calibri" w:hAnsi="Calibri" w:eastAsia="Calibri" w:cs="Calibri"/>
                <w:sz w:val="22"/>
                <w:szCs w:val="22"/>
                <w:highlight w:val="green"/>
                <w:lang w:val="en-GB"/>
              </w:rPr>
              <w:t>and current deposit operating amount</w:t>
            </w:r>
          </w:p>
        </w:tc>
        <w:tc>
          <w:tcPr>
            <w:tcW w:w="2142" w:type="dxa"/>
            <w:tcMar/>
          </w:tcPr>
          <w:p w:rsidR="4F940BA9" w:rsidP="4F940BA9" w:rsidRDefault="4F940BA9" w14:paraId="30C64421" w14:textId="4D5E7196">
            <w:pPr>
              <w:spacing w:before="0" w:beforeAutospacing="off" w:after="0" w:afterAutospacing="off"/>
              <w:ind w:left="-20" w:right="-20"/>
            </w:pPr>
            <w:r w:rsidRPr="4F940BA9" w:rsidR="4F940BA9">
              <w:rPr>
                <w:rFonts w:ascii="Calibri" w:hAnsi="Calibri" w:eastAsia="Calibri" w:cs="Calibri"/>
                <w:sz w:val="22"/>
                <w:szCs w:val="22"/>
                <w:highlight w:val="green"/>
                <w:lang w:val="en-GB"/>
              </w:rPr>
              <w:t>loan operating amount, interest revenue, operating revenue</w:t>
            </w:r>
          </w:p>
          <w:p w:rsidR="4F940BA9" w:rsidP="4F940BA9" w:rsidRDefault="4F940BA9" w14:paraId="71FADDED" w14:textId="07C1DD2A">
            <w:pPr>
              <w:spacing w:before="0" w:beforeAutospacing="off" w:after="0" w:afterAutospacing="off"/>
              <w:ind w:left="-20" w:right="-20"/>
            </w:pPr>
            <w:r w:rsidRPr="4F940BA9" w:rsidR="4F940BA9">
              <w:rPr>
                <w:rFonts w:ascii="Calibri" w:hAnsi="Calibri" w:eastAsia="Calibri" w:cs="Calibri"/>
                <w:sz w:val="22"/>
                <w:szCs w:val="22"/>
                <w:highlight w:val="green"/>
                <w:lang w:val="en-GB"/>
              </w:rPr>
              <w:t>and earning</w:t>
            </w:r>
          </w:p>
        </w:tc>
      </w:tr>
      <w:tr w:rsidR="4F940BA9" w:rsidTr="4F940BA9" w14:paraId="2EECC6BA">
        <w:trPr>
          <w:trHeight w:val="284"/>
        </w:trPr>
        <w:tc>
          <w:tcPr>
            <w:tcW w:w="1274" w:type="dxa"/>
            <w:tcMar/>
          </w:tcPr>
          <w:p w:rsidR="5E8DF986" w:rsidP="4F940BA9" w:rsidRDefault="5E8DF986" w14:paraId="756528E5" w14:textId="1A78AB05">
            <w:pPr>
              <w:pStyle w:val="Normal"/>
              <w:jc w:val="center"/>
              <w:rPr>
                <w:rFonts w:cs="Calibri"/>
                <w:sz w:val="20"/>
                <w:szCs w:val="20"/>
                <w:highlight w:val="yellow"/>
                <w:lang w:eastAsia="zh-CN"/>
              </w:rPr>
            </w:pPr>
            <w:r w:rsidRPr="4F940BA9" w:rsidR="5E8DF986">
              <w:rPr>
                <w:rFonts w:cs="Calibri"/>
                <w:sz w:val="20"/>
                <w:szCs w:val="20"/>
                <w:highlight w:val="yellow"/>
                <w:lang w:eastAsia="zh-CN"/>
              </w:rPr>
              <w:t>50</w:t>
            </w:r>
          </w:p>
        </w:tc>
        <w:tc>
          <w:tcPr>
            <w:tcW w:w="1287" w:type="dxa"/>
            <w:tcMar/>
          </w:tcPr>
          <w:p w:rsidR="4F940BA9" w:rsidP="4F940BA9" w:rsidRDefault="4F940BA9" w14:paraId="13E8124B" w14:textId="6589D21D">
            <w:pPr>
              <w:spacing w:before="0" w:beforeAutospacing="off" w:after="0" w:afterAutospacing="off"/>
              <w:ind w:left="-20" w:right="-20"/>
              <w:jc w:val="center"/>
              <w:rPr>
                <w:rFonts w:ascii="Calibri" w:hAnsi="Calibri" w:eastAsia="Calibri" w:cs="Calibri"/>
                <w:sz w:val="22"/>
                <w:szCs w:val="22"/>
                <w:highlight w:val="yellow"/>
                <w:lang w:val="en-GB"/>
              </w:rPr>
            </w:pPr>
            <w:r w:rsidRPr="4F940BA9" w:rsidR="4F940BA9">
              <w:rPr>
                <w:rFonts w:ascii="Calibri" w:hAnsi="Calibri" w:eastAsia="Calibri" w:cs="Calibri"/>
                <w:sz w:val="22"/>
                <w:szCs w:val="22"/>
                <w:highlight w:val="yellow"/>
                <w:lang w:val="en-GB"/>
              </w:rPr>
              <w:t xml:space="preserve">Iago Cotrim </w:t>
            </w:r>
            <w:r w:rsidRPr="4F940BA9" w:rsidR="4F940BA9">
              <w:rPr>
                <w:rFonts w:ascii="Calibri" w:hAnsi="Calibri" w:eastAsia="Calibri" w:cs="Calibri"/>
                <w:sz w:val="22"/>
                <w:szCs w:val="22"/>
                <w:highlight w:val="yellow"/>
                <w:lang w:val="en-GB"/>
              </w:rPr>
              <w:t>Henriques(</w:t>
            </w:r>
            <w:r w:rsidRPr="4F940BA9" w:rsidR="4F940BA9">
              <w:rPr>
                <w:rFonts w:ascii="Calibri" w:hAnsi="Calibri" w:eastAsia="Calibri" w:cs="Calibri"/>
                <w:sz w:val="22"/>
                <w:szCs w:val="22"/>
                <w:highlight w:val="yellow"/>
                <w:lang w:val="en-GB"/>
              </w:rPr>
              <w:t>2020)</w:t>
            </w:r>
            <w:r w:rsidRPr="4F940BA9" w:rsidR="4F940BA9">
              <w:rPr>
                <w:rFonts w:ascii="Calibri" w:hAnsi="Calibri" w:eastAsia="Calibri" w:cs="Calibri"/>
                <w:sz w:val="22"/>
                <w:szCs w:val="22"/>
                <w:lang w:val="en-GB"/>
              </w:rPr>
              <w:t xml:space="preserve"> </w:t>
            </w:r>
          </w:p>
        </w:tc>
        <w:tc>
          <w:tcPr>
            <w:tcW w:w="2146" w:type="dxa"/>
            <w:tcMar/>
          </w:tcPr>
          <w:p w:rsidR="4F940BA9" w:rsidP="4F940BA9" w:rsidRDefault="4F940BA9" w14:paraId="685099F3" w14:textId="1494D44E">
            <w:pPr>
              <w:spacing w:before="0" w:beforeAutospacing="off" w:after="0" w:afterAutospacing="off"/>
              <w:ind w:left="-20" w:right="-20"/>
              <w:jc w:val="center"/>
            </w:pPr>
            <w:r w:rsidRPr="4F940BA9" w:rsidR="4F940BA9">
              <w:rPr>
                <w:rFonts w:ascii="Calibri" w:hAnsi="Calibri" w:eastAsia="Calibri" w:cs="Calibri"/>
                <w:sz w:val="22"/>
                <w:szCs w:val="22"/>
                <w:highlight w:val="yellow"/>
                <w:lang w:val="en-GB"/>
              </w:rPr>
              <w:t>(ask) the paper is review of literature</w:t>
            </w:r>
          </w:p>
        </w:tc>
        <w:tc>
          <w:tcPr>
            <w:tcW w:w="2146" w:type="dxa"/>
            <w:tcMar/>
          </w:tcPr>
          <w:p w:rsidR="4F940BA9" w:rsidP="4F940BA9" w:rsidRDefault="4F940BA9" w14:paraId="5BA148F4" w14:textId="30F82ADB">
            <w:pPr>
              <w:spacing w:before="0" w:beforeAutospacing="off" w:after="0" w:afterAutospacing="off"/>
              <w:ind w:left="-20" w:right="-20"/>
              <w:jc w:val="center"/>
            </w:pPr>
            <w:r w:rsidRPr="4F940BA9" w:rsidR="4F940BA9">
              <w:rPr>
                <w:rFonts w:ascii="Calibri" w:hAnsi="Calibri" w:eastAsia="Calibri" w:cs="Calibri"/>
                <w:sz w:val="22"/>
                <w:szCs w:val="22"/>
                <w:highlight w:val="yellow"/>
                <w:lang w:val="en-GB"/>
              </w:rPr>
              <w:t>(ask) the paper is review of literature</w:t>
            </w:r>
          </w:p>
        </w:tc>
        <w:tc>
          <w:tcPr>
            <w:tcW w:w="2142" w:type="dxa"/>
            <w:tcMar/>
          </w:tcPr>
          <w:p w:rsidR="4F940BA9" w:rsidP="4F940BA9" w:rsidRDefault="4F940BA9" w14:paraId="1D9CFB2B" w14:textId="58446023">
            <w:pPr>
              <w:spacing w:before="0" w:beforeAutospacing="off" w:after="0" w:afterAutospacing="off"/>
              <w:ind w:left="-20" w:right="-20"/>
              <w:jc w:val="center"/>
            </w:pPr>
            <w:r w:rsidRPr="4F940BA9" w:rsidR="4F940BA9">
              <w:rPr>
                <w:rFonts w:ascii="Calibri" w:hAnsi="Calibri" w:eastAsia="Calibri" w:cs="Calibri"/>
                <w:sz w:val="22"/>
                <w:szCs w:val="22"/>
                <w:highlight w:val="yellow"/>
                <w:lang w:val="en-GB"/>
              </w:rPr>
              <w:t>(ask) the paper is review of literature</w:t>
            </w:r>
          </w:p>
        </w:tc>
      </w:tr>
    </w:tbl>
    <w:p w:rsidRPr="00CE5391" w:rsidR="002101FF" w:rsidP="002101FF" w:rsidRDefault="002101FF" w14:paraId="40E1433B" w14:textId="55A6C18F">
      <w:pPr>
        <w:pStyle w:val="ListParagraph"/>
        <w:ind w:left="360"/>
        <w:jc w:val="both"/>
        <w:rPr>
          <w:rFonts w:ascii="Calibri" w:hAnsi="Calibri" w:eastAsia="Calibri" w:cs="Calibri"/>
          <w:sz w:val="20"/>
          <w:szCs w:val="20"/>
        </w:rPr>
      </w:pPr>
      <w:r w:rsidRPr="4A7D3745">
        <w:rPr>
          <w:rFonts w:ascii="Calibri" w:hAnsi="Calibri" w:eastAsia="Calibri" w:cs="Calibri"/>
          <w:sz w:val="20"/>
          <w:szCs w:val="20"/>
        </w:rPr>
        <w:t>NOTE: Make sure that you report both the performance criteria and their measures; e.g., economy is a criterion and GDP is one of the measures of this criterion.</w:t>
      </w:r>
    </w:p>
    <w:p w:rsidR="4A7D3745" w:rsidP="4A7D3745" w:rsidRDefault="4A7D3745" w14:paraId="4514578D" w14:textId="55A6C18F">
      <w:pPr>
        <w:pStyle w:val="ListParagraph"/>
        <w:ind w:left="360"/>
        <w:jc w:val="both"/>
        <w:rPr>
          <w:rFonts w:ascii="Calibri" w:hAnsi="Calibri" w:eastAsia="Calibri" w:cs="Calibri"/>
          <w:sz w:val="20"/>
          <w:szCs w:val="20"/>
        </w:rPr>
      </w:pPr>
    </w:p>
    <w:p w:rsidR="2F3A0512" w:rsidP="4A7D3745" w:rsidRDefault="2F3A0512" w14:paraId="01B55883" w14:textId="14F4D81C">
      <w:pPr>
        <w:pStyle w:val="ListParagraph"/>
        <w:ind w:left="360"/>
        <w:jc w:val="both"/>
        <w:rPr>
          <w:rFonts w:ascii="Calibri" w:hAnsi="Calibri" w:eastAsia="Calibri" w:cs="Calibri"/>
          <w:sz w:val="20"/>
          <w:szCs w:val="20"/>
        </w:rPr>
      </w:pPr>
      <w:r w:rsidRPr="4F940BA9" w:rsidR="2F3A0512">
        <w:rPr>
          <w:rFonts w:ascii="Calibri" w:hAnsi="Calibri" w:eastAsia="Calibri" w:cs="Calibri"/>
          <w:sz w:val="20"/>
          <w:szCs w:val="20"/>
        </w:rPr>
        <w:t xml:space="preserve">The examination of efficiency evaluation using DEA within the context of Chinese Banks, highlights a nuanced diversification in the </w:t>
      </w:r>
      <w:r w:rsidRPr="4F940BA9" w:rsidR="2F3A0512">
        <w:rPr>
          <w:rFonts w:ascii="Calibri" w:hAnsi="Calibri" w:eastAsia="Calibri" w:cs="Calibri"/>
          <w:sz w:val="20"/>
          <w:szCs w:val="20"/>
        </w:rPr>
        <w:t>selection</w:t>
      </w:r>
      <w:r w:rsidRPr="4F940BA9" w:rsidR="2F3A0512">
        <w:rPr>
          <w:rFonts w:ascii="Calibri" w:hAnsi="Calibri" w:eastAsia="Calibri" w:cs="Calibri"/>
          <w:sz w:val="20"/>
          <w:szCs w:val="20"/>
        </w:rPr>
        <w:t xml:space="preserve"> of assessment perspectives. </w:t>
      </w:r>
      <w:r w:rsidRPr="4F940BA9" w:rsidR="2F3A0512">
        <w:rPr>
          <w:rFonts w:ascii="Calibri" w:hAnsi="Calibri" w:eastAsia="Calibri" w:cs="Calibri"/>
          <w:sz w:val="20"/>
          <w:szCs w:val="20"/>
        </w:rPr>
        <w:t>Predominantly, the</w:t>
      </w:r>
      <w:r w:rsidRPr="4F940BA9" w:rsidR="2F3A0512">
        <w:rPr>
          <w:rFonts w:ascii="Calibri" w:hAnsi="Calibri" w:eastAsia="Calibri" w:cs="Calibri"/>
          <w:sz w:val="20"/>
          <w:szCs w:val="20"/>
        </w:rPr>
        <w:t xml:space="preserve"> literature gravitates towards t</w:t>
      </w:r>
      <w:r w:rsidRPr="4F940BA9" w:rsidR="49EF1891">
        <w:rPr>
          <w:rFonts w:ascii="Calibri" w:hAnsi="Calibri" w:eastAsia="Calibri" w:cs="Calibri"/>
          <w:sz w:val="20"/>
          <w:szCs w:val="20"/>
        </w:rPr>
        <w:t>hree</w:t>
      </w:r>
      <w:r w:rsidRPr="4F940BA9" w:rsidR="2F3A0512">
        <w:rPr>
          <w:rFonts w:ascii="Calibri" w:hAnsi="Calibri" w:eastAsia="Calibri" w:cs="Calibri"/>
          <w:sz w:val="20"/>
          <w:szCs w:val="20"/>
        </w:rPr>
        <w:t xml:space="preserve"> approaches: the Intermediation Approach (IA)</w:t>
      </w:r>
      <w:r w:rsidRPr="4F940BA9" w:rsidR="47EA92CA">
        <w:rPr>
          <w:rFonts w:ascii="Calibri" w:hAnsi="Calibri" w:eastAsia="Calibri" w:cs="Calibri"/>
          <w:sz w:val="20"/>
          <w:szCs w:val="20"/>
        </w:rPr>
        <w:t>,</w:t>
      </w:r>
      <w:r w:rsidRPr="4F940BA9" w:rsidR="2F3A0512">
        <w:rPr>
          <w:rFonts w:ascii="Calibri" w:hAnsi="Calibri" w:eastAsia="Calibri" w:cs="Calibri"/>
          <w:sz w:val="20"/>
          <w:szCs w:val="20"/>
        </w:rPr>
        <w:t xml:space="preserve"> the Profit-Oriented Approach (POA)</w:t>
      </w:r>
      <w:r w:rsidRPr="4F940BA9" w:rsidR="0763E93E">
        <w:rPr>
          <w:rFonts w:ascii="Calibri" w:hAnsi="Calibri" w:eastAsia="Calibri" w:cs="Calibri"/>
          <w:sz w:val="20"/>
          <w:szCs w:val="20"/>
        </w:rPr>
        <w:t xml:space="preserve"> and the Production Approach</w:t>
      </w:r>
      <w:r w:rsidRPr="4F940BA9" w:rsidR="2F3A0512">
        <w:rPr>
          <w:rFonts w:ascii="Calibri" w:hAnsi="Calibri" w:eastAsia="Calibri" w:cs="Calibri"/>
          <w:sz w:val="20"/>
          <w:szCs w:val="20"/>
        </w:rPr>
        <w:t>. The studies such as those by Xiaogang Chen et al. (</w:t>
      </w:r>
      <w:r w:rsidRPr="4F940BA9" w:rsidR="58DE6251">
        <w:rPr>
          <w:rFonts w:ascii="Calibri" w:hAnsi="Calibri" w:eastAsia="Calibri" w:cs="Calibri"/>
          <w:sz w:val="20"/>
          <w:szCs w:val="20"/>
        </w:rPr>
        <w:t>2005</w:t>
      </w:r>
      <w:r w:rsidRPr="4F940BA9" w:rsidR="2F3A0512">
        <w:rPr>
          <w:rFonts w:ascii="Calibri" w:hAnsi="Calibri" w:eastAsia="Calibri" w:cs="Calibri"/>
          <w:sz w:val="20"/>
          <w:szCs w:val="20"/>
        </w:rPr>
        <w:t xml:space="preserve">), </w:t>
      </w:r>
      <w:r w:rsidRPr="4F940BA9" w:rsidR="4FACB05A">
        <w:rPr>
          <w:rFonts w:ascii="Calibri" w:hAnsi="Calibri" w:eastAsia="Calibri" w:cs="Calibri"/>
          <w:sz w:val="20"/>
          <w:szCs w:val="20"/>
        </w:rPr>
        <w:t>reflect</w:t>
      </w:r>
      <w:r w:rsidRPr="4F940BA9" w:rsidR="2F3A0512">
        <w:rPr>
          <w:rFonts w:ascii="Calibri" w:hAnsi="Calibri" w:eastAsia="Calibri" w:cs="Calibri"/>
          <w:sz w:val="20"/>
          <w:szCs w:val="20"/>
        </w:rPr>
        <w:t xml:space="preserve"> a focus on the traditional role of financial institutions as intermediaries between savers and borrowers. Inputs typically include various categories of expenses, while outputs </w:t>
      </w:r>
      <w:r w:rsidRPr="4F940BA9" w:rsidR="4D141FAC">
        <w:rPr>
          <w:rFonts w:ascii="Calibri" w:hAnsi="Calibri" w:eastAsia="Calibri" w:cs="Calibri"/>
          <w:sz w:val="20"/>
          <w:szCs w:val="20"/>
        </w:rPr>
        <w:t xml:space="preserve">show </w:t>
      </w:r>
      <w:r w:rsidRPr="4F940BA9" w:rsidR="2F3A0512">
        <w:rPr>
          <w:rFonts w:ascii="Calibri" w:hAnsi="Calibri" w:eastAsia="Calibri" w:cs="Calibri"/>
          <w:sz w:val="20"/>
          <w:szCs w:val="20"/>
        </w:rPr>
        <w:t xml:space="preserve">loans, deposits, and non-interest income. On the other hand, the POA, represented by works like Matthews (2013) and Xiao Shi et al. (2023), underscores the significance of profitability, with operational costs and interest costs as inputs and a combination of interest and non-interest income as outputs. This distinction in approaches underscores the evolving nature of efficiency analysis within the banking sector, where the emphasis shifts based on the underlying financial model and the strategic </w:t>
      </w:r>
      <w:r w:rsidRPr="4F940BA9" w:rsidR="2F3A0512">
        <w:rPr>
          <w:rFonts w:ascii="Calibri" w:hAnsi="Calibri" w:eastAsia="Calibri" w:cs="Calibri"/>
          <w:sz w:val="20"/>
          <w:szCs w:val="20"/>
        </w:rPr>
        <w:t>objectives</w:t>
      </w:r>
      <w:r w:rsidRPr="4F940BA9" w:rsidR="2F3A0512">
        <w:rPr>
          <w:rFonts w:ascii="Calibri" w:hAnsi="Calibri" w:eastAsia="Calibri" w:cs="Calibri"/>
          <w:sz w:val="20"/>
          <w:szCs w:val="20"/>
        </w:rPr>
        <w:t xml:space="preserve"> of the institutions under review</w:t>
      </w:r>
      <w:r w:rsidRPr="4F940BA9" w:rsidR="39BE6D9A">
        <w:rPr>
          <w:rFonts w:ascii="Calibri" w:hAnsi="Calibri" w:eastAsia="Calibri" w:cs="Calibri"/>
          <w:sz w:val="20"/>
          <w:szCs w:val="20"/>
        </w:rPr>
        <w:t xml:space="preserve">. </w:t>
      </w:r>
      <w:r w:rsidRPr="4F940BA9" w:rsidR="44E2E39A">
        <w:rPr>
          <w:rFonts w:ascii="Calibri" w:hAnsi="Calibri" w:eastAsia="Calibri" w:cs="Calibri"/>
          <w:sz w:val="20"/>
          <w:szCs w:val="20"/>
        </w:rPr>
        <w:t>Furthermore, the studies by Fukuyama</w:t>
      </w:r>
      <w:r w:rsidRPr="4F940BA9" w:rsidR="585DA65B">
        <w:rPr>
          <w:rFonts w:ascii="Calibri" w:hAnsi="Calibri" w:eastAsia="Calibri" w:cs="Calibri"/>
          <w:sz w:val="20"/>
          <w:szCs w:val="20"/>
        </w:rPr>
        <w:t xml:space="preserve"> et al.</w:t>
      </w:r>
      <w:r w:rsidRPr="4F940BA9" w:rsidR="44E2E39A">
        <w:rPr>
          <w:rFonts w:ascii="Calibri" w:hAnsi="Calibri" w:eastAsia="Calibri" w:cs="Calibri"/>
          <w:sz w:val="20"/>
          <w:szCs w:val="20"/>
        </w:rPr>
        <w:t xml:space="preserve"> (2023)</w:t>
      </w:r>
      <w:r w:rsidRPr="4F940BA9" w:rsidR="6E2CF11E">
        <w:rPr>
          <w:rFonts w:ascii="Calibri" w:hAnsi="Calibri" w:eastAsia="Calibri" w:cs="Calibri"/>
          <w:sz w:val="20"/>
          <w:szCs w:val="20"/>
        </w:rPr>
        <w:t xml:space="preserve"> and </w:t>
      </w:r>
      <w:r w:rsidRPr="4F940BA9" w:rsidR="6E2CF11E">
        <w:rPr>
          <w:rFonts w:ascii="Calibri" w:hAnsi="Calibri" w:eastAsia="Calibri" w:cs="Calibri"/>
          <w:sz w:val="20"/>
          <w:szCs w:val="20"/>
        </w:rPr>
        <w:t>Necmi</w:t>
      </w:r>
      <w:r w:rsidRPr="4F940BA9" w:rsidR="6E2CF11E">
        <w:rPr>
          <w:rFonts w:ascii="Calibri" w:hAnsi="Calibri" w:eastAsia="Calibri" w:cs="Calibri"/>
          <w:sz w:val="20"/>
          <w:szCs w:val="20"/>
        </w:rPr>
        <w:t xml:space="preserve"> </w:t>
      </w:r>
      <w:r w:rsidRPr="4F940BA9" w:rsidR="43F9139A">
        <w:rPr>
          <w:rFonts w:ascii="Calibri" w:hAnsi="Calibri" w:eastAsia="Calibri" w:cs="Calibri"/>
          <w:sz w:val="20"/>
          <w:szCs w:val="20"/>
        </w:rPr>
        <w:t>and</w:t>
      </w:r>
      <w:r w:rsidRPr="4F940BA9" w:rsidR="6E2CF11E">
        <w:rPr>
          <w:rFonts w:ascii="Calibri" w:hAnsi="Calibri" w:eastAsia="Calibri" w:cs="Calibri"/>
          <w:sz w:val="20"/>
          <w:szCs w:val="20"/>
        </w:rPr>
        <w:t xml:space="preserve"> </w:t>
      </w:r>
      <w:r w:rsidRPr="4F940BA9" w:rsidR="6E2CF11E">
        <w:rPr>
          <w:rFonts w:ascii="Calibri" w:hAnsi="Calibri" w:eastAsia="Calibri" w:cs="Calibri"/>
          <w:sz w:val="20"/>
          <w:szCs w:val="20"/>
        </w:rPr>
        <w:t>Hiroshi (2010)</w:t>
      </w:r>
      <w:r w:rsidRPr="4F940BA9" w:rsidR="064569CD">
        <w:rPr>
          <w:rFonts w:ascii="Calibri" w:hAnsi="Calibri" w:eastAsia="Calibri" w:cs="Calibri"/>
          <w:sz w:val="20"/>
          <w:szCs w:val="20"/>
        </w:rPr>
        <w:t xml:space="preserve">, </w:t>
      </w:r>
      <w:r w:rsidRPr="4F940BA9" w:rsidR="064569CD">
        <w:rPr>
          <w:rFonts w:ascii="Calibri" w:hAnsi="Calibri" w:eastAsia="Calibri" w:cs="Calibri"/>
          <w:sz w:val="20"/>
          <w:szCs w:val="20"/>
        </w:rPr>
        <w:t>exhibit</w:t>
      </w:r>
      <w:r w:rsidRPr="4F940BA9" w:rsidR="064569CD">
        <w:rPr>
          <w:rFonts w:ascii="Calibri" w:hAnsi="Calibri" w:eastAsia="Calibri" w:cs="Calibri"/>
          <w:sz w:val="20"/>
          <w:szCs w:val="20"/>
        </w:rPr>
        <w:t xml:space="preserve"> the Production Approach (PA) as ano</w:t>
      </w:r>
      <w:r w:rsidRPr="4F940BA9" w:rsidR="1120274B">
        <w:rPr>
          <w:rFonts w:ascii="Calibri" w:hAnsi="Calibri" w:eastAsia="Calibri" w:cs="Calibri"/>
          <w:sz w:val="20"/>
          <w:szCs w:val="20"/>
        </w:rPr>
        <w:t>ther type of</w:t>
      </w:r>
      <w:r w:rsidRPr="4F940BA9" w:rsidR="064569CD">
        <w:rPr>
          <w:rFonts w:ascii="Calibri" w:hAnsi="Calibri" w:eastAsia="Calibri" w:cs="Calibri"/>
          <w:sz w:val="20"/>
          <w:szCs w:val="20"/>
        </w:rPr>
        <w:t xml:space="preserve"> perspective</w:t>
      </w:r>
      <w:r w:rsidRPr="4F940BA9" w:rsidR="064569CD">
        <w:rPr>
          <w:rFonts w:ascii="Calibri" w:hAnsi="Calibri" w:eastAsia="Calibri" w:cs="Calibri"/>
          <w:sz w:val="20"/>
          <w:szCs w:val="20"/>
        </w:rPr>
        <w:t xml:space="preserve">. This approach focuses on the production processes of banking services, considering inputs such as labor and physical capital and outputs like the volume of processed transactions or services </w:t>
      </w:r>
      <w:r w:rsidRPr="4F940BA9" w:rsidR="064569CD">
        <w:rPr>
          <w:rFonts w:ascii="Calibri" w:hAnsi="Calibri" w:eastAsia="Calibri" w:cs="Calibri"/>
          <w:sz w:val="20"/>
          <w:szCs w:val="20"/>
        </w:rPr>
        <w:t>rendered</w:t>
      </w:r>
      <w:r w:rsidRPr="4F940BA9" w:rsidR="064569CD">
        <w:rPr>
          <w:rFonts w:ascii="Calibri" w:hAnsi="Calibri" w:eastAsia="Calibri" w:cs="Calibri"/>
          <w:sz w:val="20"/>
          <w:szCs w:val="20"/>
        </w:rPr>
        <w:t>, highlighting an operational view of bank efficiency</w:t>
      </w:r>
      <w:r w:rsidRPr="4F940BA9" w:rsidR="4898F853">
        <w:rPr>
          <w:rFonts w:ascii="Calibri" w:hAnsi="Calibri" w:eastAsia="Calibri" w:cs="Calibri"/>
          <w:sz w:val="20"/>
          <w:szCs w:val="20"/>
        </w:rPr>
        <w:t>.</w:t>
      </w:r>
    </w:p>
    <w:p w:rsidR="002101FF" w:rsidP="002101FF" w:rsidRDefault="002101FF" w14:paraId="1CDD0A26" w14:textId="77777777">
      <w:pPr>
        <w:pStyle w:val="ListParagraph"/>
        <w:ind w:left="360"/>
        <w:jc w:val="both"/>
        <w:rPr>
          <w:rFonts w:ascii="Times New Roman" w:hAnsi="Times New Roman" w:cs="Times New Roman"/>
          <w:sz w:val="24"/>
          <w:szCs w:val="24"/>
        </w:rPr>
      </w:pPr>
    </w:p>
    <w:p w:rsidRPr="00CE5391" w:rsidR="002101FF" w:rsidP="002101FF" w:rsidRDefault="002101FF" w14:paraId="66DB13DE" w14:textId="77777777">
      <w:pPr>
        <w:pStyle w:val="ListParagraph"/>
        <w:spacing w:after="0"/>
        <w:ind w:left="360"/>
        <w:jc w:val="both"/>
        <w:rPr>
          <w:rFonts w:ascii="Times New Roman" w:hAnsi="Times New Roman" w:cs="Times New Roman"/>
          <w:sz w:val="24"/>
          <w:szCs w:val="24"/>
        </w:rPr>
      </w:pPr>
      <w:r w:rsidRPr="00CE5391">
        <w:rPr>
          <w:rFonts w:ascii="Calibri" w:hAnsi="Calibri" w:eastAsia="Calibri" w:cs="Calibri"/>
          <w:b/>
          <w:bCs/>
          <w:sz w:val="20"/>
          <w:szCs w:val="20"/>
        </w:rPr>
        <w:t>Table 5:</w:t>
      </w:r>
      <w:r w:rsidRPr="00CE5391">
        <w:rPr>
          <w:rFonts w:ascii="Calibri" w:hAnsi="Calibri" w:eastAsia="Calibri" w:cs="Calibri"/>
          <w:sz w:val="20"/>
          <w:szCs w:val="20"/>
        </w:rPr>
        <w:t xml:space="preserve"> </w:t>
      </w:r>
      <w:r w:rsidRPr="00CE5391">
        <w:rPr>
          <w:rFonts w:ascii="Calibri" w:hAnsi="Calibri" w:eastAsia="Calibri" w:cs="Calibri"/>
          <w:sz w:val="20"/>
          <w:szCs w:val="20"/>
          <w:u w:val="single"/>
        </w:rPr>
        <w:t>Summary of response and explanatory variables used in the second-stage analysis of two-stage analyses and the perspective that shapes the choice of the explanatory variables</w:t>
      </w:r>
      <w:r w:rsidRPr="00CE5391">
        <w:rPr>
          <w:rFonts w:ascii="Calibri" w:hAnsi="Calibri" w:eastAsia="Calibri" w:cs="Calibri"/>
          <w:sz w:val="20"/>
          <w:szCs w:val="20"/>
        </w:rPr>
        <w:t xml:space="preserve"> – we shall refer to this perspective as the behavioural perspective which depending on the aim of the investigation could be the contextual or environment perspective or could be event related (guidelines: analyse this table by perspective and for each perspective classify explanatory variables in meaningful categories and discuss them in the main text) </w:t>
      </w:r>
    </w:p>
    <w:tbl>
      <w:tblPr>
        <w:tblStyle w:val="GridTable1Light"/>
        <w:tblW w:w="4810" w:type="pct"/>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1182"/>
        <w:gridCol w:w="1287"/>
        <w:gridCol w:w="1348"/>
        <w:gridCol w:w="994"/>
        <w:gridCol w:w="2033"/>
        <w:gridCol w:w="2151"/>
      </w:tblGrid>
      <w:tr w:rsidRPr="00CE5391" w:rsidR="00331E11" w:rsidTr="4F940BA9" w14:paraId="1BCCF056"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13" w:type="pct"/>
            <w:tcMar/>
          </w:tcPr>
          <w:p w:rsidRPr="00CE5391" w:rsidR="00331E11" w:rsidP="00BD1418" w:rsidRDefault="00331E11" w14:paraId="0D78B0BC" w14:textId="6A1D1A47">
            <w:pPr>
              <w:jc w:val="center"/>
              <w:rPr>
                <w:rFonts w:hint="eastAsia"/>
                <w:sz w:val="20"/>
                <w:szCs w:val="20"/>
              </w:rPr>
            </w:pPr>
            <w:r>
              <w:rPr>
                <w:sz w:val="20"/>
                <w:szCs w:val="20"/>
              </w:rPr>
              <w:t>Paper #</w:t>
            </w:r>
          </w:p>
        </w:tc>
        <w:tc>
          <w:tcPr>
            <w:cnfStyle w:val="000000000000" w:firstRow="0" w:lastRow="0" w:firstColumn="0" w:lastColumn="0" w:oddVBand="0" w:evenVBand="0" w:oddHBand="0" w:evenHBand="0" w:firstRowFirstColumn="0" w:firstRowLastColumn="0" w:lastRowFirstColumn="0" w:lastRowLastColumn="0"/>
            <w:tcW w:w="712" w:type="pct"/>
            <w:tcMar/>
          </w:tcPr>
          <w:p w:rsidRPr="00CE5391" w:rsidR="00331E11" w:rsidP="00BD1418" w:rsidRDefault="00331E11" w14:paraId="7D961119" w14:textId="28FD036A">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CE5391">
              <w:rPr>
                <w:sz w:val="20"/>
                <w:szCs w:val="20"/>
              </w:rPr>
              <w:t>Reference</w:t>
            </w:r>
          </w:p>
        </w:tc>
        <w:tc>
          <w:tcPr>
            <w:cnfStyle w:val="000000000000" w:firstRow="0" w:lastRow="0" w:firstColumn="0" w:lastColumn="0" w:oddVBand="0" w:evenVBand="0" w:oddHBand="0" w:evenHBand="0" w:firstRowFirstColumn="0" w:firstRowLastColumn="0" w:lastRowFirstColumn="0" w:lastRowLastColumn="0"/>
            <w:tcW w:w="1109" w:type="pct"/>
            <w:gridSpan w:val="2"/>
            <w:tcMar/>
          </w:tcPr>
          <w:p w:rsidRPr="00CE5391" w:rsidR="00331E11" w:rsidP="00BD1418" w:rsidRDefault="00331E11" w14:paraId="011AEA0A" w14:textId="77777777">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CE5391">
              <w:rPr>
                <w:rFonts w:cs="Calibri"/>
                <w:sz w:val="20"/>
                <w:szCs w:val="20"/>
              </w:rPr>
              <w:t>Behavioural Perspective</w:t>
            </w:r>
          </w:p>
        </w:tc>
        <w:tc>
          <w:tcPr>
            <w:cnfStyle w:val="000000000000" w:firstRow="0" w:lastRow="0" w:firstColumn="0" w:lastColumn="0" w:oddVBand="0" w:evenVBand="0" w:oddHBand="0" w:evenHBand="0" w:firstRowFirstColumn="0" w:firstRowLastColumn="0" w:lastRowFirstColumn="0" w:lastRowLastColumn="0"/>
            <w:tcW w:w="1215" w:type="pct"/>
            <w:tcMar/>
          </w:tcPr>
          <w:p w:rsidRPr="00CE5391" w:rsidR="00331E11" w:rsidP="00BD1418" w:rsidRDefault="00331E11" w14:paraId="00914226" w14:textId="77777777">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CE5391">
              <w:rPr>
                <w:sz w:val="20"/>
                <w:szCs w:val="20"/>
              </w:rPr>
              <w:t>Response/dependent variable</w:t>
            </w:r>
          </w:p>
        </w:tc>
        <w:tc>
          <w:tcPr>
            <w:cnfStyle w:val="000000000000" w:firstRow="0" w:lastRow="0" w:firstColumn="0" w:lastColumn="0" w:oddVBand="0" w:evenVBand="0" w:oddHBand="0" w:evenHBand="0" w:firstRowFirstColumn="0" w:firstRowLastColumn="0" w:lastRowFirstColumn="0" w:lastRowLastColumn="0"/>
            <w:tcW w:w="1251" w:type="pct"/>
            <w:tcMar/>
          </w:tcPr>
          <w:p w:rsidRPr="00CE5391" w:rsidR="00331E11" w:rsidP="00BD1418" w:rsidRDefault="00331E11" w14:paraId="5FA36E57" w14:textId="77777777">
            <w:pPr>
              <w:jc w:val="center"/>
              <w:cnfStyle w:val="100000000000" w:firstRow="1" w:lastRow="0" w:firstColumn="0" w:lastColumn="0" w:oddVBand="0" w:evenVBand="0" w:oddHBand="0" w:evenHBand="0" w:firstRowFirstColumn="0" w:firstRowLastColumn="0" w:lastRowFirstColumn="0" w:lastRowLastColumn="0"/>
              <w:rPr>
                <w:rFonts w:hint="eastAsia"/>
                <w:sz w:val="20"/>
                <w:szCs w:val="20"/>
              </w:rPr>
            </w:pPr>
            <w:r w:rsidRPr="00CE5391">
              <w:rPr>
                <w:sz w:val="20"/>
                <w:szCs w:val="20"/>
              </w:rPr>
              <w:t>Explanatory variables / drivers</w:t>
            </w:r>
          </w:p>
        </w:tc>
      </w:tr>
      <w:tr w:rsidRPr="00CE5391" w:rsidR="00EF76F7" w:rsidTr="4F940BA9" w14:paraId="23BE5A2B" w14:textId="77777777">
        <w:trPr>
          <w:trHeight w:val="320"/>
        </w:trPr>
        <w:tc>
          <w:tcPr>
            <w:cnfStyle w:val="001000000000" w:firstRow="0" w:lastRow="0" w:firstColumn="1" w:lastColumn="0" w:oddVBand="0" w:evenVBand="0" w:oddHBand="0" w:evenHBand="0" w:firstRowFirstColumn="0" w:firstRowLastColumn="0" w:lastRowFirstColumn="0" w:lastRowLastColumn="0"/>
            <w:tcW w:w="713" w:type="pct"/>
            <w:tcMar/>
          </w:tcPr>
          <w:p w:rsidRPr="00C33A0D" w:rsidR="00EF76F7" w:rsidP="00BD1418" w:rsidRDefault="00EF76F7" w14:paraId="503B043A" w14:textId="77777777">
            <w:pPr>
              <w:jc w:val="center"/>
              <w:rPr>
                <w:rFonts w:hint="eastAsia"/>
                <w:sz w:val="20"/>
                <w:szCs w:val="20"/>
                <w:highlight w:val="yellow"/>
              </w:rPr>
            </w:pPr>
          </w:p>
        </w:tc>
        <w:tc>
          <w:tcPr>
            <w:cnfStyle w:val="000000000000" w:firstRow="0" w:lastRow="0" w:firstColumn="0" w:lastColumn="0" w:oddVBand="0" w:evenVBand="0" w:oddHBand="0" w:evenHBand="0" w:firstRowFirstColumn="0" w:firstRowLastColumn="0" w:lastRowFirstColumn="0" w:lastRowLastColumn="0"/>
            <w:tcW w:w="712" w:type="pct"/>
            <w:tcMar/>
          </w:tcPr>
          <w:p w:rsidRPr="00C33A0D" w:rsidR="00EF76F7" w:rsidP="00BD1418" w:rsidRDefault="00EF76F7" w14:paraId="031E13D2" w14:textId="77777777">
            <w:pPr>
              <w:jc w:val="center"/>
              <w:cnfStyle w:val="000000000000" w:firstRow="0" w:lastRow="0" w:firstColumn="0" w:lastColumn="0" w:oddVBand="0" w:evenVBand="0" w:oddHBand="0" w:evenHBand="0" w:firstRowFirstColumn="0" w:firstRowLastColumn="0" w:lastRowFirstColumn="0" w:lastRowLastColumn="0"/>
              <w:rPr>
                <w:rFonts w:hint="eastAsia"/>
                <w:sz w:val="20"/>
                <w:szCs w:val="20"/>
                <w:highlight w:val="yellow"/>
              </w:rPr>
            </w:pPr>
          </w:p>
        </w:tc>
        <w:tc>
          <w:tcPr>
            <w:cnfStyle w:val="000000000000" w:firstRow="0" w:lastRow="0" w:firstColumn="0" w:lastColumn="0" w:oddVBand="0" w:evenVBand="0" w:oddHBand="0" w:evenHBand="0" w:firstRowFirstColumn="0" w:firstRowLastColumn="0" w:lastRowFirstColumn="0" w:lastRowLastColumn="0"/>
            <w:tcW w:w="1109" w:type="pct"/>
            <w:gridSpan w:val="2"/>
            <w:tcMar/>
          </w:tcPr>
          <w:p w:rsidRPr="00C33A0D" w:rsidR="00EF76F7" w:rsidP="00BD1418" w:rsidRDefault="00C33A0D" w14:paraId="33EAFE3C" w14:textId="69E96557">
            <w:pPr>
              <w:jc w:val="center"/>
              <w:cnfStyle w:val="000000000000" w:firstRow="0" w:lastRow="0" w:firstColumn="0" w:lastColumn="0" w:oddVBand="0" w:evenVBand="0" w:oddHBand="0" w:evenHBand="0" w:firstRowFirstColumn="0" w:firstRowLastColumn="0" w:lastRowFirstColumn="0" w:lastRowLastColumn="0"/>
              <w:rPr>
                <w:rFonts w:hint="eastAsia" w:cs="Calibri"/>
                <w:sz w:val="20"/>
                <w:szCs w:val="20"/>
                <w:highlight w:val="yellow"/>
              </w:rPr>
            </w:pPr>
            <w:r w:rsidRPr="00C33A0D">
              <w:rPr>
                <w:rFonts w:cs="Calibri"/>
                <w:sz w:val="20"/>
                <w:szCs w:val="20"/>
                <w:highlight w:val="yellow"/>
              </w:rPr>
              <w:t>The summary of the drivers /  explanatory variables</w:t>
            </w:r>
          </w:p>
        </w:tc>
        <w:tc>
          <w:tcPr>
            <w:cnfStyle w:val="000000000000" w:firstRow="0" w:lastRow="0" w:firstColumn="0" w:lastColumn="0" w:oddVBand="0" w:evenVBand="0" w:oddHBand="0" w:evenHBand="0" w:firstRowFirstColumn="0" w:firstRowLastColumn="0" w:lastRowFirstColumn="0" w:lastRowLastColumn="0"/>
            <w:tcW w:w="1215" w:type="pct"/>
            <w:tcMar/>
          </w:tcPr>
          <w:p w:rsidRPr="00C33A0D" w:rsidR="00EF76F7" w:rsidP="00BD1418" w:rsidRDefault="00EF76F7" w14:paraId="59281E50" w14:textId="4CD8B4D5">
            <w:pPr>
              <w:jc w:val="center"/>
              <w:cnfStyle w:val="000000000000" w:firstRow="0" w:lastRow="0" w:firstColumn="0" w:lastColumn="0" w:oddVBand="0" w:evenVBand="0" w:oddHBand="0" w:evenHBand="0" w:firstRowFirstColumn="0" w:firstRowLastColumn="0" w:lastRowFirstColumn="0" w:lastRowLastColumn="0"/>
              <w:rPr>
                <w:rFonts w:hint="eastAsia"/>
                <w:sz w:val="20"/>
                <w:szCs w:val="20"/>
                <w:highlight w:val="yellow"/>
              </w:rPr>
            </w:pPr>
            <w:r w:rsidRPr="00C33A0D">
              <w:rPr>
                <w:sz w:val="20"/>
                <w:szCs w:val="20"/>
                <w:highlight w:val="yellow"/>
              </w:rPr>
              <w:t xml:space="preserve">Should be the type of efficiency </w:t>
            </w:r>
            <w:r w:rsidRPr="00C33A0D" w:rsidR="00C33A0D">
              <w:rPr>
                <w:sz w:val="20"/>
                <w:szCs w:val="20"/>
                <w:highlight w:val="yellow"/>
              </w:rPr>
              <w:t>or inefficiency</w:t>
            </w:r>
          </w:p>
        </w:tc>
        <w:tc>
          <w:tcPr>
            <w:cnfStyle w:val="000000000000" w:firstRow="0" w:lastRow="0" w:firstColumn="0" w:lastColumn="0" w:oddVBand="0" w:evenVBand="0" w:oddHBand="0" w:evenHBand="0" w:firstRowFirstColumn="0" w:firstRowLastColumn="0" w:lastRowFirstColumn="0" w:lastRowLastColumn="0"/>
            <w:tcW w:w="1251" w:type="pct"/>
            <w:tcMar/>
          </w:tcPr>
          <w:p w:rsidRPr="00C33A0D" w:rsidR="00EF76F7" w:rsidP="00BD1418" w:rsidRDefault="00C33A0D" w14:paraId="731FBDB9" w14:textId="25653E68">
            <w:pPr>
              <w:jc w:val="center"/>
              <w:cnfStyle w:val="000000000000" w:firstRow="0" w:lastRow="0" w:firstColumn="0" w:lastColumn="0" w:oddVBand="0" w:evenVBand="0" w:oddHBand="0" w:evenHBand="0" w:firstRowFirstColumn="0" w:firstRowLastColumn="0" w:lastRowFirstColumn="0" w:lastRowLastColumn="0"/>
              <w:rPr>
                <w:rFonts w:hint="eastAsia"/>
                <w:sz w:val="20"/>
                <w:szCs w:val="20"/>
                <w:highlight w:val="yellow"/>
              </w:rPr>
            </w:pPr>
            <w:r w:rsidRPr="00C33A0D">
              <w:rPr>
                <w:sz w:val="20"/>
                <w:szCs w:val="20"/>
                <w:highlight w:val="yellow"/>
              </w:rPr>
              <w:t>This is the drivers</w:t>
            </w:r>
          </w:p>
        </w:tc>
      </w:tr>
      <w:tr w:rsidR="2B7FFB25" w:rsidTr="4F940BA9" w14:paraId="29666A1C"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68A94C5E" w:rsidP="2B7FFB25" w:rsidRDefault="68A94C5E" w14:paraId="377EB735" w14:textId="218A247F">
            <w:pPr>
              <w:jc w:val="both"/>
              <w:rPr>
                <w:rFonts w:hint="eastAsia" w:cs="Calibri"/>
                <w:sz w:val="20"/>
                <w:szCs w:val="20"/>
                <w:lang w:eastAsia="zh-CN"/>
              </w:rPr>
            </w:pPr>
            <w:r w:rsidRPr="2B7FFB25">
              <w:rPr>
                <w:rFonts w:cs="Calibri"/>
                <w:sz w:val="20"/>
                <w:szCs w:val="20"/>
                <w:lang w:eastAsia="zh-CN"/>
              </w:rPr>
              <w:t>18</w:t>
            </w:r>
          </w:p>
        </w:tc>
        <w:tc>
          <w:tcPr>
            <w:cnfStyle w:val="000000000000" w:firstRow="0" w:lastRow="0" w:firstColumn="0" w:lastColumn="0" w:oddVBand="0" w:evenVBand="0" w:oddHBand="0" w:evenHBand="0" w:firstRowFirstColumn="0" w:firstRowLastColumn="0" w:lastRowFirstColumn="0" w:lastRowLastColumn="0"/>
            <w:tcW w:w="1281" w:type="dxa"/>
            <w:tcMar/>
          </w:tcPr>
          <w:p w:rsidR="68A94C5E" w:rsidP="2B7FFB25" w:rsidRDefault="68A94C5E" w14:paraId="64ADD9DD" w14:textId="48E0C83D">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Kai Du, Andrew C. Worthington, Valentin Zelenyuk (2018)</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68A94C5E" w:rsidP="4DF48494" w:rsidRDefault="70A0439E" w14:paraId="4BEBCC53" w14:textId="76222E7B">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rPr>
            </w:pPr>
            <w:r w:rsidRPr="6D5E676D">
              <w:rPr>
                <w:sz w:val="20"/>
                <w:szCs w:val="20"/>
              </w:rPr>
              <w:t xml:space="preserve">Asset diversification on </w:t>
            </w:r>
            <w:r w:rsidRPr="7D4F7B3B">
              <w:rPr>
                <w:sz w:val="20"/>
                <w:szCs w:val="20"/>
              </w:rPr>
              <w:t xml:space="preserve">profit </w:t>
            </w:r>
            <w:r w:rsidRPr="0C1C41C5">
              <w:rPr>
                <w:sz w:val="20"/>
                <w:szCs w:val="20"/>
              </w:rPr>
              <w:t>efficiency</w:t>
            </w:r>
          </w:p>
        </w:tc>
        <w:tc>
          <w:tcPr>
            <w:cnfStyle w:val="000000000000" w:firstRow="0" w:lastRow="0" w:firstColumn="0" w:lastColumn="0" w:oddVBand="0" w:evenVBand="0" w:oddHBand="0" w:evenHBand="0" w:firstRowFirstColumn="0" w:firstRowLastColumn="0" w:lastRowFirstColumn="0" w:lastRowLastColumn="0"/>
            <w:tcW w:w="2186" w:type="dxa"/>
            <w:tcMar/>
          </w:tcPr>
          <w:p w:rsidR="68A94C5E" w:rsidP="35440432" w:rsidRDefault="41426C07" w14:paraId="0AB89255" w14:textId="6B2E4679">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rPr>
            </w:pPr>
            <w:r w:rsidRPr="7A1549C8">
              <w:rPr>
                <w:rFonts w:ascii="Aptos" w:hAnsi="Aptos" w:eastAsia="Aptos" w:cs="Aptos"/>
                <w:color w:val="000000" w:themeColor="text1"/>
                <w:sz w:val="19"/>
                <w:szCs w:val="19"/>
              </w:rPr>
              <w:t xml:space="preserve">Profit </w:t>
            </w:r>
            <w:r w:rsidRPr="62802D06">
              <w:rPr>
                <w:rFonts w:ascii="Aptos" w:hAnsi="Aptos" w:eastAsia="Aptos" w:cs="Aptos"/>
                <w:color w:val="000000" w:themeColor="text1"/>
                <w:sz w:val="19"/>
                <w:szCs w:val="19"/>
              </w:rPr>
              <w:t>Efficiency</w:t>
            </w:r>
          </w:p>
        </w:tc>
        <w:tc>
          <w:tcPr>
            <w:cnfStyle w:val="000000000000" w:firstRow="0" w:lastRow="0" w:firstColumn="0" w:lastColumn="0" w:oddVBand="0" w:evenVBand="0" w:oddHBand="0" w:evenHBand="0" w:firstRowFirstColumn="0" w:firstRowLastColumn="0" w:lastRowFirstColumn="0" w:lastRowLastColumn="0"/>
            <w:tcW w:w="2251" w:type="dxa"/>
            <w:tcMar/>
          </w:tcPr>
          <w:p w:rsidRPr="000C6C61" w:rsidR="68A94C5E" w:rsidP="66F4E860" w:rsidRDefault="59A7D99B" w14:paraId="37C6E79A" w14:textId="6E603EEC">
            <w:pPr>
              <w:spacing w:line="259" w:lineRule="auto"/>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sz w:val="19"/>
                <w:szCs w:val="19"/>
              </w:rPr>
            </w:pPr>
            <w:r w:rsidRPr="3D287189">
              <w:rPr>
                <w:rFonts w:ascii="Aptos" w:hAnsi="Aptos" w:eastAsia="Aptos" w:cs="Aptos"/>
                <w:color w:val="000000" w:themeColor="text1"/>
                <w:sz w:val="19"/>
                <w:szCs w:val="19"/>
              </w:rPr>
              <w:t>Other Earning Asset over Loans (OEL/L), Other Earning Assets</w:t>
            </w:r>
            <w:r w:rsidRPr="3D287189" w:rsidR="36CABDAA">
              <w:rPr>
                <w:rFonts w:ascii="Aptos" w:hAnsi="Aptos" w:eastAsia="Aptos" w:cs="Aptos"/>
                <w:color w:val="000000" w:themeColor="text1"/>
                <w:sz w:val="19"/>
                <w:szCs w:val="19"/>
              </w:rPr>
              <w:t xml:space="preserve"> over Total Earning Assest (OEA/TA)</w:t>
            </w:r>
          </w:p>
        </w:tc>
      </w:tr>
      <w:tr w:rsidR="2B7FFB25" w:rsidTr="4F940BA9" w14:paraId="07C73688"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0778CDE2" w:rsidP="2B7FFB25" w:rsidRDefault="0778CDE2" w14:paraId="40591924" w14:textId="09E30D88">
            <w:pPr>
              <w:jc w:val="both"/>
              <w:rPr>
                <w:rFonts w:hint="eastAsia" w:cs="Calibri"/>
                <w:sz w:val="20"/>
                <w:szCs w:val="20"/>
                <w:lang w:eastAsia="zh-CN"/>
              </w:rPr>
            </w:pPr>
            <w:r w:rsidRPr="2B7FFB25">
              <w:rPr>
                <w:rFonts w:cs="Calibri"/>
                <w:sz w:val="20"/>
                <w:szCs w:val="20"/>
                <w:lang w:eastAsia="zh-CN"/>
              </w:rPr>
              <w:t>23</w:t>
            </w:r>
          </w:p>
        </w:tc>
        <w:tc>
          <w:tcPr>
            <w:cnfStyle w:val="000000000000" w:firstRow="0" w:lastRow="0" w:firstColumn="0" w:lastColumn="0" w:oddVBand="0" w:evenVBand="0" w:oddHBand="0" w:evenHBand="0" w:firstRowFirstColumn="0" w:firstRowLastColumn="0" w:lastRowFirstColumn="0" w:lastRowLastColumn="0"/>
            <w:tcW w:w="1281" w:type="dxa"/>
            <w:tcMar/>
          </w:tcPr>
          <w:p w:rsidR="0778CDE2" w:rsidP="2B7FFB25" w:rsidRDefault="0778CDE2" w14:paraId="5E6DE82F" w14:textId="6FCE3665">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James R. Barth, Chen Lin, Yue Ma, Jesús Seade, Frank M. Song (2013)</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0778CDE2" w:rsidP="2B7FFB25" w:rsidRDefault="0778CDE2" w14:paraId="5D7678C4" w14:textId="1C28BB36">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The effect of internal factors influence the bank efficiency</w:t>
            </w:r>
          </w:p>
        </w:tc>
        <w:tc>
          <w:tcPr>
            <w:cnfStyle w:val="000000000000" w:firstRow="0" w:lastRow="0" w:firstColumn="0" w:lastColumn="0" w:oddVBand="0" w:evenVBand="0" w:oddHBand="0" w:evenHBand="0" w:firstRowFirstColumn="0" w:firstRowLastColumn="0" w:lastRowFirstColumn="0" w:lastRowLastColumn="0"/>
            <w:tcW w:w="2186" w:type="dxa"/>
            <w:tcMar/>
          </w:tcPr>
          <w:p w:rsidR="0778CDE2" w:rsidP="2B7FFB25" w:rsidRDefault="3BDD312B" w14:paraId="2F22CA23" w14:textId="485FB6C7">
            <w:pPr>
              <w:jc w:val="both"/>
              <w:cnfStyle w:val="000000000000" w:firstRow="0" w:lastRow="0" w:firstColumn="0" w:lastColumn="0" w:oddVBand="0" w:evenVBand="0" w:oddHBand="0" w:evenHBand="0" w:firstRowFirstColumn="0" w:firstRowLastColumn="0" w:lastRowFirstColumn="0" w:lastRowLastColumn="0"/>
              <w:rPr>
                <w:rFonts w:hint="eastAsia"/>
              </w:rPr>
            </w:pPr>
            <w:r w:rsidRPr="0164464A">
              <w:rPr>
                <w:rFonts w:ascii="Aptos" w:hAnsi="Aptos" w:eastAsia="Aptos" w:cs="Aptos"/>
                <w:color w:val="000000" w:themeColor="text1"/>
                <w:sz w:val="19"/>
                <w:szCs w:val="19"/>
              </w:rPr>
              <w:t xml:space="preserve">Technical </w:t>
            </w:r>
            <w:r w:rsidRPr="0164464A" w:rsidR="3437834D">
              <w:rPr>
                <w:rFonts w:ascii="Aptos" w:hAnsi="Aptos" w:eastAsia="Aptos" w:cs="Aptos"/>
                <w:color w:val="000000" w:themeColor="text1"/>
                <w:sz w:val="19"/>
                <w:szCs w:val="19"/>
              </w:rPr>
              <w:t>efficiency</w:t>
            </w:r>
          </w:p>
        </w:tc>
        <w:tc>
          <w:tcPr>
            <w:cnfStyle w:val="000000000000" w:firstRow="0" w:lastRow="0" w:firstColumn="0" w:lastColumn="0" w:oddVBand="0" w:evenVBand="0" w:oddHBand="0" w:evenHBand="0" w:firstRowFirstColumn="0" w:firstRowLastColumn="0" w:lastRowFirstColumn="0" w:lastRowLastColumn="0"/>
            <w:tcW w:w="2251" w:type="dxa"/>
            <w:tcMar/>
          </w:tcPr>
          <w:p w:rsidR="0778CDE2" w:rsidP="2B7FFB25" w:rsidRDefault="62D8F8D4" w14:paraId="57DE3C60" w14:textId="26150298">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sz w:val="19"/>
                <w:szCs w:val="19"/>
              </w:rPr>
            </w:pPr>
            <w:r w:rsidRPr="321C6F57">
              <w:rPr>
                <w:rFonts w:ascii="Aptos" w:hAnsi="Aptos" w:eastAsia="Aptos" w:cs="Aptos"/>
                <w:color w:val="000000" w:themeColor="text1"/>
                <w:sz w:val="19"/>
                <w:szCs w:val="19"/>
              </w:rPr>
              <w:t xml:space="preserve">Activity restrictiveness, overall capital stringency, Herfindial Index (HHI), government ownership of banks, bank size, bank equity, </w:t>
            </w:r>
            <w:r w:rsidRPr="321C6F57" w:rsidR="0A06DE46">
              <w:rPr>
                <w:rFonts w:ascii="Aptos" w:hAnsi="Aptos" w:eastAsia="Aptos" w:cs="Aptos"/>
                <w:color w:val="000000" w:themeColor="text1"/>
                <w:sz w:val="19"/>
                <w:szCs w:val="19"/>
              </w:rPr>
              <w:t>Country GDP and Inflation</w:t>
            </w:r>
          </w:p>
        </w:tc>
      </w:tr>
      <w:tr w:rsidRPr="00CE5391" w:rsidR="00331E11" w:rsidTr="4F940BA9" w14:paraId="3DA6D8BC" w14:textId="77777777">
        <w:trPr>
          <w:trHeight w:val="320"/>
        </w:trPr>
        <w:tc>
          <w:tcPr>
            <w:cnfStyle w:val="001000000000" w:firstRow="0" w:lastRow="0" w:firstColumn="1" w:lastColumn="0" w:oddVBand="0" w:evenVBand="0" w:oddHBand="0" w:evenHBand="0" w:firstRowFirstColumn="0" w:firstRowLastColumn="0" w:lastRowFirstColumn="0" w:lastRowLastColumn="0"/>
            <w:tcW w:w="713" w:type="pct"/>
            <w:tcMar/>
          </w:tcPr>
          <w:p w:rsidRPr="00E9480F" w:rsidR="00331E11" w:rsidP="00331E11" w:rsidRDefault="00331E11" w14:paraId="365CFCE2" w14:textId="22093971">
            <w:pPr>
              <w:jc w:val="both"/>
              <w:rPr>
                <w:rFonts w:hint="eastAsia" w:cs="Calibri"/>
                <w:sz w:val="20"/>
                <w:szCs w:val="20"/>
                <w:lang w:eastAsia="zh-CN"/>
              </w:rPr>
            </w:pPr>
            <w:r>
              <w:rPr>
                <w:rFonts w:cs="Calibri"/>
                <w:sz w:val="20"/>
                <w:szCs w:val="20"/>
                <w:lang w:eastAsia="zh-CN"/>
              </w:rPr>
              <w:t>25</w:t>
            </w:r>
          </w:p>
        </w:tc>
        <w:tc>
          <w:tcPr>
            <w:cnfStyle w:val="000000000000" w:firstRow="0" w:lastRow="0" w:firstColumn="0" w:lastColumn="0" w:oddVBand="0" w:evenVBand="0" w:oddHBand="0" w:evenHBand="0" w:firstRowFirstColumn="0" w:firstRowLastColumn="0" w:lastRowFirstColumn="0" w:lastRowLastColumn="0"/>
            <w:tcW w:w="712" w:type="pct"/>
            <w:tcMar/>
          </w:tcPr>
          <w:p w:rsidRPr="008922B6" w:rsidR="00331E11" w:rsidP="00331E11" w:rsidRDefault="00331E11" w14:paraId="202CCD9D" w14:textId="694926A8">
            <w:pPr>
              <w:jc w:val="both"/>
              <w:cnfStyle w:val="000000000000" w:firstRow="0" w:lastRow="0" w:firstColumn="0" w:lastColumn="0" w:oddVBand="0" w:evenVBand="0" w:oddHBand="0" w:evenHBand="0" w:firstRowFirstColumn="0" w:firstRowLastColumn="0" w:lastRowFirstColumn="0" w:lastRowLastColumn="0"/>
              <w:rPr>
                <w:rFonts w:hint="eastAsia" w:cs="Calibri"/>
                <w:b/>
                <w:bCs/>
                <w:sz w:val="20"/>
                <w:szCs w:val="20"/>
                <w:lang w:eastAsia="zh-CN"/>
              </w:rPr>
            </w:pPr>
            <w:r w:rsidRPr="008922B6">
              <w:rPr>
                <w:rFonts w:cs="Calibri"/>
                <w:b/>
                <w:bCs/>
                <w:sz w:val="20"/>
                <w:szCs w:val="20"/>
                <w:lang w:eastAsia="zh-CN"/>
              </w:rPr>
              <w:t>Xie et al. (2022)</w:t>
            </w:r>
          </w:p>
        </w:tc>
        <w:tc>
          <w:tcPr>
            <w:cnfStyle w:val="000000000000" w:firstRow="0" w:lastRow="0" w:firstColumn="0" w:lastColumn="0" w:oddVBand="0" w:evenVBand="0" w:oddHBand="0" w:evenHBand="0" w:firstRowFirstColumn="0" w:firstRowLastColumn="0" w:lastRowFirstColumn="0" w:lastRowLastColumn="0"/>
            <w:tcW w:w="1109" w:type="pct"/>
            <w:gridSpan w:val="2"/>
            <w:tcMar/>
          </w:tcPr>
          <w:p w:rsidRPr="008922B6" w:rsidR="00331E11" w:rsidP="00331E11" w:rsidRDefault="00331E11" w14:paraId="71D8C69D" w14:textId="77777777">
            <w:pPr>
              <w:jc w:val="both"/>
              <w:cnfStyle w:val="000000000000" w:firstRow="0" w:lastRow="0" w:firstColumn="0" w:lastColumn="0" w:oddVBand="0" w:evenVBand="0" w:oddHBand="0" w:evenHBand="0" w:firstRowFirstColumn="0" w:firstRowLastColumn="0" w:lastRowFirstColumn="0" w:lastRowLastColumn="0"/>
              <w:rPr>
                <w:rFonts w:hint="eastAsia"/>
                <w:b/>
                <w:bCs/>
                <w:sz w:val="20"/>
                <w:szCs w:val="20"/>
              </w:rPr>
            </w:pPr>
            <w:r w:rsidRPr="008922B6">
              <w:rPr>
                <w:b/>
                <w:bCs/>
                <w:sz w:val="20"/>
                <w:szCs w:val="20"/>
              </w:rPr>
              <w:t>External economic environment and internal bank factors</w:t>
            </w:r>
          </w:p>
        </w:tc>
        <w:tc>
          <w:tcPr>
            <w:cnfStyle w:val="000000000000" w:firstRow="0" w:lastRow="0" w:firstColumn="0" w:lastColumn="0" w:oddVBand="0" w:evenVBand="0" w:oddHBand="0" w:evenHBand="0" w:firstRowFirstColumn="0" w:firstRowLastColumn="0" w:lastRowFirstColumn="0" w:lastRowLastColumn="0"/>
            <w:tcW w:w="1215" w:type="pct"/>
            <w:tcMar/>
          </w:tcPr>
          <w:p w:rsidRPr="008922B6" w:rsidR="00331E11" w:rsidP="00331E11" w:rsidRDefault="00331E11" w14:paraId="24487949" w14:textId="77777777">
            <w:pPr>
              <w:jc w:val="both"/>
              <w:cnfStyle w:val="000000000000" w:firstRow="0" w:lastRow="0" w:firstColumn="0" w:lastColumn="0" w:oddVBand="0" w:evenVBand="0" w:oddHBand="0" w:evenHBand="0" w:firstRowFirstColumn="0" w:firstRowLastColumn="0" w:lastRowFirstColumn="0" w:lastRowLastColumn="0"/>
              <w:rPr>
                <w:rFonts w:hint="eastAsia"/>
                <w:b/>
                <w:bCs/>
                <w:sz w:val="20"/>
                <w:szCs w:val="20"/>
              </w:rPr>
            </w:pPr>
            <w:r w:rsidRPr="008922B6">
              <w:rPr>
                <w:b/>
                <w:bCs/>
                <w:sz w:val="20"/>
                <w:szCs w:val="20"/>
              </w:rPr>
              <w:t>Efficiency value: input-output ratio</w:t>
            </w:r>
          </w:p>
        </w:tc>
        <w:tc>
          <w:tcPr>
            <w:cnfStyle w:val="000000000000" w:firstRow="0" w:lastRow="0" w:firstColumn="0" w:lastColumn="0" w:oddVBand="0" w:evenVBand="0" w:oddHBand="0" w:evenHBand="0" w:firstRowFirstColumn="0" w:firstRowLastColumn="0" w:lastRowFirstColumn="0" w:lastRowLastColumn="0"/>
            <w:tcW w:w="1251" w:type="pct"/>
            <w:tcMar/>
          </w:tcPr>
          <w:p w:rsidRPr="008922B6" w:rsidR="00331E11" w:rsidP="00331E11" w:rsidRDefault="00331E11" w14:paraId="0B61AFED" w14:textId="77777777">
            <w:pPr>
              <w:jc w:val="both"/>
              <w:cnfStyle w:val="000000000000" w:firstRow="0" w:lastRow="0" w:firstColumn="0" w:lastColumn="0" w:oddVBand="0" w:evenVBand="0" w:oddHBand="0" w:evenHBand="0" w:firstRowFirstColumn="0" w:firstRowLastColumn="0" w:lastRowFirstColumn="0" w:lastRowLastColumn="0"/>
              <w:rPr>
                <w:rFonts w:hint="eastAsia"/>
                <w:b/>
                <w:bCs/>
                <w:sz w:val="20"/>
                <w:szCs w:val="20"/>
              </w:rPr>
            </w:pPr>
            <w:r w:rsidRPr="008922B6">
              <w:rPr>
                <w:b/>
                <w:bCs/>
                <w:sz w:val="20"/>
                <w:szCs w:val="20"/>
              </w:rPr>
              <w:t>Broad money supply, NPL ratio, capital adequacy ratio, leverage ratio, loan-to-deposit ratio, GDP growth rate, policy uncertainty index, central parity of currency exchange, international short-term capital inflow</w:t>
            </w:r>
          </w:p>
        </w:tc>
      </w:tr>
      <w:tr w:rsidR="2B7FFB25" w:rsidTr="4F940BA9" w14:paraId="372C4AFC"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5266ADB9" w:rsidP="2B7FFB25" w:rsidRDefault="5266ADB9" w14:paraId="5057D6DE" w14:textId="3121CFD4">
            <w:pPr>
              <w:jc w:val="both"/>
              <w:rPr>
                <w:rFonts w:hint="eastAsia" w:cs="Calibri"/>
                <w:sz w:val="20"/>
                <w:szCs w:val="20"/>
                <w:lang w:eastAsia="zh-CN"/>
              </w:rPr>
            </w:pPr>
            <w:r w:rsidRPr="2B7FFB25">
              <w:rPr>
                <w:rFonts w:cs="Calibri"/>
                <w:sz w:val="20"/>
                <w:szCs w:val="20"/>
                <w:lang w:eastAsia="zh-CN"/>
              </w:rPr>
              <w:t>28</w:t>
            </w:r>
          </w:p>
        </w:tc>
        <w:tc>
          <w:tcPr>
            <w:cnfStyle w:val="000000000000" w:firstRow="0" w:lastRow="0" w:firstColumn="0" w:lastColumn="0" w:oddVBand="0" w:evenVBand="0" w:oddHBand="0" w:evenHBand="0" w:firstRowFirstColumn="0" w:firstRowLastColumn="0" w:lastRowFirstColumn="0" w:lastRowLastColumn="0"/>
            <w:tcW w:w="1281" w:type="dxa"/>
            <w:tcMar/>
          </w:tcPr>
          <w:p w:rsidR="5266ADB9" w:rsidP="2B7FFB25" w:rsidRDefault="5266ADB9" w14:paraId="74FC9361" w14:textId="13E48061">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Mohamed Ariff and Luc Can (2008)</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5266ADB9" w:rsidP="7479432F" w:rsidRDefault="5266ADB9" w14:paraId="742ACD50" w14:textId="21D2778C">
            <w:pPr>
              <w:spacing w:line="240" w:lineRule="exact"/>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The effect of internal and external factors influence the cost and profit efficiencies</w:t>
            </w:r>
          </w:p>
        </w:tc>
        <w:tc>
          <w:tcPr>
            <w:cnfStyle w:val="000000000000" w:firstRow="0" w:lastRow="0" w:firstColumn="0" w:lastColumn="0" w:oddVBand="0" w:evenVBand="0" w:oddHBand="0" w:evenHBand="0" w:firstRowFirstColumn="0" w:firstRowLastColumn="0" w:lastRowFirstColumn="0" w:lastRowLastColumn="0"/>
            <w:tcW w:w="2186" w:type="dxa"/>
            <w:tcMar/>
          </w:tcPr>
          <w:p w:rsidR="5266ADB9" w:rsidP="2B7FFB25" w:rsidRDefault="5266ADB9" w14:paraId="2393F048" w14:textId="6DEA78A0">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Cost and Profit Efficiency</w:t>
            </w:r>
          </w:p>
        </w:tc>
        <w:tc>
          <w:tcPr>
            <w:cnfStyle w:val="000000000000" w:firstRow="0" w:lastRow="0" w:firstColumn="0" w:lastColumn="0" w:oddVBand="0" w:evenVBand="0" w:oddHBand="0" w:evenHBand="0" w:firstRowFirstColumn="0" w:firstRowLastColumn="0" w:lastRowFirstColumn="0" w:lastRowLastColumn="0"/>
            <w:tcW w:w="2251" w:type="dxa"/>
            <w:tcMar/>
          </w:tcPr>
          <w:p w:rsidR="5266ADB9" w:rsidP="06BB1986" w:rsidRDefault="5266ADB9" w14:paraId="2635B91C" w14:textId="02C7F5E0">
            <w:pPr>
              <w:spacing w:line="240" w:lineRule="exact"/>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Ownership structure</w:t>
            </w:r>
            <w:r w:rsidRPr="06BB1986" w:rsidR="29AF073B">
              <w:rPr>
                <w:rFonts w:ascii="Aptos" w:hAnsi="Aptos" w:eastAsia="Aptos" w:cs="Aptos"/>
                <w:color w:val="000000" w:themeColor="text1"/>
                <w:sz w:val="19"/>
                <w:szCs w:val="19"/>
              </w:rPr>
              <w:t xml:space="preserve"> SOCB, Ownership structure JSCB</w:t>
            </w:r>
            <w:r w:rsidRPr="2B7FFB25">
              <w:rPr>
                <w:rFonts w:ascii="Aptos" w:hAnsi="Aptos" w:eastAsia="Aptos" w:cs="Aptos"/>
                <w:color w:val="000000" w:themeColor="text1"/>
                <w:sz w:val="19"/>
                <w:szCs w:val="19"/>
              </w:rPr>
              <w:t>, bank size, credit risk, asset quality, capital risk, liquidity risk</w:t>
            </w:r>
          </w:p>
        </w:tc>
      </w:tr>
      <w:tr w:rsidRPr="00CE5391" w:rsidR="00331E11" w:rsidTr="4F940BA9" w14:paraId="63F2D869" w14:textId="77777777">
        <w:trPr>
          <w:trHeight w:val="320"/>
        </w:trPr>
        <w:tc>
          <w:tcPr>
            <w:cnfStyle w:val="001000000000" w:firstRow="0" w:lastRow="0" w:firstColumn="1" w:lastColumn="0" w:oddVBand="0" w:evenVBand="0" w:oddHBand="0" w:evenHBand="0" w:firstRowFirstColumn="0" w:firstRowLastColumn="0" w:lastRowFirstColumn="0" w:lastRowLastColumn="0"/>
            <w:tcW w:w="713" w:type="pct"/>
            <w:tcMar/>
          </w:tcPr>
          <w:p w:rsidRPr="008922B6" w:rsidR="00331E11" w:rsidP="00331E11" w:rsidRDefault="00331E11" w14:paraId="22A510CD" w14:textId="56ED7160">
            <w:pPr>
              <w:jc w:val="both"/>
              <w:rPr>
                <w:rFonts w:hint="eastAsia" w:cs="Calibri"/>
                <w:sz w:val="20"/>
                <w:szCs w:val="20"/>
                <w:lang w:eastAsia="zh-CN"/>
              </w:rPr>
            </w:pPr>
            <w:r w:rsidRPr="008922B6">
              <w:rPr>
                <w:rFonts w:cs="Calibri"/>
                <w:sz w:val="20"/>
                <w:szCs w:val="20"/>
                <w:lang w:eastAsia="zh-CN"/>
              </w:rPr>
              <w:t>30</w:t>
            </w:r>
          </w:p>
        </w:tc>
        <w:tc>
          <w:tcPr>
            <w:cnfStyle w:val="000000000000" w:firstRow="0" w:lastRow="0" w:firstColumn="0" w:lastColumn="0" w:oddVBand="0" w:evenVBand="0" w:oddHBand="0" w:evenHBand="0" w:firstRowFirstColumn="0" w:firstRowLastColumn="0" w:lastRowFirstColumn="0" w:lastRowLastColumn="0"/>
            <w:tcW w:w="712" w:type="pct"/>
            <w:tcMar/>
          </w:tcPr>
          <w:p w:rsidRPr="008922B6" w:rsidR="00331E11" w:rsidP="00331E11" w:rsidRDefault="00331E11" w14:paraId="44D582A2" w14:textId="3547E83C">
            <w:pPr>
              <w:jc w:val="both"/>
              <w:cnfStyle w:val="000000000000" w:firstRow="0" w:lastRow="0" w:firstColumn="0" w:lastColumn="0" w:oddVBand="0" w:evenVBand="0" w:oddHBand="0" w:evenHBand="0" w:firstRowFirstColumn="0" w:firstRowLastColumn="0" w:lastRowFirstColumn="0" w:lastRowLastColumn="0"/>
              <w:rPr>
                <w:rFonts w:hint="eastAsia" w:cs="Calibri"/>
                <w:b/>
                <w:bCs/>
                <w:sz w:val="20"/>
                <w:szCs w:val="20"/>
                <w:lang w:eastAsia="zh-CN"/>
              </w:rPr>
            </w:pPr>
            <w:r w:rsidRPr="008922B6">
              <w:rPr>
                <w:rFonts w:cs="Calibri"/>
                <w:b/>
                <w:bCs/>
                <w:sz w:val="20"/>
                <w:szCs w:val="20"/>
                <w:lang w:eastAsia="zh-CN"/>
              </w:rPr>
              <w:t>Fukuyama and Tan (2022)</w:t>
            </w:r>
          </w:p>
        </w:tc>
        <w:tc>
          <w:tcPr>
            <w:cnfStyle w:val="000000000000" w:firstRow="0" w:lastRow="0" w:firstColumn="0" w:lastColumn="0" w:oddVBand="0" w:evenVBand="0" w:oddHBand="0" w:evenHBand="0" w:firstRowFirstColumn="0" w:firstRowLastColumn="0" w:lastRowFirstColumn="0" w:lastRowLastColumn="0"/>
            <w:tcW w:w="1109" w:type="pct"/>
            <w:gridSpan w:val="2"/>
            <w:tcMar/>
          </w:tcPr>
          <w:p w:rsidRPr="008922B6" w:rsidR="00331E11" w:rsidP="00331E11" w:rsidRDefault="00331E11" w14:paraId="4E014EA0" w14:textId="3D174BC8">
            <w:pPr>
              <w:jc w:val="both"/>
              <w:cnfStyle w:val="000000000000" w:firstRow="0" w:lastRow="0" w:firstColumn="0" w:lastColumn="0" w:oddVBand="0" w:evenVBand="0" w:oddHBand="0" w:evenHBand="0" w:firstRowFirstColumn="0" w:firstRowLastColumn="0" w:lastRowFirstColumn="0" w:lastRowLastColumn="0"/>
              <w:rPr>
                <w:rFonts w:hint="eastAsia"/>
                <w:b/>
                <w:bCs/>
                <w:sz w:val="20"/>
                <w:szCs w:val="20"/>
              </w:rPr>
            </w:pPr>
            <w:r w:rsidRPr="008922B6">
              <w:rPr>
                <w:b/>
                <w:bCs/>
                <w:sz w:val="20"/>
                <w:szCs w:val="20"/>
              </w:rPr>
              <w:t xml:space="preserve">Demographical financial risk </w:t>
            </w:r>
            <w:r w:rsidR="0080768B">
              <w:rPr>
                <w:b/>
                <w:bCs/>
                <w:sz w:val="20"/>
                <w:szCs w:val="20"/>
              </w:rPr>
              <w:t>and CSR</w:t>
            </w:r>
          </w:p>
        </w:tc>
        <w:tc>
          <w:tcPr>
            <w:cnfStyle w:val="000000000000" w:firstRow="0" w:lastRow="0" w:firstColumn="0" w:lastColumn="0" w:oddVBand="0" w:evenVBand="0" w:oddHBand="0" w:evenHBand="0" w:firstRowFirstColumn="0" w:firstRowLastColumn="0" w:lastRowFirstColumn="0" w:lastRowLastColumn="0"/>
            <w:tcW w:w="1215" w:type="pct"/>
            <w:tcMar/>
          </w:tcPr>
          <w:p w:rsidRPr="008922B6" w:rsidR="00331E11" w:rsidP="00331E11" w:rsidRDefault="00331E11" w14:paraId="23323ECC" w14:textId="77777777">
            <w:pPr>
              <w:jc w:val="both"/>
              <w:cnfStyle w:val="000000000000" w:firstRow="0" w:lastRow="0" w:firstColumn="0" w:lastColumn="0" w:oddVBand="0" w:evenVBand="0" w:oddHBand="0" w:evenHBand="0" w:firstRowFirstColumn="0" w:firstRowLastColumn="0" w:lastRowFirstColumn="0" w:lastRowLastColumn="0"/>
              <w:rPr>
                <w:rFonts w:hint="eastAsia"/>
                <w:b/>
                <w:bCs/>
                <w:sz w:val="20"/>
                <w:szCs w:val="20"/>
              </w:rPr>
            </w:pPr>
            <w:r w:rsidRPr="008922B6">
              <w:rPr>
                <w:b/>
                <w:bCs/>
                <w:sz w:val="20"/>
                <w:szCs w:val="20"/>
              </w:rPr>
              <w:t>Input inefficiency, stability inefficiency, output inefficiency</w:t>
            </w:r>
          </w:p>
        </w:tc>
        <w:tc>
          <w:tcPr>
            <w:cnfStyle w:val="000000000000" w:firstRow="0" w:lastRow="0" w:firstColumn="0" w:lastColumn="0" w:oddVBand="0" w:evenVBand="0" w:oddHBand="0" w:evenHBand="0" w:firstRowFirstColumn="0" w:firstRowLastColumn="0" w:lastRowFirstColumn="0" w:lastRowLastColumn="0"/>
            <w:tcW w:w="1251" w:type="pct"/>
            <w:tcMar/>
          </w:tcPr>
          <w:p w:rsidRPr="008922B6" w:rsidR="00331E11" w:rsidP="00331E11" w:rsidRDefault="00331E11" w14:paraId="599FD673" w14:textId="17A5F74F">
            <w:pPr>
              <w:jc w:val="both"/>
              <w:cnfStyle w:val="000000000000" w:firstRow="0" w:lastRow="0" w:firstColumn="0" w:lastColumn="0" w:oddVBand="0" w:evenVBand="0" w:oddHBand="0" w:evenHBand="0" w:firstRowFirstColumn="0" w:firstRowLastColumn="0" w:lastRowFirstColumn="0" w:lastRowLastColumn="0"/>
              <w:rPr>
                <w:rFonts w:hint="eastAsia"/>
                <w:b/>
                <w:bCs/>
                <w:sz w:val="20"/>
                <w:szCs w:val="20"/>
              </w:rPr>
            </w:pPr>
            <w:r w:rsidRPr="008922B6">
              <w:rPr>
                <w:b/>
                <w:bCs/>
                <w:sz w:val="20"/>
                <w:szCs w:val="20"/>
              </w:rPr>
              <w:t>NPL Ratio from western area, NPL Ratio from middle area, NPL Ratio from eastern area, loan to SME, donations, balance of green credit</w:t>
            </w:r>
          </w:p>
        </w:tc>
      </w:tr>
      <w:tr w:rsidR="2B7FFB25" w:rsidTr="4F940BA9" w14:paraId="12F3155B"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4C001755" w:rsidP="2B7FFB25" w:rsidRDefault="4C001755" w14:paraId="492791A0" w14:textId="34F97765">
            <w:pPr>
              <w:jc w:val="both"/>
              <w:rPr>
                <w:rFonts w:hint="eastAsia" w:cs="Calibri"/>
                <w:sz w:val="20"/>
                <w:szCs w:val="20"/>
                <w:lang w:eastAsia="zh-CN"/>
              </w:rPr>
            </w:pPr>
            <w:r w:rsidRPr="2B7FFB25">
              <w:rPr>
                <w:rFonts w:cs="Calibri"/>
                <w:sz w:val="20"/>
                <w:szCs w:val="20"/>
                <w:lang w:eastAsia="zh-CN"/>
              </w:rPr>
              <w:t>33</w:t>
            </w:r>
          </w:p>
        </w:tc>
        <w:tc>
          <w:tcPr>
            <w:cnfStyle w:val="000000000000" w:firstRow="0" w:lastRow="0" w:firstColumn="0" w:lastColumn="0" w:oddVBand="0" w:evenVBand="0" w:oddHBand="0" w:evenHBand="0" w:firstRowFirstColumn="0" w:firstRowLastColumn="0" w:lastRowFirstColumn="0" w:lastRowLastColumn="0"/>
            <w:tcW w:w="1281" w:type="dxa"/>
            <w:tcMar/>
          </w:tcPr>
          <w:p w:rsidR="4C001755" w:rsidP="2B7FFB25" w:rsidRDefault="4C001755" w14:paraId="46F8C4A6" w14:textId="26295564">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Xiaohong Liu, Feng Yang, Jie Wu (2020)</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4C001755" w:rsidP="2B7FFB25" w:rsidRDefault="4C001755" w14:paraId="71F1F6BB" w14:textId="256675C6">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sz w:val="19"/>
                <w:szCs w:val="19"/>
              </w:rPr>
            </w:pPr>
            <w:r w:rsidRPr="2B7FFB25">
              <w:rPr>
                <w:rFonts w:ascii="Aptos" w:hAnsi="Aptos" w:eastAsia="Aptos" w:cs="Aptos"/>
                <w:color w:val="000000" w:themeColor="text1"/>
                <w:sz w:val="19"/>
                <w:szCs w:val="19"/>
              </w:rPr>
              <w:t>ownership structure on the deposit and loan efficiencies of banks</w:t>
            </w:r>
          </w:p>
        </w:tc>
        <w:tc>
          <w:tcPr>
            <w:cnfStyle w:val="000000000000" w:firstRow="0" w:lastRow="0" w:firstColumn="0" w:lastColumn="0" w:oddVBand="0" w:evenVBand="0" w:oddHBand="0" w:evenHBand="0" w:firstRowFirstColumn="0" w:firstRowLastColumn="0" w:lastRowFirstColumn="0" w:lastRowLastColumn="0"/>
            <w:tcW w:w="2186" w:type="dxa"/>
            <w:tcMar/>
          </w:tcPr>
          <w:p w:rsidR="6FC283D5" w:rsidP="403A69DC" w:rsidRDefault="6FC283D5" w14:paraId="699C5FDA" w14:textId="6E671419">
            <w:pPr>
              <w:spacing w:line="240" w:lineRule="exact"/>
              <w:jc w:val="center"/>
              <w:cnfStyle w:val="000000000000" w:firstRow="0" w:lastRow="0" w:firstColumn="0" w:lastColumn="0" w:oddVBand="0" w:evenVBand="0" w:oddHBand="0" w:evenHBand="0" w:firstRowFirstColumn="0" w:firstRowLastColumn="0" w:lastRowFirstColumn="0" w:lastRowLastColumn="0"/>
              <w:rPr>
                <w:rFonts w:hint="eastAsia"/>
              </w:rPr>
            </w:pPr>
            <w:r w:rsidRPr="24BFAA9D">
              <w:rPr>
                <w:rFonts w:ascii="Aptos" w:hAnsi="Aptos" w:eastAsia="Aptos" w:cs="Aptos"/>
                <w:color w:val="000000" w:themeColor="text1"/>
                <w:sz w:val="19"/>
                <w:szCs w:val="19"/>
              </w:rPr>
              <w:t xml:space="preserve">Profit and Cost </w:t>
            </w:r>
            <w:r w:rsidRPr="5D00B266">
              <w:rPr>
                <w:rFonts w:ascii="Aptos" w:hAnsi="Aptos" w:eastAsia="Aptos" w:cs="Aptos"/>
                <w:color w:val="000000" w:themeColor="text1"/>
                <w:sz w:val="19"/>
                <w:szCs w:val="19"/>
              </w:rPr>
              <w:t>Efficiency</w:t>
            </w:r>
          </w:p>
          <w:p w:rsidR="2B7FFB25" w:rsidP="2B7FFB25" w:rsidRDefault="2B7FFB25" w14:paraId="6E0140FD" w14:textId="6689D6D3">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cnfStyle w:val="000000000000" w:firstRow="0" w:lastRow="0" w:firstColumn="0" w:lastColumn="0" w:oddVBand="0" w:evenVBand="0" w:oddHBand="0" w:evenHBand="0" w:firstRowFirstColumn="0" w:firstRowLastColumn="0" w:lastRowFirstColumn="0" w:lastRowLastColumn="0"/>
            <w:tcW w:w="2251" w:type="dxa"/>
            <w:tcMar/>
          </w:tcPr>
          <w:p w:rsidR="4C001755" w:rsidP="2B7FFB25" w:rsidRDefault="4C001755" w14:paraId="4C94BD0F" w14:textId="174A0510">
            <w:pPr>
              <w:spacing w:line="240" w:lineRule="exact"/>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Ownership nature, Ownership concentration, Ownership liquidity, Control variable</w:t>
            </w:r>
          </w:p>
        </w:tc>
      </w:tr>
      <w:tr w:rsidR="2B7FFB25" w:rsidTr="4F940BA9" w14:paraId="26DB0EF8"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57025AC" w:rsidP="2B7FFB25" w:rsidRDefault="257025AC" w14:paraId="1BD5410C" w14:textId="2A971A8C">
            <w:pPr>
              <w:jc w:val="both"/>
              <w:rPr>
                <w:rFonts w:hint="eastAsia" w:cs="Calibri"/>
                <w:sz w:val="20"/>
                <w:szCs w:val="20"/>
                <w:lang w:eastAsia="zh-CN"/>
              </w:rPr>
            </w:pPr>
            <w:r w:rsidRPr="2B7FFB25">
              <w:rPr>
                <w:rFonts w:cs="Calibri"/>
                <w:sz w:val="20"/>
                <w:szCs w:val="20"/>
                <w:lang w:eastAsia="zh-CN"/>
              </w:rPr>
              <w:t>43</w:t>
            </w:r>
          </w:p>
        </w:tc>
        <w:tc>
          <w:tcPr>
            <w:cnfStyle w:val="000000000000" w:firstRow="0" w:lastRow="0" w:firstColumn="0" w:lastColumn="0" w:oddVBand="0" w:evenVBand="0" w:oddHBand="0" w:evenHBand="0" w:firstRowFirstColumn="0" w:firstRowLastColumn="0" w:lastRowFirstColumn="0" w:lastRowLastColumn="0"/>
            <w:tcW w:w="1281" w:type="dxa"/>
            <w:tcMar/>
          </w:tcPr>
          <w:p w:rsidR="257025AC" w:rsidP="2B7FFB25" w:rsidRDefault="257025AC" w14:paraId="121CC223" w14:textId="07F79100">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Rasoul Rezvanian, Rima Truk Ariss, Sayed M. Mehdian, (2010)</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57025AC" w:rsidP="2B7FFB25" w:rsidRDefault="257025AC" w14:paraId="27A2BFE8" w14:textId="6E4713F2">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TimesNewRomanPSMT" w:hAnsi="TimesNewRomanPSMT" w:eastAsia="TimesNewRomanPSMT" w:cs="TimesNewRomanPSMT"/>
                <w:color w:val="000000" w:themeColor="text1"/>
                <w:sz w:val="19"/>
                <w:szCs w:val="19"/>
              </w:rPr>
              <w:t>investigate cost efficiency determinants of Chinese banks</w:t>
            </w:r>
          </w:p>
        </w:tc>
        <w:tc>
          <w:tcPr>
            <w:cnfStyle w:val="000000000000" w:firstRow="0" w:lastRow="0" w:firstColumn="0" w:lastColumn="0" w:oddVBand="0" w:evenVBand="0" w:oddHBand="0" w:evenHBand="0" w:firstRowFirstColumn="0" w:firstRowLastColumn="0" w:lastRowFirstColumn="0" w:lastRowLastColumn="0"/>
            <w:tcW w:w="2186" w:type="dxa"/>
            <w:tcMar/>
          </w:tcPr>
          <w:p w:rsidR="257025AC" w:rsidP="2B7FFB25" w:rsidRDefault="5C45AC43" w14:paraId="101C2F1F" w14:textId="2B3D1EBC">
            <w:pPr>
              <w:spacing w:line="240" w:lineRule="exact"/>
              <w:jc w:val="center"/>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sz w:val="19"/>
                <w:szCs w:val="19"/>
              </w:rPr>
            </w:pPr>
            <w:r w:rsidRPr="1719015E">
              <w:rPr>
                <w:rFonts w:ascii="Aptos" w:hAnsi="Aptos" w:eastAsia="Aptos" w:cs="Aptos"/>
                <w:color w:val="000000" w:themeColor="text1"/>
                <w:sz w:val="19"/>
                <w:szCs w:val="19"/>
              </w:rPr>
              <w:t xml:space="preserve">Cost </w:t>
            </w:r>
            <w:r w:rsidRPr="1719015E" w:rsidR="53B60A02">
              <w:rPr>
                <w:rFonts w:ascii="Aptos" w:hAnsi="Aptos" w:eastAsia="Aptos" w:cs="Aptos"/>
                <w:color w:val="000000" w:themeColor="text1"/>
                <w:sz w:val="19"/>
                <w:szCs w:val="19"/>
              </w:rPr>
              <w:t>efficiency</w:t>
            </w:r>
          </w:p>
        </w:tc>
        <w:tc>
          <w:tcPr>
            <w:cnfStyle w:val="000000000000" w:firstRow="0" w:lastRow="0" w:firstColumn="0" w:lastColumn="0" w:oddVBand="0" w:evenVBand="0" w:oddHBand="0" w:evenHBand="0" w:firstRowFirstColumn="0" w:firstRowLastColumn="0" w:lastRowFirstColumn="0" w:lastRowLastColumn="0"/>
            <w:tcW w:w="2251" w:type="dxa"/>
            <w:tcMar/>
          </w:tcPr>
          <w:p w:rsidR="257025AC" w:rsidP="2B7FFB25" w:rsidRDefault="257025AC" w14:paraId="35834176" w14:textId="46D9CC2C">
            <w:pPr>
              <w:spacing w:line="240" w:lineRule="exact"/>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color w:val="000000" w:themeColor="text1"/>
                <w:sz w:val="19"/>
                <w:szCs w:val="19"/>
              </w:rPr>
              <w:t>Profitability, capitalization, bank size, Foreign, Big Four, Regulatory Quality and Economic Development</w:t>
            </w:r>
          </w:p>
        </w:tc>
      </w:tr>
      <w:tr w:rsidRPr="00CE5391" w:rsidR="00331E11" w:rsidTr="4F940BA9" w14:paraId="33CD0A2F" w14:textId="77777777">
        <w:trPr>
          <w:trHeight w:val="320"/>
        </w:trPr>
        <w:tc>
          <w:tcPr>
            <w:cnfStyle w:val="001000000000" w:firstRow="0" w:lastRow="0" w:firstColumn="1" w:lastColumn="0" w:oddVBand="0" w:evenVBand="0" w:oddHBand="0" w:evenHBand="0" w:firstRowFirstColumn="0" w:firstRowLastColumn="0" w:lastRowFirstColumn="0" w:lastRowLastColumn="0"/>
            <w:tcW w:w="713" w:type="pct"/>
            <w:tcMar/>
          </w:tcPr>
          <w:p w:rsidRPr="00386881" w:rsidR="00331E11" w:rsidP="00331E11" w:rsidRDefault="00331E11" w14:paraId="465724DC" w14:textId="417A0F29">
            <w:pPr>
              <w:jc w:val="both"/>
              <w:rPr>
                <w:rFonts w:hint="eastAsia" w:cs="Calibri"/>
                <w:sz w:val="20"/>
                <w:szCs w:val="20"/>
                <w:lang w:eastAsia="zh-CN"/>
              </w:rPr>
            </w:pPr>
            <w:r>
              <w:rPr>
                <w:rFonts w:cs="Calibri"/>
                <w:sz w:val="20"/>
                <w:szCs w:val="20"/>
                <w:lang w:eastAsia="zh-CN"/>
              </w:rPr>
              <w:t>45</w:t>
            </w:r>
          </w:p>
        </w:tc>
        <w:tc>
          <w:tcPr>
            <w:cnfStyle w:val="000000000000" w:firstRow="0" w:lastRow="0" w:firstColumn="0" w:lastColumn="0" w:oddVBand="0" w:evenVBand="0" w:oddHBand="0" w:evenHBand="0" w:firstRowFirstColumn="0" w:firstRowLastColumn="0" w:lastRowFirstColumn="0" w:lastRowLastColumn="0"/>
            <w:tcW w:w="712" w:type="pct"/>
            <w:tcMar/>
          </w:tcPr>
          <w:p w:rsidRPr="00ED5776" w:rsidR="00331E11" w:rsidP="00331E11" w:rsidRDefault="00331E11" w14:paraId="76651DCA" w14:textId="2E7129A3">
            <w:pPr>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00386881">
              <w:rPr>
                <w:rFonts w:cs="Calibri"/>
                <w:sz w:val="20"/>
                <w:szCs w:val="20"/>
                <w:lang w:eastAsia="zh-CN"/>
              </w:rPr>
              <w:t xml:space="preserve">Wu et al. </w:t>
            </w:r>
            <w:r>
              <w:rPr>
                <w:rFonts w:cs="Calibri"/>
                <w:sz w:val="20"/>
                <w:szCs w:val="20"/>
                <w:lang w:eastAsia="zh-CN"/>
              </w:rPr>
              <w:t>(</w:t>
            </w:r>
            <w:r w:rsidRPr="00386881">
              <w:rPr>
                <w:rFonts w:cs="Calibri"/>
                <w:sz w:val="20"/>
                <w:szCs w:val="20"/>
                <w:lang w:eastAsia="zh-CN"/>
              </w:rPr>
              <w:t>2023)</w:t>
            </w:r>
          </w:p>
        </w:tc>
        <w:tc>
          <w:tcPr>
            <w:cnfStyle w:val="000000000000" w:firstRow="0" w:lastRow="0" w:firstColumn="0" w:lastColumn="0" w:oddVBand="0" w:evenVBand="0" w:oddHBand="0" w:evenHBand="0" w:firstRowFirstColumn="0" w:firstRowLastColumn="0" w:lastRowFirstColumn="0" w:lastRowLastColumn="0"/>
            <w:tcW w:w="1109" w:type="pct"/>
            <w:gridSpan w:val="2"/>
            <w:tcMar/>
          </w:tcPr>
          <w:p w:rsidR="00331E11" w:rsidP="00331E11" w:rsidRDefault="00331E11" w14:paraId="2034D2EF" w14:textId="77777777">
            <w:pPr>
              <w:jc w:val="both"/>
              <w:cnfStyle w:val="000000000000" w:firstRow="0" w:lastRow="0" w:firstColumn="0" w:lastColumn="0" w:oddVBand="0" w:evenVBand="0" w:oddHBand="0" w:evenHBand="0" w:firstRowFirstColumn="0" w:firstRowLastColumn="0" w:lastRowFirstColumn="0" w:lastRowLastColumn="0"/>
              <w:rPr>
                <w:rFonts w:hint="eastAsia"/>
                <w:sz w:val="20"/>
                <w:szCs w:val="20"/>
              </w:rPr>
            </w:pPr>
            <w:r>
              <w:rPr>
                <w:sz w:val="20"/>
                <w:szCs w:val="20"/>
              </w:rPr>
              <w:t>External economic and regulatory factor</w:t>
            </w:r>
          </w:p>
        </w:tc>
        <w:tc>
          <w:tcPr>
            <w:cnfStyle w:val="000000000000" w:firstRow="0" w:lastRow="0" w:firstColumn="0" w:lastColumn="0" w:oddVBand="0" w:evenVBand="0" w:oddHBand="0" w:evenHBand="0" w:firstRowFirstColumn="0" w:firstRowLastColumn="0" w:lastRowFirstColumn="0" w:lastRowLastColumn="0"/>
            <w:tcW w:w="1215" w:type="pct"/>
            <w:tcMar/>
          </w:tcPr>
          <w:p w:rsidR="00331E11" w:rsidP="00331E11" w:rsidRDefault="00331E11" w14:paraId="258CDABD" w14:textId="77777777">
            <w:pPr>
              <w:jc w:val="both"/>
              <w:cnfStyle w:val="000000000000" w:firstRow="0" w:lastRow="0" w:firstColumn="0" w:lastColumn="0" w:oddVBand="0" w:evenVBand="0" w:oddHBand="0" w:evenHBand="0" w:firstRowFirstColumn="0" w:firstRowLastColumn="0" w:lastRowFirstColumn="0" w:lastRowLastColumn="0"/>
              <w:rPr>
                <w:rFonts w:hint="eastAsia"/>
                <w:sz w:val="20"/>
                <w:szCs w:val="20"/>
              </w:rPr>
            </w:pPr>
            <w:r>
              <w:rPr>
                <w:sz w:val="20"/>
                <w:szCs w:val="20"/>
              </w:rPr>
              <w:t>Efficiency value</w:t>
            </w:r>
          </w:p>
        </w:tc>
        <w:tc>
          <w:tcPr>
            <w:cnfStyle w:val="000000000000" w:firstRow="0" w:lastRow="0" w:firstColumn="0" w:lastColumn="0" w:oddVBand="0" w:evenVBand="0" w:oddHBand="0" w:evenHBand="0" w:firstRowFirstColumn="0" w:firstRowLastColumn="0" w:lastRowFirstColumn="0" w:lastRowLastColumn="0"/>
            <w:tcW w:w="1251" w:type="pct"/>
            <w:tcMar/>
          </w:tcPr>
          <w:p w:rsidR="00331E11" w:rsidP="00331E11" w:rsidRDefault="00331E11" w14:paraId="27B05C2E" w14:textId="77777777">
            <w:pPr>
              <w:jc w:val="both"/>
              <w:cnfStyle w:val="000000000000" w:firstRow="0" w:lastRow="0" w:firstColumn="0" w:lastColumn="0" w:oddVBand="0" w:evenVBand="0" w:oddHBand="0" w:evenHBand="0" w:firstRowFirstColumn="0" w:firstRowLastColumn="0" w:lastRowFirstColumn="0" w:lastRowLastColumn="0"/>
              <w:rPr>
                <w:rFonts w:hint="eastAsia"/>
                <w:sz w:val="20"/>
                <w:szCs w:val="20"/>
              </w:rPr>
            </w:pPr>
            <w:r>
              <w:rPr>
                <w:sz w:val="20"/>
                <w:szCs w:val="20"/>
              </w:rPr>
              <w:t>Interest rate liberalization index, consumer price index, market risk</w:t>
            </w:r>
          </w:p>
        </w:tc>
      </w:tr>
      <w:tr w:rsidR="2B7FFB25" w:rsidTr="4F940BA9" w14:paraId="6D713872"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6727EDCE" w:rsidP="2B7FFB25" w:rsidRDefault="6727EDCE" w14:paraId="7669B63A" w14:textId="0E22B874">
            <w:pPr>
              <w:jc w:val="both"/>
              <w:rPr>
                <w:rFonts w:hint="eastAsia" w:cs="Calibri"/>
                <w:sz w:val="20"/>
                <w:szCs w:val="20"/>
                <w:lang w:eastAsia="zh-CN"/>
              </w:rPr>
            </w:pPr>
            <w:r w:rsidRPr="2B7FFB25">
              <w:rPr>
                <w:rFonts w:cs="Calibri"/>
                <w:sz w:val="20"/>
                <w:szCs w:val="20"/>
                <w:lang w:eastAsia="zh-CN"/>
              </w:rPr>
              <w:t>1</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50AFAB2F" w14:textId="0C2C606D">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Necmi K. Avkiran (2011)</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B7FFB25" w:rsidP="2B7FFB25" w:rsidRDefault="6ECBE299" w14:paraId="13938AAA" w14:textId="3147E4AB">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sz w:val="20"/>
                <w:szCs w:val="20"/>
              </w:rPr>
            </w:pPr>
            <w:r w:rsidRPr="3C27F0DB">
              <w:rPr>
                <w:sz w:val="20"/>
                <w:szCs w:val="20"/>
              </w:rPr>
              <w:t>investigates whether DEA super-efficiency estimates align with financial performance indicators</w:t>
            </w:r>
          </w:p>
        </w:tc>
        <w:tc>
          <w:tcPr>
            <w:cnfStyle w:val="000000000000" w:firstRow="0" w:lastRow="0" w:firstColumn="0" w:lastColumn="0" w:oddVBand="0" w:evenVBand="0" w:oddHBand="0" w:evenHBand="0" w:firstRowFirstColumn="0" w:firstRowLastColumn="0" w:lastRowFirstColumn="0" w:lastRowLastColumn="0"/>
            <w:tcW w:w="2186" w:type="dxa"/>
            <w:tcMar/>
          </w:tcPr>
          <w:p w:rsidR="2B7FFB25" w:rsidP="2B7FFB25" w:rsidRDefault="00AE0A72" w14:paraId="0B74F144" w14:textId="08504C16">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SSBM-C-1 (non-radial, constant returns-to-scale, and input oriented)</w:t>
            </w:r>
          </w:p>
        </w:tc>
        <w:tc>
          <w:tcPr>
            <w:cnfStyle w:val="000000000000" w:firstRow="0" w:lastRow="0" w:firstColumn="0" w:lastColumn="0" w:oddVBand="0" w:evenVBand="0" w:oddHBand="0" w:evenHBand="0" w:firstRowFirstColumn="0" w:firstRowLastColumn="0" w:lastRowFirstColumn="0" w:lastRowLastColumn="0"/>
            <w:tcW w:w="2251" w:type="dxa"/>
            <w:tcMar/>
          </w:tcPr>
          <w:p w:rsidR="2B7FFB25" w:rsidP="2B7FFB25" w:rsidRDefault="00AE0A72" w14:paraId="35484542" w14:textId="519FCB65">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PTP/ATA (post-tax profits to average total assets)</w:t>
            </w:r>
          </w:p>
        </w:tc>
      </w:tr>
      <w:tr w:rsidR="2B7FFB25" w:rsidTr="4F940BA9" w14:paraId="2F0B7C9F"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73DFB11E" w:rsidP="2B7FFB25" w:rsidRDefault="73DFB11E" w14:paraId="4DAE2B60" w14:textId="05C039E0">
            <w:pPr>
              <w:jc w:val="both"/>
              <w:rPr>
                <w:rFonts w:hint="eastAsia" w:cs="Calibri"/>
                <w:sz w:val="20"/>
                <w:szCs w:val="20"/>
                <w:lang w:eastAsia="zh-CN"/>
              </w:rPr>
            </w:pPr>
            <w:r w:rsidRPr="2B7FFB25">
              <w:rPr>
                <w:rFonts w:cs="Calibri"/>
                <w:sz w:val="20"/>
                <w:szCs w:val="20"/>
                <w:lang w:eastAsia="zh-CN"/>
              </w:rPr>
              <w:t>6</w:t>
            </w:r>
          </w:p>
        </w:tc>
        <w:tc>
          <w:tcPr>
            <w:cnfStyle w:val="000000000000" w:firstRow="0" w:lastRow="0" w:firstColumn="0" w:lastColumn="0" w:oddVBand="0" w:evenVBand="0" w:oddHBand="0" w:evenHBand="0" w:firstRowFirstColumn="0" w:firstRowLastColumn="0" w:lastRowFirstColumn="0" w:lastRowLastColumn="0"/>
            <w:tcW w:w="1281" w:type="dxa"/>
            <w:tcMar/>
          </w:tcPr>
          <w:p w:rsidRPr="2E56052F" w:rsidR="2E56052F" w:rsidP="2E56052F" w:rsidRDefault="2E56052F" w14:paraId="2EC59309" w14:textId="5313F299">
            <w:pPr>
              <w:jc w:val="center"/>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E56052F">
              <w:rPr>
                <w:rFonts w:cs="Calibri"/>
                <w:sz w:val="20"/>
                <w:szCs w:val="20"/>
                <w:lang w:eastAsia="zh-CN"/>
              </w:rPr>
              <w:t>Tan, Wänke,  Antunes,  Emrouznejad (2024)</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B7FFB25" w:rsidP="2B7FFB25" w:rsidRDefault="2B7FFB25" w14:paraId="175F79CC" w14:textId="1D27D4EC">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External real-world behaviours and decisions</w:t>
            </w:r>
          </w:p>
        </w:tc>
        <w:tc>
          <w:tcPr>
            <w:cnfStyle w:val="000000000000" w:firstRow="0" w:lastRow="0" w:firstColumn="0" w:lastColumn="0" w:oddVBand="0" w:evenVBand="0" w:oddHBand="0" w:evenHBand="0" w:firstRowFirstColumn="0" w:firstRowLastColumn="0" w:lastRowFirstColumn="0" w:lastRowLastColumn="0"/>
            <w:tcW w:w="2186" w:type="dxa"/>
            <w:tcMar/>
          </w:tcPr>
          <w:p w:rsidR="2B7FFB25" w:rsidP="2B7FFB25" w:rsidRDefault="2B7FFB25" w14:paraId="47A3DF26" w14:textId="4C365E0B">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 xml:space="preserve">Lerner </w:t>
            </w:r>
            <w:r w:rsidRPr="7018C8AF">
              <w:rPr>
                <w:rFonts w:cs="Calibri"/>
                <w:sz w:val="20"/>
                <w:szCs w:val="20"/>
                <w:lang w:eastAsia="zh-CN"/>
              </w:rPr>
              <w:t>Index</w:t>
            </w:r>
            <w:r w:rsidRPr="2B7FFB25">
              <w:rPr>
                <w:rFonts w:cs="Calibri"/>
                <w:sz w:val="20"/>
                <w:szCs w:val="20"/>
                <w:lang w:eastAsia="zh-CN"/>
              </w:rPr>
              <w:t xml:space="preserve"> (Measurement of market power)</w:t>
            </w:r>
          </w:p>
        </w:tc>
        <w:tc>
          <w:tcPr>
            <w:cnfStyle w:val="000000000000" w:firstRow="0" w:lastRow="0" w:firstColumn="0" w:lastColumn="0" w:oddVBand="0" w:evenVBand="0" w:oddHBand="0" w:evenHBand="0" w:firstRowFirstColumn="0" w:firstRowLastColumn="0" w:lastRowFirstColumn="0" w:lastRowLastColumn="0"/>
            <w:tcW w:w="2251" w:type="dxa"/>
            <w:tcMar/>
          </w:tcPr>
          <w:p w:rsidR="2B7FFB25" w:rsidP="2B7FFB25" w:rsidRDefault="2B7FFB25" w14:paraId="2C212EE8" w14:textId="138E3D7F">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Efficiency Value, relationship competition value</w:t>
            </w:r>
          </w:p>
        </w:tc>
      </w:tr>
      <w:tr w:rsidR="2B7FFB25" w:rsidTr="4F940BA9" w14:paraId="4D0C3537"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3EF06E5B" w:rsidP="2B7FFB25" w:rsidRDefault="3EF06E5B" w14:paraId="227E99A5" w14:textId="33B86CFC">
            <w:pPr>
              <w:jc w:val="both"/>
              <w:rPr>
                <w:rFonts w:hint="eastAsia" w:cs="Calibri"/>
                <w:sz w:val="20"/>
                <w:szCs w:val="20"/>
                <w:lang w:eastAsia="zh-CN"/>
              </w:rPr>
            </w:pPr>
            <w:r w:rsidRPr="2B7FFB25">
              <w:rPr>
                <w:rFonts w:cs="Calibri"/>
                <w:sz w:val="20"/>
                <w:szCs w:val="20"/>
                <w:lang w:eastAsia="zh-CN"/>
              </w:rPr>
              <w:t>11</w:t>
            </w:r>
          </w:p>
        </w:tc>
        <w:tc>
          <w:tcPr>
            <w:cnfStyle w:val="000000000000" w:firstRow="0" w:lastRow="0" w:firstColumn="0" w:lastColumn="0" w:oddVBand="0" w:evenVBand="0" w:oddHBand="0" w:evenHBand="0" w:firstRowFirstColumn="0" w:firstRowLastColumn="0" w:lastRowFirstColumn="0" w:lastRowLastColumn="0"/>
            <w:tcW w:w="1281" w:type="dxa"/>
            <w:tcMar/>
          </w:tcPr>
          <w:p w:rsidRPr="2E56052F" w:rsidR="2E56052F" w:rsidP="2E56052F" w:rsidRDefault="2E56052F" w14:paraId="52388713" w14:textId="543E076F">
            <w:pPr>
              <w:jc w:val="center"/>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E56052F">
              <w:rPr>
                <w:rFonts w:cs="Calibri"/>
                <w:sz w:val="20"/>
                <w:szCs w:val="20"/>
                <w:lang w:eastAsia="zh-CN"/>
              </w:rPr>
              <w:t>An, Chen, Liang &amp; Wu (2015)</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B7FFB25" w:rsidP="2B7FFB25" w:rsidRDefault="1B96F25C" w14:paraId="663EAD5A" w14:textId="2DB02EB4">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rPr>
            </w:pPr>
            <w:r w:rsidRPr="7018C8AF">
              <w:rPr>
                <w:rFonts w:cs="Calibri"/>
                <w:sz w:val="20"/>
                <w:szCs w:val="20"/>
                <w:lang w:eastAsia="zh-CN"/>
              </w:rPr>
              <w:t>n/a</w:t>
            </w:r>
          </w:p>
        </w:tc>
        <w:tc>
          <w:tcPr>
            <w:cnfStyle w:val="000000000000" w:firstRow="0" w:lastRow="0" w:firstColumn="0" w:lastColumn="0" w:oddVBand="0" w:evenVBand="0" w:oddHBand="0" w:evenHBand="0" w:firstRowFirstColumn="0" w:firstRowLastColumn="0" w:lastRowFirstColumn="0" w:lastRowLastColumn="0"/>
            <w:tcW w:w="2186" w:type="dxa"/>
            <w:tcMar/>
          </w:tcPr>
          <w:p w:rsidR="2B7FFB25" w:rsidP="2B7FFB25" w:rsidRDefault="1B96F25C" w14:paraId="1D089F74" w14:textId="5B8E252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rPr>
            </w:pPr>
            <w:r w:rsidRPr="7018C8AF">
              <w:rPr>
                <w:rFonts w:cs="Calibri"/>
                <w:sz w:val="20"/>
                <w:szCs w:val="20"/>
                <w:lang w:eastAsia="zh-CN"/>
              </w:rPr>
              <w:t>n/a</w:t>
            </w:r>
          </w:p>
        </w:tc>
        <w:tc>
          <w:tcPr>
            <w:cnfStyle w:val="000000000000" w:firstRow="0" w:lastRow="0" w:firstColumn="0" w:lastColumn="0" w:oddVBand="0" w:evenVBand="0" w:oddHBand="0" w:evenHBand="0" w:firstRowFirstColumn="0" w:firstRowLastColumn="0" w:lastRowFirstColumn="0" w:lastRowLastColumn="0"/>
            <w:tcW w:w="2251" w:type="dxa"/>
            <w:tcMar/>
          </w:tcPr>
          <w:p w:rsidR="2B7FFB25" w:rsidP="2B7FFB25" w:rsidRDefault="1B96F25C" w14:paraId="6B8E8948" w14:textId="1A6C6866">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rPr>
            </w:pPr>
            <w:r w:rsidRPr="7018C8AF">
              <w:rPr>
                <w:rFonts w:cs="Calibri"/>
                <w:sz w:val="20"/>
                <w:szCs w:val="20"/>
                <w:lang w:eastAsia="zh-CN"/>
              </w:rPr>
              <w:t>n/a</w:t>
            </w:r>
          </w:p>
        </w:tc>
      </w:tr>
      <w:tr w:rsidR="2B7FFB25" w:rsidTr="4F940BA9" w14:paraId="4F96B09C"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0D3ADDB4" w:rsidP="2B7FFB25" w:rsidRDefault="0D3ADDB4" w14:paraId="7EEA72D7" w14:textId="36903419">
            <w:pPr>
              <w:jc w:val="both"/>
              <w:rPr>
                <w:rFonts w:hint="eastAsia" w:cs="Calibri"/>
                <w:sz w:val="20"/>
                <w:szCs w:val="20"/>
                <w:lang w:eastAsia="zh-CN"/>
              </w:rPr>
            </w:pPr>
            <w:r w:rsidRPr="2B7FFB25">
              <w:rPr>
                <w:rFonts w:cs="Calibri"/>
                <w:sz w:val="20"/>
                <w:szCs w:val="20"/>
                <w:lang w:eastAsia="zh-CN"/>
              </w:rPr>
              <w:t>21</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486D6AA2" w14:textId="11FAE77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Hirofumi Fukuyamaa , Roman Matousek (2017)</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B7FFB25" w:rsidP="2B7FFB25" w:rsidRDefault="747A0A39" w14:paraId="2F7C07F4" w14:textId="157F70BE">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3C27F0DB">
              <w:rPr>
                <w:rFonts w:cs="Calibri"/>
                <w:sz w:val="20"/>
                <w:szCs w:val="20"/>
                <w:lang w:eastAsia="zh-CN"/>
              </w:rPr>
              <w:t>bank performance evaluation from a network perspective, incorporating non-performing loans into the efficiency measurement</w:t>
            </w:r>
          </w:p>
        </w:tc>
        <w:tc>
          <w:tcPr>
            <w:cnfStyle w:val="000000000000" w:firstRow="0" w:lastRow="0" w:firstColumn="0" w:lastColumn="0" w:oddVBand="0" w:evenVBand="0" w:oddHBand="0" w:evenHBand="0" w:firstRowFirstColumn="0" w:firstRowLastColumn="0" w:lastRowFirstColumn="0" w:lastRowLastColumn="0"/>
            <w:tcW w:w="2186" w:type="dxa"/>
            <w:tcMar/>
          </w:tcPr>
          <w:p w:rsidR="2B7FFB25" w:rsidP="2B7FFB25" w:rsidRDefault="747A0A39" w14:paraId="054754E0" w14:textId="1FE6B08C">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3C27F0DB">
              <w:rPr>
                <w:rFonts w:cs="Calibri"/>
                <w:sz w:val="20"/>
                <w:szCs w:val="20"/>
                <w:lang w:eastAsia="zh-CN"/>
              </w:rPr>
              <w:t>the banks' revenue efficiency scores scored by the network DEA model</w:t>
            </w:r>
          </w:p>
        </w:tc>
        <w:tc>
          <w:tcPr>
            <w:cnfStyle w:val="000000000000" w:firstRow="0" w:lastRow="0" w:firstColumn="0" w:lastColumn="0" w:oddVBand="0" w:evenVBand="0" w:oddHBand="0" w:evenHBand="0" w:firstRowFirstColumn="0" w:firstRowLastColumn="0" w:lastRowFirstColumn="0" w:lastRowLastColumn="0"/>
            <w:tcW w:w="2251" w:type="dxa"/>
            <w:tcMar/>
          </w:tcPr>
          <w:p w:rsidR="2B7FFB25" w:rsidP="2B7FFB25" w:rsidRDefault="2B7FFB25" w14:paraId="20EFCD1A" w14:textId="334C062C">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Loans and mortgages</w:t>
            </w:r>
          </w:p>
          <w:p w:rsidR="2B7FFB25" w:rsidP="2B7FFB25" w:rsidRDefault="2B7FFB25" w14:paraId="3DFCFD6E" w14:textId="6D863B7F">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Investment products</w:t>
            </w:r>
          </w:p>
          <w:p w:rsidR="2B7FFB25" w:rsidP="2B7FFB25" w:rsidRDefault="2B7FFB25" w14:paraId="236017C2" w14:textId="49C86AFC">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Individual financial advisory services</w:t>
            </w:r>
          </w:p>
          <w:p w:rsidR="2B7FFB25" w:rsidP="2B7FFB25" w:rsidRDefault="2B7FFB25" w14:paraId="7290F6AD" w14:textId="16FC3425">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Exclusive banking products</w:t>
            </w:r>
          </w:p>
          <w:p w:rsidR="2B7FFB25" w:rsidP="2B7FFB25" w:rsidRDefault="2B7FFB25" w14:paraId="7CC509AE" w14:textId="1C9BF55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Non-performing loans</w:t>
            </w:r>
          </w:p>
          <w:p w:rsidR="2B7FFB25" w:rsidP="2B7FFB25" w:rsidRDefault="2B7FFB25" w14:paraId="006C7E83" w14:textId="6C210A5A">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Operational losses</w:t>
            </w:r>
          </w:p>
          <w:p w:rsidR="2B7FFB25" w:rsidP="2B7FFB25" w:rsidRDefault="2B7FFB25" w14:paraId="796E436E" w14:textId="1D53CED6">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Compliance issues</w:t>
            </w:r>
          </w:p>
        </w:tc>
      </w:tr>
      <w:tr w:rsidR="2B7FFB25" w:rsidTr="4F940BA9" w14:paraId="7A6ED4C2"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76AA81B0" w:rsidP="2B7FFB25" w:rsidRDefault="76AA81B0" w14:paraId="79ADEE40" w14:textId="57B4E358">
            <w:pPr>
              <w:jc w:val="both"/>
              <w:rPr>
                <w:rFonts w:hint="eastAsia" w:cs="Calibri"/>
                <w:sz w:val="20"/>
                <w:szCs w:val="20"/>
                <w:lang w:eastAsia="zh-CN"/>
              </w:rPr>
            </w:pPr>
            <w:r w:rsidRPr="2B7FFB25">
              <w:rPr>
                <w:rFonts w:cs="Calibri"/>
                <w:sz w:val="20"/>
                <w:szCs w:val="20"/>
                <w:lang w:eastAsia="zh-CN"/>
              </w:rPr>
              <w:t>31</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7F303030" w14:textId="177A06CA">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Fukuyama, Tsionas, Tan (2023)</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B7FFB25" w:rsidP="2B7FFB25" w:rsidRDefault="2B7FFB25" w14:paraId="41CD982F" w14:textId="2198AA59">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Internal bank which has different sizes and market segment</w:t>
            </w:r>
          </w:p>
        </w:tc>
        <w:tc>
          <w:tcPr>
            <w:cnfStyle w:val="000000000000" w:firstRow="0" w:lastRow="0" w:firstColumn="0" w:lastColumn="0" w:oddVBand="0" w:evenVBand="0" w:oddHBand="0" w:evenHBand="0" w:firstRowFirstColumn="0" w:firstRowLastColumn="0" w:lastRowFirstColumn="0" w:lastRowLastColumn="0"/>
            <w:tcW w:w="2186" w:type="dxa"/>
            <w:tcMar/>
          </w:tcPr>
          <w:p w:rsidR="2B7FFB25" w:rsidP="2B7FFB25" w:rsidRDefault="2B7FFB25" w14:paraId="0AA2F71B" w14:textId="4FBDB142">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Inefficiency: Technical inefficiency, allocative inefficiency</w:t>
            </w:r>
          </w:p>
        </w:tc>
        <w:tc>
          <w:tcPr>
            <w:cnfStyle w:val="000000000000" w:firstRow="0" w:lastRow="0" w:firstColumn="0" w:lastColumn="0" w:oddVBand="0" w:evenVBand="0" w:oddHBand="0" w:evenHBand="0" w:firstRowFirstColumn="0" w:firstRowLastColumn="0" w:lastRowFirstColumn="0" w:lastRowLastColumn="0"/>
            <w:tcW w:w="2251" w:type="dxa"/>
            <w:tcMar/>
          </w:tcPr>
          <w:p w:rsidR="2B7FFB25" w:rsidP="2B7FFB25" w:rsidRDefault="2B7FFB25" w14:paraId="56E6F022" w14:textId="45A5B9B9">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Agriculture sector</w:t>
            </w:r>
          </w:p>
          <w:p w:rsidR="2B7FFB25" w:rsidP="2B7FFB25" w:rsidRDefault="2B7FFB25" w14:paraId="471E6D9F" w14:textId="6F64A45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Wholesale sector</w:t>
            </w:r>
          </w:p>
          <w:p w:rsidR="2B7FFB25" w:rsidP="2B7FFB25" w:rsidRDefault="2B7FFB25" w14:paraId="152B2968" w14:textId="5CB5F997">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Water conservancy, environment and public facitilities sector</w:t>
            </w:r>
          </w:p>
          <w:p w:rsidR="2B7FFB25" w:rsidP="2B7FFB25" w:rsidRDefault="2B7FFB25" w14:paraId="70D1B42E" w14:textId="6C522506">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Financial services sector</w:t>
            </w:r>
          </w:p>
        </w:tc>
      </w:tr>
      <w:tr w:rsidR="2B7FFB25" w:rsidTr="4F940BA9" w14:paraId="207EC147"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4598E87" w:rsidP="2B7FFB25" w:rsidRDefault="24598E87" w14:paraId="363C8BC8" w14:textId="2D53465C">
            <w:pPr>
              <w:jc w:val="both"/>
              <w:rPr>
                <w:rFonts w:hint="eastAsia" w:cs="Calibri"/>
                <w:sz w:val="20"/>
                <w:szCs w:val="20"/>
                <w:lang w:eastAsia="zh-CN"/>
              </w:rPr>
            </w:pPr>
            <w:r w:rsidRPr="2B7FFB25">
              <w:rPr>
                <w:rFonts w:cs="Calibri"/>
                <w:sz w:val="20"/>
                <w:szCs w:val="20"/>
                <w:lang w:eastAsia="zh-CN"/>
              </w:rPr>
              <w:t>41</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23E6A8FB" w14:textId="22283709">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Guangcheng Xu and Zhixiang Zhou (2020)</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B7FFB25" w:rsidP="2B7FFB25" w:rsidRDefault="2474EDCE" w14:paraId="57CD5DA4" w14:textId="0B22BA45">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3C27F0DB">
              <w:rPr>
                <w:rFonts w:cs="Calibri"/>
                <w:sz w:val="20"/>
                <w:szCs w:val="20"/>
                <w:lang w:eastAsia="zh-CN"/>
              </w:rPr>
              <w:t>assessing the efficiency of financial supply chains in Chinese commercial banks</w:t>
            </w:r>
          </w:p>
        </w:tc>
        <w:tc>
          <w:tcPr>
            <w:cnfStyle w:val="000000000000" w:firstRow="0" w:lastRow="0" w:firstColumn="0" w:lastColumn="0" w:oddVBand="0" w:evenVBand="0" w:oddHBand="0" w:evenHBand="0" w:firstRowFirstColumn="0" w:firstRowLastColumn="0" w:lastRowFirstColumn="0" w:lastRowLastColumn="0"/>
            <w:tcW w:w="2186" w:type="dxa"/>
            <w:tcMar/>
          </w:tcPr>
          <w:p w:rsidRPr="00D82FE0" w:rsidR="2B7FFB25" w:rsidP="2B7FFB25" w:rsidRDefault="4ACB62DC" w14:paraId="1064CF4D" w14:textId="0C0D49A6">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3C27F0DB">
              <w:rPr>
                <w:rFonts w:cs="Calibri"/>
                <w:sz w:val="20"/>
                <w:szCs w:val="20"/>
                <w:lang w:eastAsia="zh-CN"/>
              </w:rPr>
              <w:t>overall stage efficiency, deposit producing stage efficiency, and profit earning stage efficiency of the Chinese commercial banks.</w:t>
            </w:r>
          </w:p>
        </w:tc>
        <w:tc>
          <w:tcPr>
            <w:cnfStyle w:val="000000000000" w:firstRow="0" w:lastRow="0" w:firstColumn="0" w:lastColumn="0" w:oddVBand="0" w:evenVBand="0" w:oddHBand="0" w:evenHBand="0" w:firstRowFirstColumn="0" w:firstRowLastColumn="0" w:lastRowFirstColumn="0" w:lastRowLastColumn="0"/>
            <w:tcW w:w="2251" w:type="dxa"/>
            <w:tcMar/>
          </w:tcPr>
          <w:p w:rsidRPr="00D82FE0" w:rsidR="2B7FFB25" w:rsidP="2B7FFB25" w:rsidRDefault="4ACB62DC" w14:paraId="0B7590D7" w14:textId="47D2839B">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3C27F0DB">
              <w:rPr>
                <w:rFonts w:cs="Calibri"/>
                <w:sz w:val="20"/>
                <w:szCs w:val="20"/>
                <w:lang w:eastAsia="zh-CN"/>
              </w:rPr>
              <w:t>internet finance (ln DFII), loan quality (ln DARit), return on equity (ROEit), balance loan ratio (BLRit), gross domestic product (GDPt), consumer price index (CPIt), and different types of banks (TYPEi)</w:t>
            </w:r>
          </w:p>
        </w:tc>
      </w:tr>
      <w:tr w:rsidR="2B7FFB25" w:rsidTr="4F940BA9" w14:paraId="5E5E20C4"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55FA9344" w14:textId="75483B72">
            <w:pPr>
              <w:jc w:val="center"/>
              <w:rPr>
                <w:rFonts w:hint="eastAsia" w:cs="Calibri"/>
                <w:sz w:val="20"/>
                <w:szCs w:val="20"/>
                <w:lang w:eastAsia="zh-CN"/>
              </w:rPr>
            </w:pPr>
            <w:r w:rsidRPr="2B7FFB25">
              <w:rPr>
                <w:rFonts w:cs="Calibri"/>
                <w:sz w:val="20"/>
                <w:szCs w:val="20"/>
                <w:lang w:eastAsia="zh-CN"/>
              </w:rPr>
              <w:t>7</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71A2FB6D" w14:textId="0C9C6FBD">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lang w:val="en-US"/>
              </w:rPr>
              <w:t>Matthews, et al. (2010)</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B7FFB25" w:rsidP="2B7FFB25" w:rsidRDefault="2B7FFB25" w14:paraId="5CA88A17" w14:textId="1787D0AE">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n/a</w:t>
            </w:r>
          </w:p>
        </w:tc>
        <w:tc>
          <w:tcPr>
            <w:cnfStyle w:val="000000000000" w:firstRow="0" w:lastRow="0" w:firstColumn="0" w:lastColumn="0" w:oddVBand="0" w:evenVBand="0" w:oddHBand="0" w:evenHBand="0" w:firstRowFirstColumn="0" w:firstRowLastColumn="0" w:lastRowFirstColumn="0" w:lastRowLastColumn="0"/>
            <w:tcW w:w="2186" w:type="dxa"/>
            <w:tcMar/>
          </w:tcPr>
          <w:p w:rsidR="2B7FFB25" w:rsidP="2B7FFB25" w:rsidRDefault="2B7FFB25" w14:paraId="5D50FD19" w14:textId="3D1A5A5D">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n/a</w:t>
            </w:r>
          </w:p>
        </w:tc>
        <w:tc>
          <w:tcPr>
            <w:cnfStyle w:val="000000000000" w:firstRow="0" w:lastRow="0" w:firstColumn="0" w:lastColumn="0" w:oddVBand="0" w:evenVBand="0" w:oddHBand="0" w:evenHBand="0" w:firstRowFirstColumn="0" w:firstRowLastColumn="0" w:lastRowFirstColumn="0" w:lastRowLastColumn="0"/>
            <w:tcW w:w="2251" w:type="dxa"/>
            <w:tcMar/>
          </w:tcPr>
          <w:p w:rsidR="2B7FFB25" w:rsidP="2B7FFB25" w:rsidRDefault="2B7FFB25" w14:paraId="4AA925CB" w14:textId="3B94C7F5">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n/a</w:t>
            </w:r>
          </w:p>
        </w:tc>
      </w:tr>
      <w:tr w:rsidR="2B7FFB25" w:rsidTr="4F940BA9" w14:paraId="6985D70E"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268B50CC" w14:textId="584F9138">
            <w:pPr>
              <w:jc w:val="center"/>
              <w:rPr>
                <w:rFonts w:hint="eastAsia" w:cs="Calibri"/>
                <w:sz w:val="20"/>
                <w:szCs w:val="20"/>
                <w:lang w:eastAsia="zh-CN"/>
              </w:rPr>
            </w:pPr>
            <w:r w:rsidRPr="2B7FFB25">
              <w:rPr>
                <w:rFonts w:cs="Calibri"/>
                <w:sz w:val="20"/>
                <w:szCs w:val="20"/>
                <w:lang w:eastAsia="zh-CN"/>
              </w:rPr>
              <w:t>27</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120CED0D" w14:textId="63AE31BD">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lang w:val="en-US"/>
              </w:rPr>
              <w:t>Hou, et al. (2014)</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2B7FFB25" w:rsidP="2B7FFB25" w:rsidRDefault="2B7FFB25" w14:paraId="6D66EAD1" w14:textId="3674BA3B">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market structure,</w:t>
            </w:r>
          </w:p>
          <w:p w:rsidR="2B7FFB25" w:rsidP="2B7FFB25" w:rsidRDefault="2B7FFB25" w14:paraId="633A72F5" w14:textId="19D7C45C">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bank risk</w:t>
            </w:r>
          </w:p>
        </w:tc>
        <w:tc>
          <w:tcPr>
            <w:cnfStyle w:val="000000000000" w:firstRow="0" w:lastRow="0" w:firstColumn="0" w:lastColumn="0" w:oddVBand="0" w:evenVBand="0" w:oddHBand="0" w:evenHBand="0" w:firstRowFirstColumn="0" w:firstRowLastColumn="0" w:lastRowFirstColumn="0" w:lastRowLastColumn="0"/>
            <w:tcW w:w="2186" w:type="dxa"/>
            <w:tcMar/>
          </w:tcPr>
          <w:p w:rsidR="2B7FFB25" w:rsidP="2B7FFB25" w:rsidRDefault="007513A6" w14:paraId="7B3D4387" w14:textId="749FA7B8">
            <w:pPr>
              <w:jc w:val="both"/>
              <w:cnfStyle w:val="000000000000" w:firstRow="0" w:lastRow="0" w:firstColumn="0" w:lastColumn="0" w:oddVBand="0" w:evenVBand="0" w:oddHBand="0" w:evenHBand="0" w:firstRowFirstColumn="0" w:firstRowLastColumn="0" w:lastRowFirstColumn="0" w:lastRowLastColumn="0"/>
              <w:rPr>
                <w:rFonts w:hint="eastAsia"/>
              </w:rPr>
            </w:pPr>
            <w:r w:rsidRPr="007513A6">
              <w:rPr>
                <w:rFonts w:ascii="Aptos" w:hAnsi="Aptos" w:eastAsia="Aptos" w:cs="Aptos"/>
                <w:b/>
                <w:bCs/>
                <w:color w:val="000000" w:themeColor="text1"/>
                <w:sz w:val="20"/>
                <w:szCs w:val="20"/>
              </w:rPr>
              <w:t>technical efficiency</w:t>
            </w:r>
          </w:p>
        </w:tc>
        <w:tc>
          <w:tcPr>
            <w:cnfStyle w:val="000000000000" w:firstRow="0" w:lastRow="0" w:firstColumn="0" w:lastColumn="0" w:oddVBand="0" w:evenVBand="0" w:oddHBand="0" w:evenHBand="0" w:firstRowFirstColumn="0" w:firstRowLastColumn="0" w:lastRowFirstColumn="0" w:lastRowLastColumn="0"/>
            <w:tcW w:w="2251" w:type="dxa"/>
            <w:tcMar/>
          </w:tcPr>
          <w:p w:rsidR="2B7FFB25" w:rsidP="2B7FFB25" w:rsidRDefault="2B7FFB25" w14:paraId="0914F59A" w14:textId="47924885">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Herfindahl-Hirschman Index in deposits;</w:t>
            </w:r>
          </w:p>
          <w:p w:rsidR="2B7FFB25" w:rsidP="2B7FFB25" w:rsidRDefault="2B7FFB25" w14:paraId="50800C8D" w14:textId="185E56F8">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the ratio of equity to total assets ,</w:t>
            </w:r>
          </w:p>
          <w:p w:rsidR="2B7FFB25" w:rsidP="2B7FFB25" w:rsidRDefault="2B7FFB25" w14:paraId="0A2F2EB7" w14:textId="224AEC01">
            <w:pPr>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the ratio of loan loss provisions to total loans ,</w:t>
            </w:r>
          </w:p>
          <w:p w:rsidR="2B7FFB25" w:rsidP="2B7FFB25" w:rsidRDefault="2B7FFB25" w14:paraId="1384667A" w14:textId="250BDE13">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b/>
                <w:bCs/>
                <w:sz w:val="20"/>
                <w:szCs w:val="20"/>
              </w:rPr>
            </w:pPr>
            <w:r w:rsidRPr="2B7FFB25">
              <w:rPr>
                <w:rFonts w:ascii="Aptos" w:hAnsi="Aptos" w:eastAsia="Aptos" w:cs="Aptos"/>
                <w:b/>
                <w:bCs/>
                <w:sz w:val="20"/>
                <w:szCs w:val="20"/>
              </w:rPr>
              <w:t xml:space="preserve">the ratio between total loans and deposits </w:t>
            </w:r>
          </w:p>
        </w:tc>
      </w:tr>
      <w:tr w:rsidR="2B7FFB25" w:rsidTr="4F940BA9" w14:paraId="241FFC95"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531586CF" w14:textId="0D5FEFEC">
            <w:pPr>
              <w:jc w:val="center"/>
              <w:rPr>
                <w:rFonts w:hint="eastAsia" w:cs="Calibri"/>
                <w:sz w:val="20"/>
                <w:szCs w:val="20"/>
                <w:lang w:eastAsia="zh-CN"/>
              </w:rPr>
            </w:pPr>
            <w:r w:rsidRPr="2B7FFB25">
              <w:rPr>
                <w:rFonts w:cs="Calibri"/>
                <w:sz w:val="20"/>
                <w:szCs w:val="20"/>
                <w:lang w:eastAsia="zh-CN"/>
              </w:rPr>
              <w:t>32</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69DE3234" w14:textId="0648DB80">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rPr>
              <w:t>Fukuyama, et al. (2021)</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443BC3A3" w:rsidP="2B7FFB25" w:rsidRDefault="3A293412" w14:paraId="0E5B9EAD" w14:textId="44BF4153">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rPr>
            </w:pPr>
            <w:r w:rsidRPr="139B3724">
              <w:rPr>
                <w:rFonts w:ascii="Aptos" w:hAnsi="Aptos" w:eastAsia="Aptos" w:cs="Aptos"/>
                <w:sz w:val="20"/>
                <w:szCs w:val="20"/>
              </w:rPr>
              <w:t>the risk from the perspective related to banks’ ability to withstand the potential negative shocks</w:t>
            </w:r>
          </w:p>
        </w:tc>
        <w:tc>
          <w:tcPr>
            <w:cnfStyle w:val="000000000000" w:firstRow="0" w:lastRow="0" w:firstColumn="0" w:lastColumn="0" w:oddVBand="0" w:evenVBand="0" w:oddHBand="0" w:evenHBand="0" w:firstRowFirstColumn="0" w:firstRowLastColumn="0" w:lastRowFirstColumn="0" w:lastRowLastColumn="0"/>
            <w:tcW w:w="2186" w:type="dxa"/>
            <w:tcMar/>
          </w:tcPr>
          <w:p w:rsidR="2B7FFB25" w:rsidP="2B7FFB25" w:rsidRDefault="3A293412" w14:paraId="4C620274" w14:textId="3C99BC10">
            <w:pPr>
              <w:spacing w:line="259" w:lineRule="auto"/>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color w:val="000000" w:themeColor="text1"/>
                <w:sz w:val="20"/>
                <w:szCs w:val="20"/>
              </w:rPr>
              <w:t>direct technical efficiency</w:t>
            </w:r>
          </w:p>
        </w:tc>
        <w:tc>
          <w:tcPr>
            <w:cnfStyle w:val="000000000000" w:firstRow="0" w:lastRow="0" w:firstColumn="0" w:lastColumn="0" w:oddVBand="0" w:evenVBand="0" w:oddHBand="0" w:evenHBand="0" w:firstRowFirstColumn="0" w:firstRowLastColumn="0" w:lastRowFirstColumn="0" w:lastRowLastColumn="0"/>
            <w:tcW w:w="2251" w:type="dxa"/>
            <w:tcMar/>
          </w:tcPr>
          <w:p w:rsidR="2B7FFB25" w:rsidP="2B7FFB25" w:rsidRDefault="3A293412" w14:paraId="7B9CB801" w14:textId="36FE2DE4">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rPr>
            </w:pPr>
            <w:r w:rsidRPr="139B3724">
              <w:rPr>
                <w:rFonts w:ascii="Aptos" w:hAnsi="Aptos" w:eastAsia="Aptos" w:cs="Aptos"/>
                <w:sz w:val="20"/>
                <w:szCs w:val="20"/>
              </w:rPr>
              <w:t>LLRs (loan loss reserves) and total loans</w:t>
            </w:r>
          </w:p>
        </w:tc>
      </w:tr>
      <w:tr w:rsidR="2B7FFB25" w:rsidTr="4F940BA9" w14:paraId="79D0EC7F"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605A6EDE" w14:textId="4C8A35F8">
            <w:pPr>
              <w:jc w:val="center"/>
              <w:rPr>
                <w:rFonts w:hint="eastAsia" w:cs="Calibri"/>
                <w:sz w:val="20"/>
                <w:szCs w:val="20"/>
                <w:lang w:eastAsia="zh-CN"/>
              </w:rPr>
            </w:pPr>
            <w:r w:rsidRPr="2B7FFB25">
              <w:rPr>
                <w:rFonts w:cs="Calibri"/>
                <w:sz w:val="20"/>
                <w:szCs w:val="20"/>
                <w:lang w:eastAsia="zh-CN"/>
              </w:rPr>
              <w:t>22</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0DDC7930" w14:textId="45914E7C">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rPr>
              <w:t>Fukuyama, et al. (2021)</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3919FB57" w:rsidP="2B7FFB25" w:rsidRDefault="3919FB57" w14:paraId="139A6F76" w14:textId="1B63E9DC">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rPr>
              <w:t>the impact of CSR on bank efficiency</w:t>
            </w:r>
          </w:p>
        </w:tc>
        <w:tc>
          <w:tcPr>
            <w:cnfStyle w:val="000000000000" w:firstRow="0" w:lastRow="0" w:firstColumn="0" w:lastColumn="0" w:oddVBand="0" w:evenVBand="0" w:oddHBand="0" w:evenHBand="0" w:firstRowFirstColumn="0" w:firstRowLastColumn="0" w:lastRowFirstColumn="0" w:lastRowLastColumn="0"/>
            <w:tcW w:w="2186" w:type="dxa"/>
            <w:tcMar/>
          </w:tcPr>
          <w:p w:rsidRPr="139B3724" w:rsidR="139B3724" w:rsidP="139B3724" w:rsidRDefault="139B3724" w14:paraId="6BAC6A1D" w14:textId="1D014D2F">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sz w:val="20"/>
                <w:szCs w:val="20"/>
              </w:rPr>
            </w:pPr>
            <w:r w:rsidRPr="139B3724">
              <w:rPr>
                <w:rFonts w:ascii="Aptos" w:hAnsi="Aptos" w:eastAsia="Aptos" w:cs="Aptos"/>
                <w:color w:val="000000" w:themeColor="text1"/>
                <w:sz w:val="20"/>
                <w:szCs w:val="20"/>
              </w:rPr>
              <w:t>Indirect technical efficiency, Technical efficiency, Indirect allocative efficiency</w:t>
            </w:r>
          </w:p>
        </w:tc>
        <w:tc>
          <w:tcPr>
            <w:cnfStyle w:val="000000000000" w:firstRow="0" w:lastRow="0" w:firstColumn="0" w:lastColumn="0" w:oddVBand="0" w:evenVBand="0" w:oddHBand="0" w:evenHBand="0" w:firstRowFirstColumn="0" w:firstRowLastColumn="0" w:lastRowFirstColumn="0" w:lastRowLastColumn="0"/>
            <w:tcW w:w="2251" w:type="dxa"/>
            <w:tcMar/>
          </w:tcPr>
          <w:p w:rsidR="139B3724" w:rsidP="139B3724" w:rsidRDefault="139B3724" w14:paraId="6508184C" w14:textId="5186175A">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 xml:space="preserve">Donations (reflecting social contribution), </w:t>
            </w:r>
          </w:p>
          <w:p w:rsidR="139B3724" w:rsidP="139B3724" w:rsidRDefault="139B3724" w14:paraId="482847FE" w14:textId="109B5DED">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 xml:space="preserve">Balance of green credit (reflecting environmental responsibility), </w:t>
            </w:r>
          </w:p>
          <w:p w:rsidRPr="139B3724" w:rsidR="139B3724" w:rsidP="139B3724" w:rsidRDefault="139B3724" w14:paraId="3D36E593" w14:textId="69023850">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Loans to Small and Medium-sized enterprises (SMEs)</w:t>
            </w:r>
          </w:p>
        </w:tc>
      </w:tr>
      <w:tr w:rsidR="2B7FFB25" w:rsidTr="4F940BA9" w14:paraId="1A9E949B"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21F8CFBD" w14:textId="6D9A1F1B">
            <w:pPr>
              <w:jc w:val="center"/>
              <w:rPr>
                <w:rFonts w:hint="eastAsia" w:cs="Calibri"/>
                <w:sz w:val="20"/>
                <w:szCs w:val="20"/>
                <w:lang w:eastAsia="zh-CN"/>
              </w:rPr>
            </w:pPr>
            <w:r w:rsidRPr="2B7FFB25">
              <w:rPr>
                <w:rFonts w:cs="Calibri"/>
                <w:sz w:val="20"/>
                <w:szCs w:val="20"/>
                <w:lang w:eastAsia="zh-CN"/>
              </w:rPr>
              <w:t>17</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4A2D97B7" w14:textId="6F3A991F">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rPr>
              <w:t>Dong et al. (2016)</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09DCA0F0" w:rsidP="2B7FFB25" w:rsidRDefault="09DCA0F0" w14:paraId="30EE3674"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7AA2DE44" w14:textId="18238D2F">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2186" w:type="dxa"/>
            <w:tcMar/>
          </w:tcPr>
          <w:p w:rsidR="09DCA0F0" w:rsidP="2B7FFB25" w:rsidRDefault="09DCA0F0" w14:paraId="0349D693"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4123DD73" w14:textId="100DECD5">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2251" w:type="dxa"/>
            <w:tcMar/>
          </w:tcPr>
          <w:p w:rsidR="09DCA0F0" w:rsidP="2B7FFB25" w:rsidRDefault="09DCA0F0" w14:paraId="63A9208C"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06082110" w14:textId="31CC8B0F">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r>
      <w:tr w:rsidR="2B7FFB25" w:rsidTr="4F940BA9" w14:paraId="35A72DDE"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793DD8AD" w14:textId="350FF14F">
            <w:pPr>
              <w:jc w:val="center"/>
              <w:rPr>
                <w:rFonts w:hint="eastAsia" w:cs="Calibri"/>
                <w:sz w:val="20"/>
                <w:szCs w:val="20"/>
                <w:lang w:eastAsia="zh-CN"/>
              </w:rPr>
            </w:pPr>
            <w:r w:rsidRPr="2B7FFB25">
              <w:rPr>
                <w:rFonts w:cs="Calibri"/>
                <w:sz w:val="20"/>
                <w:szCs w:val="20"/>
                <w:lang w:eastAsia="zh-CN"/>
              </w:rPr>
              <w:t>12</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68E7753C" w14:textId="6EEEE334">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rPr>
              <w:t>Luo et al. (2011)</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090FB76A" w:rsidP="2B7FFB25" w:rsidRDefault="090FB76A" w14:paraId="355CE0FF"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2544797D" w14:textId="1030D08F">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2186" w:type="dxa"/>
            <w:tcMar/>
          </w:tcPr>
          <w:p w:rsidR="090FB76A" w:rsidP="2B7FFB25" w:rsidRDefault="090FB76A" w14:paraId="50444D09"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79B23C71" w14:textId="7B4D6D3A">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2251" w:type="dxa"/>
            <w:tcMar/>
          </w:tcPr>
          <w:p w:rsidR="090FB76A" w:rsidP="2B7FFB25" w:rsidRDefault="090FB76A" w14:paraId="779D2E3D"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7D732836" w14:textId="5950163B">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r>
      <w:tr w:rsidR="2B7FFB25" w:rsidTr="4F940BA9" w14:paraId="62B6B79A"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703A308E" w14:textId="7FC87F23">
            <w:pPr>
              <w:jc w:val="center"/>
              <w:rPr>
                <w:rFonts w:hint="eastAsia" w:cs="Calibri"/>
                <w:sz w:val="20"/>
                <w:szCs w:val="20"/>
                <w:lang w:eastAsia="zh-CN"/>
              </w:rPr>
            </w:pPr>
            <w:r w:rsidRPr="2B7FFB25">
              <w:rPr>
                <w:rFonts w:cs="Calibri"/>
                <w:sz w:val="20"/>
                <w:szCs w:val="20"/>
                <w:lang w:eastAsia="zh-CN"/>
              </w:rPr>
              <w:t>2</w:t>
            </w:r>
          </w:p>
          <w:p w:rsidR="2B7FFB25" w:rsidP="2B7FFB25" w:rsidRDefault="2B7FFB25" w14:paraId="59A3E357" w14:textId="7C20EA47">
            <w:pPr>
              <w:jc w:val="center"/>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2B00600D" w14:textId="7E07EB76">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rPr>
              <w:t>Antunes et al. (2022)</w:t>
            </w:r>
          </w:p>
        </w:tc>
        <w:tc>
          <w:tcPr>
            <w:cnfStyle w:val="000000000000" w:firstRow="0" w:lastRow="0" w:firstColumn="0" w:lastColumn="0" w:oddVBand="0" w:evenVBand="0" w:oddHBand="0" w:evenHBand="0" w:firstRowFirstColumn="0" w:firstRowLastColumn="0" w:lastRowFirstColumn="0" w:lastRowLastColumn="0"/>
            <w:tcW w:w="1995" w:type="dxa"/>
            <w:tcMar/>
          </w:tcPr>
          <w:p w:rsidR="139B3724" w:rsidP="139B3724" w:rsidRDefault="139B3724" w14:paraId="278D5FE4" w14:textId="1BB713DA">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sz w:val="20"/>
                <w:szCs w:val="20"/>
              </w:rPr>
            </w:pPr>
            <w:r w:rsidRPr="139B3724">
              <w:rPr>
                <w:rFonts w:ascii="Aptos" w:hAnsi="Aptos" w:eastAsia="Aptos" w:cs="Aptos"/>
                <w:color w:val="000000" w:themeColor="text1"/>
                <w:sz w:val="20"/>
                <w:szCs w:val="20"/>
              </w:rPr>
              <w:t>Bank profitability, bank size, expenses management, traditional business and non-traditional</w:t>
            </w:r>
          </w:p>
          <w:p w:rsidRPr="139B3724" w:rsidR="139B3724" w:rsidP="139B3724" w:rsidRDefault="139B3724" w14:paraId="0438EF3D" w14:textId="3D2832E8">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sz w:val="20"/>
                <w:szCs w:val="20"/>
              </w:rPr>
            </w:pPr>
            <w:r w:rsidRPr="139B3724">
              <w:rPr>
                <w:rFonts w:ascii="Aptos" w:hAnsi="Aptos" w:eastAsia="Aptos" w:cs="Aptos"/>
                <w:color w:val="000000" w:themeColor="text1"/>
                <w:sz w:val="20"/>
                <w:szCs w:val="20"/>
              </w:rPr>
              <w:t>business</w:t>
            </w:r>
          </w:p>
        </w:tc>
        <w:tc>
          <w:tcPr>
            <w:cnfStyle w:val="000000000000" w:firstRow="0" w:lastRow="0" w:firstColumn="0" w:lastColumn="0" w:oddVBand="0" w:evenVBand="0" w:oddHBand="0" w:evenHBand="0" w:firstRowFirstColumn="0" w:firstRowLastColumn="0" w:lastRowFirstColumn="0" w:lastRowLastColumn="0"/>
            <w:tcW w:w="2186" w:type="dxa"/>
            <w:tcMar/>
          </w:tcPr>
          <w:p w:rsidRPr="139B3724" w:rsidR="139B3724" w:rsidP="139B3724" w:rsidRDefault="139B3724" w14:paraId="101EDB4C" w14:textId="066AC8D6">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color w:val="000000" w:themeColor="text1"/>
                <w:sz w:val="20"/>
                <w:szCs w:val="20"/>
              </w:rPr>
            </w:pPr>
            <w:r w:rsidRPr="139B3724">
              <w:rPr>
                <w:rFonts w:ascii="Aptos" w:hAnsi="Aptos" w:eastAsia="Aptos" w:cs="Aptos"/>
                <w:color w:val="000000" w:themeColor="text1"/>
                <w:sz w:val="20"/>
                <w:szCs w:val="20"/>
              </w:rPr>
              <w:t>technical efficiency</w:t>
            </w:r>
          </w:p>
        </w:tc>
        <w:tc>
          <w:tcPr>
            <w:cnfStyle w:val="000000000000" w:firstRow="0" w:lastRow="0" w:firstColumn="0" w:lastColumn="0" w:oddVBand="0" w:evenVBand="0" w:oddHBand="0" w:evenHBand="0" w:firstRowFirstColumn="0" w:firstRowLastColumn="0" w:lastRowFirstColumn="0" w:lastRowLastColumn="0"/>
            <w:tcW w:w="2251" w:type="dxa"/>
            <w:gridSpan w:val="2"/>
            <w:tcMar/>
          </w:tcPr>
          <w:p w:rsidR="139B3724" w:rsidP="139B3724" w:rsidRDefault="139B3724" w14:paraId="63E555A3" w14:textId="44D24D09">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bank size (natural</w:t>
            </w:r>
          </w:p>
          <w:p w:rsidR="139B3724" w:rsidP="139B3724" w:rsidRDefault="139B3724" w14:paraId="76636C7A" w14:textId="4C2C5487">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logarithm of total assets),</w:t>
            </w:r>
          </w:p>
          <w:p w:rsidR="139B3724" w:rsidP="139B3724" w:rsidRDefault="139B3724" w14:paraId="38C03A9A" w14:textId="76AC098D">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 xml:space="preserve"> bank profitability (return on assets),</w:t>
            </w:r>
          </w:p>
          <w:p w:rsidR="139B3724" w:rsidP="139B3724" w:rsidRDefault="139B3724" w14:paraId="2FCAA46F" w14:textId="0267679F">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 xml:space="preserve"> expense management (the</w:t>
            </w:r>
          </w:p>
          <w:p w:rsidR="139B3724" w:rsidP="139B3724" w:rsidRDefault="139B3724" w14:paraId="74757E39" w14:textId="30A8DD2C">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sum of total interest expenses and non-interest expenses over total assets); traditional bank</w:t>
            </w:r>
          </w:p>
          <w:p w:rsidR="139B3724" w:rsidP="139B3724" w:rsidRDefault="139B3724" w14:paraId="5BDE9F4D" w14:textId="42120CAC">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business (the ratio of interest income to total assets); and non-traditional bank business (the</w:t>
            </w:r>
          </w:p>
          <w:p w:rsidRPr="139B3724" w:rsidR="139B3724" w:rsidP="139B3724" w:rsidRDefault="139B3724" w14:paraId="681ADE29" w14:textId="4B4D731E">
            <w:pPr>
              <w:jc w:val="both"/>
              <w:cnfStyle w:val="000000000000" w:firstRow="0" w:lastRow="0" w:firstColumn="0" w:lastColumn="0" w:oddVBand="0" w:evenVBand="0" w:oddHBand="0" w:evenHBand="0" w:firstRowFirstColumn="0" w:firstRowLastColumn="0" w:lastRowFirstColumn="0" w:lastRowLastColumn="0"/>
              <w:rPr>
                <w:rFonts w:ascii="Aptos" w:hAnsi="Aptos" w:eastAsia="Aptos" w:cs="Aptos"/>
                <w:sz w:val="20"/>
                <w:szCs w:val="20"/>
              </w:rPr>
            </w:pPr>
            <w:r w:rsidRPr="139B3724">
              <w:rPr>
                <w:rFonts w:ascii="Aptos" w:hAnsi="Aptos" w:eastAsia="Aptos" w:cs="Aptos"/>
                <w:sz w:val="20"/>
                <w:szCs w:val="20"/>
              </w:rPr>
              <w:t>ratio of non-interest operating income to total assets).</w:t>
            </w:r>
          </w:p>
        </w:tc>
      </w:tr>
      <w:tr w:rsidR="2B7FFB25" w:rsidTr="4F940BA9" w14:paraId="380F7F74"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38942949" w14:textId="059C9C80">
            <w:pPr>
              <w:jc w:val="center"/>
              <w:rPr>
                <w:rFonts w:hint="eastAsia" w:cs="Calibri"/>
                <w:sz w:val="20"/>
                <w:szCs w:val="20"/>
                <w:lang w:eastAsia="zh-CN"/>
              </w:rPr>
            </w:pPr>
            <w:r w:rsidRPr="2B7FFB25">
              <w:rPr>
                <w:rFonts w:cs="Calibri"/>
                <w:sz w:val="20"/>
                <w:szCs w:val="20"/>
                <w:lang w:eastAsia="zh-CN"/>
              </w:rPr>
              <w:t>46</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70292B2D" w14:textId="1FDC4961">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sz w:val="20"/>
                <w:szCs w:val="20"/>
              </w:rPr>
              <w:t>Bingquan et al. (2019)</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1DB26FB0" w:rsidP="2B7FFB25" w:rsidRDefault="1DB26FB0" w14:paraId="326DD3F5"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7BE75629" w14:textId="7346284F">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2186" w:type="dxa"/>
            <w:tcMar/>
          </w:tcPr>
          <w:p w:rsidR="1DB26FB0" w:rsidP="2B7FFB25" w:rsidRDefault="1DB26FB0" w14:paraId="49DE5497"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40CAB866" w14:textId="7A07B19D">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2251" w:type="dxa"/>
            <w:tcMar/>
          </w:tcPr>
          <w:p w:rsidR="1DB26FB0" w:rsidP="2B7FFB25" w:rsidRDefault="1DB26FB0" w14:paraId="063458DB"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5810BFEA" w14:textId="438D2FE0">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r>
      <w:tr w:rsidR="2B7FFB25" w:rsidTr="4F940BA9" w14:paraId="235E326F" w14:textId="77777777">
        <w:trPr>
          <w:trHeight w:val="320"/>
        </w:trPr>
        <w:tc>
          <w:tcPr>
            <w:cnfStyle w:val="001000000000" w:firstRow="0" w:lastRow="0" w:firstColumn="1" w:lastColumn="0" w:oddVBand="0" w:evenVBand="0" w:oddHBand="0" w:evenHBand="0" w:firstRowFirstColumn="0" w:firstRowLastColumn="0" w:lastRowFirstColumn="0" w:lastRowLastColumn="0"/>
            <w:tcW w:w="1282" w:type="dxa"/>
            <w:tcMar/>
          </w:tcPr>
          <w:p w:rsidR="2B7FFB25" w:rsidP="2B7FFB25" w:rsidRDefault="2B7FFB25" w14:paraId="171B2C87" w14:textId="682078A4">
            <w:pPr>
              <w:jc w:val="center"/>
              <w:rPr>
                <w:rFonts w:hint="eastAsia" w:cs="Calibri"/>
                <w:sz w:val="20"/>
                <w:szCs w:val="20"/>
                <w:lang w:eastAsia="zh-CN"/>
              </w:rPr>
            </w:pPr>
            <w:r w:rsidRPr="2B7FFB25">
              <w:rPr>
                <w:rFonts w:cs="Calibri"/>
                <w:sz w:val="20"/>
                <w:szCs w:val="20"/>
                <w:lang w:eastAsia="zh-CN"/>
              </w:rPr>
              <w:t>42</w:t>
            </w:r>
          </w:p>
        </w:tc>
        <w:tc>
          <w:tcPr>
            <w:cnfStyle w:val="000000000000" w:firstRow="0" w:lastRow="0" w:firstColumn="0" w:lastColumn="0" w:oddVBand="0" w:evenVBand="0" w:oddHBand="0" w:evenHBand="0" w:firstRowFirstColumn="0" w:firstRowLastColumn="0" w:lastRowFirstColumn="0" w:lastRowLastColumn="0"/>
            <w:tcW w:w="1281" w:type="dxa"/>
            <w:tcMar/>
          </w:tcPr>
          <w:p w:rsidR="2B7FFB25" w:rsidP="2B7FFB25" w:rsidRDefault="2B7FFB25" w14:paraId="3F2274FF" w14:textId="7EF06F97">
            <w:pPr>
              <w:jc w:val="center"/>
              <w:cnfStyle w:val="000000000000" w:firstRow="0" w:lastRow="0" w:firstColumn="0" w:lastColumn="0" w:oddVBand="0" w:evenVBand="0" w:oddHBand="0" w:evenHBand="0" w:firstRowFirstColumn="0" w:firstRowLastColumn="0" w:lastRowFirstColumn="0" w:lastRowLastColumn="0"/>
              <w:rPr>
                <w:rFonts w:hint="eastAsia"/>
              </w:rPr>
            </w:pPr>
            <w:r w:rsidRPr="2B7FFB25">
              <w:rPr>
                <w:rFonts w:ascii="Aptos" w:hAnsi="Aptos" w:eastAsia="Aptos" w:cs="Aptos"/>
                <w:b/>
                <w:bCs/>
                <w:sz w:val="20"/>
                <w:szCs w:val="20"/>
              </w:rPr>
              <w:t>Luo et al. (2010)</w:t>
            </w:r>
          </w:p>
        </w:tc>
        <w:tc>
          <w:tcPr>
            <w:cnfStyle w:val="000000000000" w:firstRow="0" w:lastRow="0" w:firstColumn="0" w:lastColumn="0" w:oddVBand="0" w:evenVBand="0" w:oddHBand="0" w:evenHBand="0" w:firstRowFirstColumn="0" w:firstRowLastColumn="0" w:lastRowFirstColumn="0" w:lastRowLastColumn="0"/>
            <w:tcW w:w="1995" w:type="dxa"/>
            <w:gridSpan w:val="2"/>
            <w:tcMar/>
          </w:tcPr>
          <w:p w:rsidR="426D399D" w:rsidP="2B7FFB25" w:rsidRDefault="426D399D" w14:paraId="0D81833C"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31D2CE17" w14:textId="3C89446A">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2186" w:type="dxa"/>
            <w:tcMar/>
          </w:tcPr>
          <w:p w:rsidR="426D399D" w:rsidP="2B7FFB25" w:rsidRDefault="426D399D" w14:paraId="57BE6A9F"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2F079E6D" w14:textId="246ED4CF">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c>
          <w:tcPr>
            <w:cnfStyle w:val="000000000000" w:firstRow="0" w:lastRow="0" w:firstColumn="0" w:lastColumn="0" w:oddVBand="0" w:evenVBand="0" w:oddHBand="0" w:evenHBand="0" w:firstRowFirstColumn="0" w:firstRowLastColumn="0" w:lastRowFirstColumn="0" w:lastRowLastColumn="0"/>
            <w:tcW w:w="2251" w:type="dxa"/>
            <w:tcMar/>
          </w:tcPr>
          <w:p w:rsidR="426D399D" w:rsidP="2B7FFB25" w:rsidRDefault="426D399D" w14:paraId="3537CFBF" w14:textId="69657EE8">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r w:rsidRPr="2B7FFB25">
              <w:rPr>
                <w:rFonts w:cs="Calibri"/>
                <w:sz w:val="20"/>
                <w:szCs w:val="20"/>
                <w:lang w:eastAsia="zh-CN"/>
              </w:rPr>
              <w:t>n/a</w:t>
            </w:r>
          </w:p>
          <w:p w:rsidR="2B7FFB25" w:rsidP="2B7FFB25" w:rsidRDefault="2B7FFB25" w14:paraId="6ACCDDB7" w14:textId="0A6159E6">
            <w:pPr>
              <w:spacing w:line="259" w:lineRule="auto"/>
              <w:jc w:val="both"/>
              <w:cnfStyle w:val="000000000000" w:firstRow="0" w:lastRow="0" w:firstColumn="0" w:lastColumn="0" w:oddVBand="0" w:evenVBand="0" w:oddHBand="0" w:evenHBand="0" w:firstRowFirstColumn="0" w:firstRowLastColumn="0" w:lastRowFirstColumn="0" w:lastRowLastColumn="0"/>
              <w:rPr>
                <w:rFonts w:hint="eastAsia" w:cs="Calibri"/>
                <w:sz w:val="20"/>
                <w:szCs w:val="20"/>
                <w:lang w:eastAsia="zh-CN"/>
              </w:rPr>
            </w:pPr>
          </w:p>
        </w:tc>
      </w:tr>
      <w:tr w:rsidR="4F940BA9" w:rsidTr="4F940BA9" w14:paraId="7A502811">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0E2B1B85" w:rsidP="4F940BA9" w:rsidRDefault="0E2B1B85" w14:paraId="6210D45F" w14:textId="580AF70C">
            <w:pPr>
              <w:pStyle w:val="Normal"/>
              <w:jc w:val="center"/>
              <w:rPr>
                <w:rFonts w:cs="Calibri"/>
                <w:sz w:val="20"/>
                <w:szCs w:val="20"/>
                <w:lang w:eastAsia="zh-CN"/>
              </w:rPr>
            </w:pPr>
            <w:r w:rsidRPr="4F940BA9" w:rsidR="0E2B1B85">
              <w:rPr>
                <w:rFonts w:cs="Calibri"/>
                <w:sz w:val="20"/>
                <w:szCs w:val="20"/>
                <w:lang w:eastAsia="zh-CN"/>
              </w:rPr>
              <w:t>4</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3338E121" w14:textId="5490D326">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Wang et al. (2014)</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5AE27A0B" w14:textId="36BCD5B4">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p w:rsidR="4F940BA9" w:rsidP="4F940BA9" w:rsidRDefault="4F940BA9" w14:paraId="2E6D7784" w14:textId="6CDC2A56">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44802F1E" w14:textId="6A31B71F">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79508FBB" w:rsidP="4F940BA9" w:rsidRDefault="79508FBB" w14:paraId="5FB4C101" w14:textId="241D9D23">
            <w:pPr>
              <w:pStyle w:val="Normal"/>
              <w:spacing w:line="259" w:lineRule="auto"/>
              <w:jc w:val="both"/>
              <w:rPr>
                <w:rFonts w:cs="Calibri"/>
                <w:sz w:val="20"/>
                <w:szCs w:val="20"/>
                <w:lang w:eastAsia="zh-CN"/>
              </w:rPr>
            </w:pPr>
            <w:r w:rsidRPr="4F940BA9" w:rsidR="79508FBB">
              <w:rPr>
                <w:rFonts w:cs="Calibri"/>
                <w:sz w:val="20"/>
                <w:szCs w:val="20"/>
                <w:lang w:eastAsia="zh-CN"/>
              </w:rPr>
              <w:t>n\a</w:t>
            </w:r>
          </w:p>
        </w:tc>
      </w:tr>
      <w:tr w:rsidR="4F940BA9" w:rsidTr="4F940BA9" w14:paraId="3780FE28">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5DD59675" w:rsidP="4F940BA9" w:rsidRDefault="5DD59675" w14:paraId="0D3335A6" w14:textId="738F486D">
            <w:pPr>
              <w:pStyle w:val="Normal"/>
              <w:jc w:val="center"/>
              <w:rPr>
                <w:rFonts w:cs="Calibri"/>
                <w:sz w:val="20"/>
                <w:szCs w:val="20"/>
                <w:lang w:eastAsia="zh-CN"/>
              </w:rPr>
            </w:pPr>
            <w:r w:rsidRPr="4F940BA9" w:rsidR="5DD59675">
              <w:rPr>
                <w:rFonts w:cs="Calibri"/>
                <w:sz w:val="20"/>
                <w:szCs w:val="20"/>
                <w:lang w:eastAsia="zh-CN"/>
              </w:rPr>
              <w:t>14</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6E38A918" w14:textId="49C3D0FE">
            <w:pPr>
              <w:spacing w:before="0" w:beforeAutospacing="off" w:after="0" w:afterAutospacing="off"/>
              <w:ind w:left="-20" w:right="-20"/>
              <w:jc w:val="both"/>
            </w:pPr>
            <w:r w:rsidRPr="4F940BA9" w:rsidR="4F940BA9">
              <w:rPr>
                <w:rFonts w:ascii="Arial" w:hAnsi="Arial" w:eastAsia="Arial" w:cs="Arial"/>
                <w:b w:val="1"/>
                <w:bCs w:val="1"/>
                <w:color w:val="222222"/>
                <w:sz w:val="20"/>
                <w:szCs w:val="20"/>
                <w:lang w:val="en-GB"/>
              </w:rPr>
              <w:t>Fukuyama, H., Tsionas, M. and Tan, Y.,</w:t>
            </w:r>
            <w:r w:rsidRPr="4F940BA9" w:rsidR="4F940BA9">
              <w:rPr>
                <w:rFonts w:ascii="Calibri" w:hAnsi="Calibri" w:eastAsia="Calibri" w:cs="Calibri"/>
                <w:b w:val="1"/>
                <w:bCs w:val="1"/>
                <w:sz w:val="20"/>
                <w:szCs w:val="20"/>
                <w:lang w:val="en-GB"/>
              </w:rPr>
              <w:t xml:space="preserve"> (2023) </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6C2F0ABE" w14:textId="27E11FBF">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p w:rsidR="4F940BA9" w:rsidP="4F940BA9" w:rsidRDefault="4F940BA9" w14:paraId="47D192FD" w14:textId="79677473">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6AFF9974" w14:textId="4931934F">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373D4CAD" w:rsidP="4F940BA9" w:rsidRDefault="373D4CAD" w14:paraId="0FB885A7" w14:textId="674AB1C1">
            <w:pPr>
              <w:pStyle w:val="Normal"/>
              <w:spacing w:line="259" w:lineRule="auto"/>
              <w:jc w:val="both"/>
              <w:rPr>
                <w:rFonts w:cs="Calibri"/>
                <w:sz w:val="20"/>
                <w:szCs w:val="20"/>
                <w:lang w:eastAsia="zh-CN"/>
              </w:rPr>
            </w:pPr>
            <w:r w:rsidRPr="4F940BA9" w:rsidR="373D4CAD">
              <w:rPr>
                <w:rFonts w:cs="Calibri"/>
                <w:sz w:val="20"/>
                <w:szCs w:val="20"/>
                <w:lang w:eastAsia="zh-CN"/>
              </w:rPr>
              <w:t>n\a</w:t>
            </w:r>
          </w:p>
        </w:tc>
      </w:tr>
      <w:tr w:rsidR="4F940BA9" w:rsidTr="4F940BA9" w14:paraId="47A1E064">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52B264F8" w:rsidP="4F940BA9" w:rsidRDefault="52B264F8" w14:paraId="1EFB45BB" w14:textId="10133B69">
            <w:pPr>
              <w:pStyle w:val="Normal"/>
              <w:jc w:val="center"/>
              <w:rPr>
                <w:rFonts w:cs="Calibri"/>
                <w:sz w:val="20"/>
                <w:szCs w:val="20"/>
                <w:lang w:eastAsia="zh-CN"/>
              </w:rPr>
            </w:pPr>
            <w:r w:rsidRPr="4F940BA9" w:rsidR="52B264F8">
              <w:rPr>
                <w:rFonts w:cs="Calibri"/>
                <w:sz w:val="20"/>
                <w:szCs w:val="20"/>
                <w:lang w:eastAsia="zh-CN"/>
              </w:rPr>
              <w:t>19</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2103DE9B" w14:textId="603B53A1">
            <w:pPr>
              <w:spacing w:before="0" w:beforeAutospacing="off" w:after="0" w:afterAutospacing="off"/>
              <w:ind w:left="-20" w:right="-20"/>
              <w:jc w:val="both"/>
            </w:pPr>
            <w:r w:rsidRPr="4F940BA9" w:rsidR="4F940BA9">
              <w:rPr>
                <w:rFonts w:ascii="Arial" w:hAnsi="Arial" w:eastAsia="Arial" w:cs="Arial"/>
                <w:b w:val="1"/>
                <w:bCs w:val="1"/>
                <w:color w:val="222222"/>
                <w:sz w:val="20"/>
                <w:szCs w:val="20"/>
                <w:lang w:val="en-GB"/>
              </w:rPr>
              <w:t xml:space="preserve">Zhou, X.,(2019) </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0567B766" w14:textId="48DC4F3E">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p w:rsidR="4F940BA9" w:rsidP="4F940BA9" w:rsidRDefault="4F940BA9" w14:paraId="73AC9C0B" w14:textId="1E7AC929">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1157F8FA" w14:textId="01135B8C">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20FC3106" w:rsidP="4F940BA9" w:rsidRDefault="20FC3106" w14:paraId="62E512E4" w14:textId="2FB70212">
            <w:pPr>
              <w:pStyle w:val="Normal"/>
              <w:spacing w:line="259" w:lineRule="auto"/>
              <w:jc w:val="both"/>
              <w:rPr>
                <w:rFonts w:cs="Calibri"/>
                <w:sz w:val="20"/>
                <w:szCs w:val="20"/>
                <w:lang w:eastAsia="zh-CN"/>
              </w:rPr>
            </w:pPr>
            <w:r w:rsidRPr="4F940BA9" w:rsidR="20FC3106">
              <w:rPr>
                <w:rFonts w:cs="Calibri"/>
                <w:sz w:val="20"/>
                <w:szCs w:val="20"/>
                <w:lang w:eastAsia="zh-CN"/>
              </w:rPr>
              <w:t>n\a</w:t>
            </w:r>
          </w:p>
        </w:tc>
      </w:tr>
      <w:tr w:rsidR="4F940BA9" w:rsidTr="4F940BA9" w14:paraId="06B2D28E">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0D75131F" w:rsidP="4F940BA9" w:rsidRDefault="0D75131F" w14:paraId="4918CA68" w14:textId="468EF87C">
            <w:pPr>
              <w:pStyle w:val="Normal"/>
              <w:jc w:val="center"/>
              <w:rPr>
                <w:rFonts w:cs="Calibri"/>
                <w:sz w:val="20"/>
                <w:szCs w:val="20"/>
                <w:lang w:eastAsia="zh-CN"/>
              </w:rPr>
            </w:pPr>
            <w:r w:rsidRPr="4F940BA9" w:rsidR="0D75131F">
              <w:rPr>
                <w:rFonts w:cs="Calibri"/>
                <w:sz w:val="20"/>
                <w:szCs w:val="20"/>
                <w:lang w:eastAsia="zh-CN"/>
              </w:rPr>
              <w:t>29</w:t>
            </w:r>
          </w:p>
        </w:tc>
        <w:tc>
          <w:tcPr>
            <w:cnfStyle w:val="000000000000" w:firstRow="0" w:lastRow="0" w:firstColumn="0" w:lastColumn="0" w:oddVBand="0" w:evenVBand="0" w:oddHBand="0" w:evenHBand="0" w:firstRowFirstColumn="0" w:firstRowLastColumn="0" w:lastRowFirstColumn="0" w:lastRowLastColumn="0"/>
            <w:tcW w:w="1287" w:type="dxa"/>
            <w:tcMar/>
          </w:tcPr>
          <w:p w:rsidR="19FE1D23" w:rsidP="4F940BA9" w:rsidRDefault="19FE1D23" w14:paraId="22DE13FD" w14:textId="668BFD07">
            <w:pPr>
              <w:spacing w:before="0" w:beforeAutospacing="off" w:after="0" w:afterAutospacing="off"/>
              <w:ind w:left="-20" w:right="-20"/>
              <w:jc w:val="both"/>
            </w:pPr>
            <w:r w:rsidRPr="4F940BA9" w:rsidR="19FE1D23">
              <w:rPr>
                <w:rFonts w:ascii="Arial" w:hAnsi="Arial" w:eastAsia="Arial" w:cs="Arial"/>
                <w:b w:val="1"/>
                <w:bCs w:val="1"/>
                <w:color w:val="222222"/>
                <w:sz w:val="20"/>
                <w:szCs w:val="20"/>
                <w:lang w:val="en-GB"/>
              </w:rPr>
              <w:t xml:space="preserve"> </w:t>
            </w:r>
            <w:r w:rsidRPr="4F940BA9" w:rsidR="4F940BA9">
              <w:rPr>
                <w:rFonts w:ascii="Arial" w:hAnsi="Arial" w:eastAsia="Arial" w:cs="Arial"/>
                <w:b w:val="1"/>
                <w:bCs w:val="1"/>
                <w:color w:val="222222"/>
                <w:sz w:val="20"/>
                <w:szCs w:val="20"/>
                <w:lang w:val="en-GB"/>
              </w:rPr>
              <w:t xml:space="preserve">Boussemart, J.P. (2019) </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09382B35" w14:textId="556EA88C">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p w:rsidR="4F940BA9" w:rsidP="4F940BA9" w:rsidRDefault="4F940BA9" w14:paraId="61EDC7FA" w14:textId="35FF447B">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2F6AFDC2" w14:textId="7096AC01">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61173E5E" w:rsidP="4F940BA9" w:rsidRDefault="61173E5E" w14:paraId="4D15F901" w14:textId="61EB2188">
            <w:pPr>
              <w:pStyle w:val="Normal"/>
              <w:spacing w:line="259" w:lineRule="auto"/>
              <w:jc w:val="both"/>
              <w:rPr>
                <w:rFonts w:cs="Calibri"/>
                <w:sz w:val="20"/>
                <w:szCs w:val="20"/>
                <w:lang w:eastAsia="zh-CN"/>
              </w:rPr>
            </w:pPr>
            <w:r w:rsidRPr="4F940BA9" w:rsidR="61173E5E">
              <w:rPr>
                <w:rFonts w:cs="Calibri"/>
                <w:sz w:val="20"/>
                <w:szCs w:val="20"/>
                <w:lang w:eastAsia="zh-CN"/>
              </w:rPr>
              <w:t>n\a</w:t>
            </w:r>
          </w:p>
        </w:tc>
      </w:tr>
      <w:tr w:rsidR="4F940BA9" w:rsidTr="4F940BA9" w14:paraId="1303025C">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679B29DB" w:rsidP="4F940BA9" w:rsidRDefault="679B29DB" w14:paraId="68316749" w14:textId="2390A7AD">
            <w:pPr>
              <w:pStyle w:val="Normal"/>
              <w:jc w:val="center"/>
              <w:rPr>
                <w:rFonts w:cs="Calibri"/>
                <w:sz w:val="20"/>
                <w:szCs w:val="20"/>
                <w:lang w:eastAsia="zh-CN"/>
              </w:rPr>
            </w:pPr>
            <w:r w:rsidRPr="4F940BA9" w:rsidR="679B29DB">
              <w:rPr>
                <w:rFonts w:cs="Calibri"/>
                <w:sz w:val="20"/>
                <w:szCs w:val="20"/>
                <w:lang w:eastAsia="zh-CN"/>
              </w:rPr>
              <w:t>48</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738C31F8" w14:textId="5581FB82">
            <w:pPr>
              <w:spacing w:before="0" w:beforeAutospacing="off" w:after="0" w:afterAutospacing="off"/>
              <w:ind w:left="-20" w:right="-20"/>
              <w:jc w:val="both"/>
            </w:pPr>
            <w:r w:rsidRPr="4F940BA9" w:rsidR="4F940BA9">
              <w:rPr>
                <w:rFonts w:ascii="Calibri" w:hAnsi="Calibri" w:eastAsia="Calibri" w:cs="Calibri"/>
                <w:b w:val="1"/>
                <w:bCs w:val="1"/>
                <w:sz w:val="22"/>
                <w:szCs w:val="22"/>
                <w:lang w:val="en-GB"/>
              </w:rPr>
              <w:t xml:space="preserve">Yan Luo, </w:t>
            </w:r>
            <w:r w:rsidRPr="4F940BA9" w:rsidR="4F940BA9">
              <w:rPr>
                <w:rFonts w:ascii="Calibri" w:hAnsi="Calibri" w:eastAsia="Calibri" w:cs="Calibri"/>
                <w:b w:val="1"/>
                <w:bCs w:val="1"/>
                <w:sz w:val="22"/>
                <w:szCs w:val="22"/>
                <w:lang w:val="en-GB"/>
              </w:rPr>
              <w:t>Gongbing</w:t>
            </w:r>
            <w:r w:rsidRPr="4F940BA9" w:rsidR="4F940BA9">
              <w:rPr>
                <w:rFonts w:ascii="Calibri" w:hAnsi="Calibri" w:eastAsia="Calibri" w:cs="Calibri"/>
                <w:b w:val="1"/>
                <w:bCs w:val="1"/>
                <w:sz w:val="22"/>
                <w:szCs w:val="22"/>
                <w:lang w:val="en-GB"/>
              </w:rPr>
              <w:t xml:space="preserve"> Bi, Liang </w:t>
            </w:r>
            <w:r w:rsidRPr="4F940BA9" w:rsidR="4F940BA9">
              <w:rPr>
                <w:rFonts w:ascii="Calibri" w:hAnsi="Calibri" w:eastAsia="Calibri" w:cs="Calibri"/>
                <w:b w:val="1"/>
                <w:bCs w:val="1"/>
                <w:sz w:val="22"/>
                <w:szCs w:val="22"/>
                <w:lang w:val="en-GB"/>
              </w:rPr>
              <w:t>Liang</w:t>
            </w:r>
            <w:r w:rsidRPr="4F940BA9" w:rsidR="4F940BA9">
              <w:rPr>
                <w:rFonts w:ascii="Calibri" w:hAnsi="Calibri" w:eastAsia="Calibri" w:cs="Calibri"/>
                <w:b w:val="1"/>
                <w:bCs w:val="1"/>
                <w:sz w:val="22"/>
                <w:szCs w:val="22"/>
                <w:lang w:val="en-GB"/>
              </w:rPr>
              <w:t xml:space="preserve"> (2012) </w:t>
            </w:r>
            <w:r w:rsidRPr="4F940BA9" w:rsidR="564480B1">
              <w:rPr>
                <w:rFonts w:ascii="Calibri" w:hAnsi="Calibri" w:eastAsia="Calibri" w:cs="Calibri"/>
                <w:b w:val="1"/>
                <w:bCs w:val="1"/>
                <w:sz w:val="22"/>
                <w:szCs w:val="22"/>
                <w:lang w:val="en-GB"/>
              </w:rPr>
              <w:t xml:space="preserve"> </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156D64A2" w14:textId="4E6318DD">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p w:rsidR="4F940BA9" w:rsidP="4F940BA9" w:rsidRDefault="4F940BA9" w14:paraId="6107E2E1" w14:textId="3CCD31B1">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4FFD639A" w14:textId="0BAA2F00">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4F940BA9" w:rsidP="4F940BA9" w:rsidRDefault="4F940BA9" w14:paraId="5278E8E3" w14:textId="4C8C1282">
            <w:pPr>
              <w:pStyle w:val="Normal"/>
              <w:spacing w:line="259" w:lineRule="auto"/>
              <w:jc w:val="both"/>
              <w:rPr>
                <w:rFonts w:cs="Calibri"/>
                <w:sz w:val="20"/>
                <w:szCs w:val="20"/>
                <w:lang w:eastAsia="zh-CN"/>
              </w:rPr>
            </w:pPr>
          </w:p>
        </w:tc>
      </w:tr>
      <w:tr w:rsidR="4F940BA9" w:rsidTr="4F940BA9" w14:paraId="0FA23EA4">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75BEBCB2" w:rsidP="4F940BA9" w:rsidRDefault="75BEBCB2" w14:paraId="18E690D5" w14:textId="5D05BD01">
            <w:pPr>
              <w:pStyle w:val="Normal"/>
              <w:jc w:val="center"/>
              <w:rPr>
                <w:rFonts w:cs="Calibri"/>
                <w:sz w:val="20"/>
                <w:szCs w:val="20"/>
                <w:lang w:eastAsia="zh-CN"/>
              </w:rPr>
            </w:pPr>
            <w:r w:rsidRPr="4F940BA9" w:rsidR="75BEBCB2">
              <w:rPr>
                <w:rFonts w:cs="Calibri"/>
                <w:sz w:val="20"/>
                <w:szCs w:val="20"/>
                <w:lang w:eastAsia="zh-CN"/>
              </w:rPr>
              <w:t>47</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5E4C449A" w14:textId="2D9006CD">
            <w:pPr>
              <w:spacing w:before="0" w:beforeAutospacing="off" w:after="0" w:afterAutospacing="off"/>
              <w:ind w:left="-20" w:right="-20"/>
              <w:jc w:val="both"/>
            </w:pPr>
            <w:r w:rsidRPr="4F940BA9" w:rsidR="4F940BA9">
              <w:rPr>
                <w:rFonts w:ascii="Calibri" w:hAnsi="Calibri" w:eastAsia="Calibri" w:cs="Calibri"/>
                <w:b w:val="1"/>
                <w:bCs w:val="1"/>
                <w:sz w:val="21"/>
                <w:szCs w:val="21"/>
                <w:highlight w:val="yellow"/>
                <w:lang w:val="en-GB"/>
              </w:rPr>
              <w:t>Jorge Antunes(2024)</w:t>
            </w:r>
            <w:r w:rsidRPr="4F940BA9" w:rsidR="4F940BA9">
              <w:rPr>
                <w:rFonts w:ascii="Calibri" w:hAnsi="Calibri" w:eastAsia="Calibri" w:cs="Calibri"/>
                <w:b w:val="1"/>
                <w:bCs w:val="1"/>
                <w:sz w:val="21"/>
                <w:szCs w:val="21"/>
                <w:lang w:val="en-GB"/>
              </w:rPr>
              <w:t xml:space="preserve"> </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761627FC" w:rsidP="4F940BA9" w:rsidRDefault="761627FC" w14:paraId="16A822FF" w14:textId="7CBEF96A">
            <w:pPr>
              <w:spacing w:before="0" w:beforeAutospacing="off" w:after="0" w:afterAutospacing="off"/>
              <w:ind w:left="-20" w:right="-20"/>
              <w:jc w:val="both"/>
              <w:rPr>
                <w:rFonts w:ascii="Calibri" w:hAnsi="Calibri" w:eastAsia="Calibri" w:cs="Calibri"/>
                <w:b w:val="1"/>
                <w:bCs w:val="1"/>
                <w:sz w:val="20"/>
                <w:szCs w:val="20"/>
                <w:highlight w:val="yellow"/>
                <w:lang w:val="en-GB"/>
              </w:rPr>
            </w:pPr>
            <w:r w:rsidRPr="4F940BA9" w:rsidR="761627FC">
              <w:rPr>
                <w:rFonts w:ascii="Calibri" w:hAnsi="Calibri" w:eastAsia="Calibri" w:cs="Calibri"/>
                <w:b w:val="1"/>
                <w:bCs w:val="1"/>
                <w:sz w:val="20"/>
                <w:szCs w:val="20"/>
                <w:highlight w:val="yellow"/>
                <w:lang w:val="en-GB"/>
              </w:rPr>
              <w:t>n\a</w:t>
            </w:r>
          </w:p>
          <w:p w:rsidR="4F940BA9" w:rsidP="4F940BA9" w:rsidRDefault="4F940BA9" w14:paraId="6C193FBD" w14:textId="23A44A43">
            <w:pPr>
              <w:spacing w:before="0" w:beforeAutospacing="off" w:after="0" w:afterAutospacing="off"/>
              <w:ind w:left="-20" w:right="-20"/>
              <w:jc w:val="both"/>
            </w:pPr>
            <w:r w:rsidRPr="4F940BA9" w:rsidR="4F940BA9">
              <w:rPr>
                <w:rFonts w:ascii="Calibri" w:hAnsi="Calibri" w:eastAsia="Calibri" w:cs="Calibri"/>
                <w:b w:val="1"/>
                <w:bCs w:val="1"/>
                <w:sz w:val="20"/>
                <w:szCs w:val="20"/>
                <w:highlight w:val="yellow"/>
                <w:lang w:val="en-GB"/>
              </w:rPr>
              <w:t>(ask)</w:t>
            </w:r>
          </w:p>
          <w:p w:rsidR="4F940BA9" w:rsidP="4F940BA9" w:rsidRDefault="4F940BA9" w14:paraId="255D104A" w14:textId="6A2A26B8">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 xml:space="preserve"> </w:t>
            </w:r>
          </w:p>
          <w:p w:rsidR="4F940BA9" w:rsidP="4F940BA9" w:rsidRDefault="4F940BA9" w14:paraId="6A225923" w14:textId="241749DE">
            <w:pPr>
              <w:spacing w:before="0" w:beforeAutospacing="off" w:after="0" w:afterAutospacing="off"/>
              <w:ind w:left="-20" w:right="-20"/>
            </w:pPr>
            <w:r w:rsidRPr="4F940BA9" w:rsidR="4F940BA9">
              <w:rPr>
                <w:rFonts w:ascii="Calibri" w:hAnsi="Calibri" w:eastAsia="Calibri" w:cs="Calibri"/>
                <w:b w:val="1"/>
                <w:bCs w:val="1"/>
                <w:sz w:val="22"/>
                <w:szCs w:val="22"/>
                <w:lang w:val="en-GB"/>
              </w:rPr>
              <w:t xml:space="preserve">efficiency scores </w:t>
            </w:r>
          </w:p>
        </w:tc>
        <w:tc>
          <w:tcPr>
            <w:cnfStyle w:val="000000000000" w:firstRow="0" w:lastRow="0" w:firstColumn="0" w:lastColumn="0" w:oddVBand="0" w:evenVBand="0" w:oddHBand="0" w:evenHBand="0" w:firstRowFirstColumn="0" w:firstRowLastColumn="0" w:lastRowFirstColumn="0" w:lastRowLastColumn="0"/>
            <w:tcW w:w="2033" w:type="dxa"/>
            <w:tcMar/>
          </w:tcPr>
          <w:p w:rsidR="40E6AE43" w:rsidP="4F940BA9" w:rsidRDefault="40E6AE43" w14:paraId="242770E1" w14:textId="3F61210C">
            <w:pPr>
              <w:pStyle w:val="Normal"/>
              <w:spacing w:before="0" w:beforeAutospacing="off" w:after="0" w:afterAutospacing="off"/>
              <w:ind w:left="-20" w:right="-20"/>
            </w:pPr>
            <w:r w:rsidRPr="4F940BA9" w:rsidR="40E6AE43">
              <w:rPr>
                <w:rFonts w:ascii="Calibri" w:hAnsi="Calibri" w:eastAsia="Calibri" w:cs="Calibri"/>
                <w:noProof w:val="0"/>
                <w:sz w:val="22"/>
                <w:szCs w:val="22"/>
                <w:lang w:val="en-GB"/>
              </w:rPr>
              <w:t>efficiency scores</w:t>
            </w:r>
          </w:p>
        </w:tc>
        <w:tc>
          <w:tcPr>
            <w:cnfStyle w:val="000000000000" w:firstRow="0" w:lastRow="0" w:firstColumn="0" w:lastColumn="0" w:oddVBand="0" w:evenVBand="0" w:oddHBand="0" w:evenHBand="0" w:firstRowFirstColumn="0" w:firstRowLastColumn="0" w:lastRowFirstColumn="0" w:lastRowLastColumn="0"/>
            <w:tcW w:w="2151" w:type="dxa"/>
            <w:tcMar/>
          </w:tcPr>
          <w:p w:rsidR="40E6AE43" w:rsidP="4F940BA9" w:rsidRDefault="40E6AE43" w14:paraId="1C5DF268" w14:textId="4902E8BA">
            <w:pPr>
              <w:spacing w:before="0" w:beforeAutospacing="off" w:after="0" w:afterAutospacing="off"/>
              <w:ind w:left="-20" w:right="-20"/>
            </w:pPr>
            <w:r w:rsidRPr="4F940BA9" w:rsidR="40E6AE43">
              <w:rPr>
                <w:rFonts w:ascii="Calibri" w:hAnsi="Calibri" w:eastAsia="Calibri" w:cs="Calibri"/>
                <w:b w:val="1"/>
                <w:bCs w:val="1"/>
                <w:sz w:val="22"/>
                <w:szCs w:val="22"/>
                <w:lang w:val="en-GB"/>
              </w:rPr>
              <w:t>bank size (natural logarithm of total assets), bank profitability (return on assets), expense management (the sum of total interest expenses and non-interest expenses over total assets), traditional bank business (the ratio of interest income to total assets), and non-traditional bank business (the ratio of non-interest operating income to total assets)</w:t>
            </w:r>
          </w:p>
          <w:p w:rsidR="40E6AE43" w:rsidP="4F940BA9" w:rsidRDefault="40E6AE43" w14:paraId="2B7CE311" w14:textId="5844E7F1">
            <w:pPr>
              <w:pStyle w:val="Normal"/>
              <w:spacing w:line="259" w:lineRule="auto"/>
              <w:jc w:val="both"/>
              <w:rPr>
                <w:rFonts w:cs="Calibri"/>
                <w:sz w:val="20"/>
                <w:szCs w:val="20"/>
                <w:lang w:eastAsia="zh-CN"/>
              </w:rPr>
            </w:pPr>
            <w:r w:rsidRPr="4F940BA9" w:rsidR="40E6AE43">
              <w:rPr>
                <w:rFonts w:cs="Calibri"/>
                <w:sz w:val="20"/>
                <w:szCs w:val="20"/>
                <w:lang w:eastAsia="zh-CN"/>
              </w:rPr>
              <w:t xml:space="preserve"> </w:t>
            </w:r>
          </w:p>
        </w:tc>
      </w:tr>
      <w:tr w:rsidR="4F940BA9" w:rsidTr="4F940BA9" w14:paraId="04157F70">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386B6DF5" w:rsidP="4F940BA9" w:rsidRDefault="386B6DF5" w14:paraId="186ABD77" w14:textId="124967C3">
            <w:pPr>
              <w:pStyle w:val="Normal"/>
              <w:jc w:val="center"/>
              <w:rPr>
                <w:rFonts w:cs="Calibri"/>
                <w:sz w:val="20"/>
                <w:szCs w:val="20"/>
                <w:lang w:eastAsia="zh-CN"/>
              </w:rPr>
            </w:pPr>
            <w:r w:rsidRPr="4F940BA9" w:rsidR="386B6DF5">
              <w:rPr>
                <w:rFonts w:cs="Calibri"/>
                <w:sz w:val="20"/>
                <w:szCs w:val="20"/>
                <w:lang w:eastAsia="zh-CN"/>
              </w:rPr>
              <w:t>34</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3F9F91C6" w14:textId="5567A676">
            <w:pPr>
              <w:spacing w:before="0" w:beforeAutospacing="off" w:after="0" w:afterAutospacing="off"/>
              <w:ind w:left="-20" w:right="-20"/>
              <w:jc w:val="both"/>
            </w:pPr>
            <w:r w:rsidRPr="4F940BA9" w:rsidR="4F940BA9">
              <w:rPr>
                <w:rFonts w:ascii="Calibri" w:hAnsi="Calibri" w:eastAsia="Calibri" w:cs="Calibri"/>
                <w:b w:val="1"/>
                <w:bCs w:val="1"/>
                <w:sz w:val="24"/>
                <w:szCs w:val="24"/>
              </w:rPr>
              <w:t>Yongjun Li(2019)</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63F31DC0" w14:textId="42D1CEE7">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p w:rsidR="4F940BA9" w:rsidP="4F940BA9" w:rsidRDefault="4F940BA9" w14:paraId="1D14FCFC" w14:textId="0164B034">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45AB295F" w14:textId="30B7F722">
            <w:pPr>
              <w:spacing w:before="0" w:beforeAutospacing="off" w:after="0" w:afterAutospacing="off"/>
              <w:ind w:left="-20" w:right="-20"/>
            </w:pPr>
            <w:r w:rsidRPr="4F940BA9" w:rsidR="4F940BA9">
              <w:rPr>
                <w:rFonts w:ascii="Calibri" w:hAnsi="Calibri" w:eastAsia="Calibri" w:cs="Calibri"/>
                <w:b w:val="1"/>
                <w:bCs w:val="1"/>
                <w:sz w:val="22"/>
                <w:szCs w:val="22"/>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11CC50F4" w:rsidP="4F940BA9" w:rsidRDefault="11CC50F4" w14:paraId="21562EBC" w14:textId="6F9FB415">
            <w:pPr>
              <w:pStyle w:val="Normal"/>
              <w:spacing w:line="259" w:lineRule="auto"/>
              <w:jc w:val="both"/>
              <w:rPr>
                <w:rFonts w:cs="Calibri"/>
                <w:sz w:val="20"/>
                <w:szCs w:val="20"/>
                <w:lang w:eastAsia="zh-CN"/>
              </w:rPr>
            </w:pPr>
            <w:r w:rsidRPr="4F940BA9" w:rsidR="11CC50F4">
              <w:rPr>
                <w:rFonts w:cs="Calibri"/>
                <w:sz w:val="20"/>
                <w:szCs w:val="20"/>
                <w:lang w:eastAsia="zh-CN"/>
              </w:rPr>
              <w:t>n\a</w:t>
            </w:r>
          </w:p>
        </w:tc>
      </w:tr>
      <w:tr w:rsidR="4F940BA9" w:rsidTr="4F940BA9" w14:paraId="71F5C051">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7AF3D112" w:rsidP="4F940BA9" w:rsidRDefault="7AF3D112" w14:paraId="3930E421" w14:textId="2B17180C">
            <w:pPr>
              <w:pStyle w:val="Normal"/>
              <w:jc w:val="center"/>
              <w:rPr>
                <w:rFonts w:cs="Calibri"/>
                <w:sz w:val="20"/>
                <w:szCs w:val="20"/>
                <w:lang w:eastAsia="zh-CN"/>
              </w:rPr>
            </w:pPr>
            <w:r w:rsidRPr="4F940BA9" w:rsidR="7AF3D112">
              <w:rPr>
                <w:rFonts w:cs="Calibri"/>
                <w:sz w:val="20"/>
                <w:szCs w:val="20"/>
                <w:lang w:eastAsia="zh-CN"/>
              </w:rPr>
              <w:t>39</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651092ED" w14:textId="25589303">
            <w:pPr>
              <w:spacing w:before="0" w:beforeAutospacing="off" w:after="0" w:afterAutospacing="off"/>
              <w:ind w:left="-20" w:right="-20"/>
              <w:jc w:val="both"/>
            </w:pPr>
            <w:r w:rsidRPr="4F940BA9" w:rsidR="4F940BA9">
              <w:rPr>
                <w:rFonts w:ascii="Calibri" w:hAnsi="Calibri" w:eastAsia="Calibri" w:cs="Calibri"/>
                <w:b w:val="1"/>
                <w:bCs w:val="1"/>
                <w:sz w:val="22"/>
                <w:szCs w:val="22"/>
                <w:lang w:val="en-GB"/>
              </w:rPr>
              <w:t>Tai-Hsin Huang a, Chung-I Lin b,</w:t>
            </w:r>
            <w:r w:rsidRPr="4F940BA9" w:rsidR="4F940BA9">
              <w:rPr>
                <w:rFonts w:ascii="Segoe UI Symbol" w:hAnsi="Segoe UI Symbol" w:eastAsia="Segoe UI Symbol" w:cs="Segoe UI Symbol"/>
                <w:b w:val="1"/>
                <w:bCs w:val="1"/>
                <w:sz w:val="22"/>
                <w:szCs w:val="22"/>
                <w:lang w:val="en-GB"/>
              </w:rPr>
              <w:t>⁎</w:t>
            </w:r>
            <w:r w:rsidRPr="4F940BA9" w:rsidR="4F940BA9">
              <w:rPr>
                <w:rFonts w:ascii="Calibri" w:hAnsi="Calibri" w:eastAsia="Calibri" w:cs="Calibri"/>
                <w:b w:val="1"/>
                <w:bCs w:val="1"/>
                <w:sz w:val="22"/>
                <w:szCs w:val="22"/>
                <w:lang w:val="en-GB"/>
              </w:rPr>
              <w:t>, Kuan-Chen Chenc(2017)</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41ACB89E" w14:textId="63655E36">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p w:rsidR="4F940BA9" w:rsidP="4F940BA9" w:rsidRDefault="4F940BA9" w14:paraId="7B40980C" w14:textId="32BBF1D3">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37E4CBB4" w14:textId="26CB42A7">
            <w:pPr>
              <w:spacing w:before="0" w:beforeAutospacing="off" w:after="0" w:afterAutospacing="off"/>
              <w:ind w:left="-20" w:right="-20"/>
              <w:jc w:val="both"/>
            </w:pPr>
            <w:r w:rsidRPr="4F940BA9" w:rsidR="4F940BA9">
              <w:rPr>
                <w:rFonts w:ascii="Calibri" w:hAnsi="Calibri" w:eastAsia="Calibri" w:cs="Calibri"/>
                <w:b w:val="1"/>
                <w:bCs w:val="1"/>
                <w:sz w:val="20"/>
                <w:szCs w:val="20"/>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7C7CBE60" w:rsidP="4F940BA9" w:rsidRDefault="7C7CBE60" w14:paraId="55992C9A" w14:textId="4FCFD959">
            <w:pPr>
              <w:pStyle w:val="Normal"/>
              <w:spacing w:line="259" w:lineRule="auto"/>
              <w:jc w:val="both"/>
              <w:rPr>
                <w:rFonts w:cs="Calibri"/>
                <w:sz w:val="20"/>
                <w:szCs w:val="20"/>
                <w:lang w:eastAsia="zh-CN"/>
              </w:rPr>
            </w:pPr>
            <w:r w:rsidRPr="4F940BA9" w:rsidR="7C7CBE60">
              <w:rPr>
                <w:rFonts w:cs="Calibri"/>
                <w:sz w:val="20"/>
                <w:szCs w:val="20"/>
                <w:lang w:eastAsia="zh-CN"/>
              </w:rPr>
              <w:t>n\a</w:t>
            </w:r>
          </w:p>
        </w:tc>
      </w:tr>
      <w:tr w:rsidR="4F940BA9" w:rsidTr="4F940BA9" w14:paraId="427A9438">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5CD23374" w:rsidP="4F940BA9" w:rsidRDefault="5CD23374" w14:paraId="28F5BDEE" w14:textId="7569E5A4">
            <w:pPr>
              <w:pStyle w:val="Normal"/>
              <w:jc w:val="center"/>
              <w:rPr>
                <w:rFonts w:cs="Calibri"/>
                <w:sz w:val="20"/>
                <w:szCs w:val="20"/>
                <w:lang w:eastAsia="zh-CN"/>
              </w:rPr>
            </w:pPr>
            <w:r w:rsidRPr="4F940BA9" w:rsidR="5CD23374">
              <w:rPr>
                <w:rFonts w:cs="Calibri"/>
                <w:sz w:val="20"/>
                <w:szCs w:val="20"/>
                <w:lang w:eastAsia="zh-CN"/>
              </w:rPr>
              <w:t>24</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7DD5C037" w14:textId="4861965A">
            <w:pPr>
              <w:spacing w:before="0" w:beforeAutospacing="off" w:after="0" w:afterAutospacing="off"/>
              <w:ind w:left="-20" w:right="-20"/>
              <w:jc w:val="both"/>
            </w:pPr>
            <w:r w:rsidRPr="4F940BA9" w:rsidR="4F940BA9">
              <w:rPr>
                <w:rFonts w:ascii="Arial" w:hAnsi="Arial" w:eastAsia="Arial" w:cs="Arial"/>
                <w:b w:val="1"/>
                <w:bCs w:val="1"/>
                <w:color w:val="222222"/>
                <w:sz w:val="20"/>
                <w:szCs w:val="20"/>
                <w:highlight w:val="green"/>
                <w:lang w:val="en-GB"/>
              </w:rPr>
              <w:t xml:space="preserve">Shabani, P. and Akbarpour Shirazi, M., (2023) </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71C33B71" w14:textId="52F3C3DF">
            <w:pPr>
              <w:spacing w:before="0" w:beforeAutospacing="off" w:after="0" w:afterAutospacing="off"/>
              <w:ind w:left="-20" w:right="-20"/>
              <w:jc w:val="both"/>
            </w:pPr>
            <w:r w:rsidRPr="4F940BA9" w:rsidR="4F940BA9">
              <w:rPr>
                <w:rFonts w:ascii="Calibri" w:hAnsi="Calibri" w:eastAsia="Calibri" w:cs="Calibri"/>
                <w:b w:val="1"/>
                <w:bCs w:val="1"/>
                <w:sz w:val="20"/>
                <w:szCs w:val="20"/>
                <w:highlight w:val="green"/>
                <w:lang w:val="en-GB"/>
              </w:rPr>
              <w:t>n\a</w:t>
            </w:r>
          </w:p>
          <w:p w:rsidR="4F940BA9" w:rsidP="4F940BA9" w:rsidRDefault="4F940BA9" w14:paraId="69DE4753" w14:textId="6CF24329">
            <w:pPr>
              <w:spacing w:before="0" w:beforeAutospacing="off" w:after="0" w:afterAutospacing="off"/>
              <w:ind w:left="-20" w:right="-20"/>
              <w:jc w:val="both"/>
            </w:pPr>
            <w:r w:rsidRPr="4F940BA9" w:rsidR="4F940BA9">
              <w:rPr>
                <w:rFonts w:ascii="Calibri" w:hAnsi="Calibri" w:eastAsia="Calibri" w:cs="Calibri"/>
                <w:b w:val="1"/>
                <w:bCs w:val="1"/>
                <w:sz w:val="20"/>
                <w:szCs w:val="20"/>
                <w:highlight w:val="green"/>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4CD595FB" w14:textId="026A9DC3">
            <w:pPr>
              <w:spacing w:before="0" w:beforeAutospacing="off" w:after="0" w:afterAutospacing="off"/>
              <w:ind w:left="-20" w:right="-20"/>
              <w:jc w:val="both"/>
            </w:pPr>
            <w:r w:rsidRPr="4F940BA9" w:rsidR="4F940BA9">
              <w:rPr>
                <w:rFonts w:ascii="Calibri" w:hAnsi="Calibri" w:eastAsia="Calibri" w:cs="Calibri"/>
                <w:b w:val="1"/>
                <w:bCs w:val="1"/>
                <w:sz w:val="20"/>
                <w:szCs w:val="20"/>
                <w:highlight w:val="green"/>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5BCF30F9" w:rsidP="4F940BA9" w:rsidRDefault="5BCF30F9" w14:paraId="514952C8" w14:textId="143ACADD">
            <w:pPr>
              <w:pStyle w:val="Normal"/>
              <w:spacing w:line="259" w:lineRule="auto"/>
              <w:jc w:val="both"/>
              <w:rPr>
                <w:rFonts w:cs="Calibri"/>
                <w:sz w:val="20"/>
                <w:szCs w:val="20"/>
                <w:highlight w:val="green"/>
                <w:lang w:eastAsia="zh-CN"/>
              </w:rPr>
            </w:pPr>
            <w:r w:rsidRPr="4F940BA9" w:rsidR="5BCF30F9">
              <w:rPr>
                <w:rFonts w:cs="Calibri"/>
                <w:sz w:val="20"/>
                <w:szCs w:val="20"/>
                <w:highlight w:val="green"/>
                <w:lang w:eastAsia="zh-CN"/>
              </w:rPr>
              <w:t>n\a</w:t>
            </w:r>
          </w:p>
        </w:tc>
      </w:tr>
      <w:tr w:rsidR="4F940BA9" w:rsidTr="4F940BA9" w14:paraId="1B4FB385">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1AC8F568" w:rsidP="4F940BA9" w:rsidRDefault="1AC8F568" w14:paraId="1574DD0D" w14:textId="4CE2CA17">
            <w:pPr>
              <w:pStyle w:val="Normal"/>
              <w:jc w:val="center"/>
              <w:rPr>
                <w:rFonts w:cs="Calibri"/>
                <w:sz w:val="20"/>
                <w:szCs w:val="20"/>
                <w:lang w:eastAsia="zh-CN"/>
              </w:rPr>
            </w:pPr>
            <w:r w:rsidRPr="4F940BA9" w:rsidR="1AC8F568">
              <w:rPr>
                <w:rFonts w:cs="Calibri"/>
                <w:sz w:val="20"/>
                <w:szCs w:val="20"/>
                <w:lang w:eastAsia="zh-CN"/>
              </w:rPr>
              <w:t>49</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44AE230D" w14:textId="03AC4A3F">
            <w:pPr>
              <w:spacing w:before="0" w:beforeAutospacing="off" w:after="0" w:afterAutospacing="off"/>
              <w:ind w:left="-20" w:right="-20"/>
              <w:jc w:val="both"/>
            </w:pPr>
            <w:r w:rsidRPr="4F940BA9" w:rsidR="4F940BA9">
              <w:rPr>
                <w:rFonts w:ascii="Arial" w:hAnsi="Arial" w:eastAsia="Arial" w:cs="Arial"/>
                <w:b w:val="1"/>
                <w:bCs w:val="1"/>
                <w:color w:val="222222"/>
                <w:sz w:val="20"/>
                <w:szCs w:val="20"/>
                <w:highlight w:val="green"/>
                <w:lang w:val="en-GB"/>
              </w:rPr>
              <w:t>Lin, T.T., Lee, C.C. and Chiu, T.F., (2009)</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7BB6A3C7" w14:textId="1D068CA9">
            <w:pPr>
              <w:spacing w:before="0" w:beforeAutospacing="off" w:after="0" w:afterAutospacing="off"/>
              <w:ind w:left="-20" w:right="-20"/>
              <w:jc w:val="both"/>
            </w:pPr>
            <w:r w:rsidRPr="4F940BA9" w:rsidR="4F940BA9">
              <w:rPr>
                <w:rFonts w:ascii="Calibri" w:hAnsi="Calibri" w:eastAsia="Calibri" w:cs="Calibri"/>
                <w:b w:val="1"/>
                <w:bCs w:val="1"/>
                <w:sz w:val="20"/>
                <w:szCs w:val="20"/>
                <w:highlight w:val="green"/>
                <w:lang w:val="en-GB"/>
              </w:rPr>
              <w:t>n\a</w:t>
            </w:r>
          </w:p>
          <w:p w:rsidR="4F940BA9" w:rsidP="4F940BA9" w:rsidRDefault="4F940BA9" w14:paraId="3DEE60B4" w14:textId="283E0E74">
            <w:pPr>
              <w:spacing w:before="0" w:beforeAutospacing="off" w:after="0" w:afterAutospacing="off"/>
              <w:ind w:left="-20" w:right="-20"/>
              <w:jc w:val="both"/>
            </w:pPr>
            <w:r w:rsidRPr="4F940BA9" w:rsidR="4F940BA9">
              <w:rPr>
                <w:rFonts w:ascii="Calibri" w:hAnsi="Calibri" w:eastAsia="Calibri" w:cs="Calibri"/>
                <w:b w:val="1"/>
                <w:bCs w:val="1"/>
                <w:sz w:val="20"/>
                <w:szCs w:val="20"/>
                <w:highlight w:val="green"/>
                <w:lang w:val="en-GB"/>
              </w:rPr>
              <w:t>n\a</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50202A6D" w14:textId="4F714B40">
            <w:pPr>
              <w:spacing w:before="0" w:beforeAutospacing="off" w:after="0" w:afterAutospacing="off"/>
              <w:ind w:left="-20" w:right="-20"/>
              <w:jc w:val="both"/>
            </w:pPr>
            <w:r w:rsidRPr="4F940BA9" w:rsidR="4F940BA9">
              <w:rPr>
                <w:rFonts w:ascii="Calibri" w:hAnsi="Calibri" w:eastAsia="Calibri" w:cs="Calibri"/>
                <w:b w:val="1"/>
                <w:bCs w:val="1"/>
                <w:sz w:val="20"/>
                <w:szCs w:val="20"/>
                <w:highlight w:val="green"/>
                <w:lang w:val="en-GB"/>
              </w:rPr>
              <w:t>n\a</w:t>
            </w:r>
          </w:p>
        </w:tc>
        <w:tc>
          <w:tcPr>
            <w:cnfStyle w:val="000000000000" w:firstRow="0" w:lastRow="0" w:firstColumn="0" w:lastColumn="0" w:oddVBand="0" w:evenVBand="0" w:oddHBand="0" w:evenHBand="0" w:firstRowFirstColumn="0" w:firstRowLastColumn="0" w:lastRowFirstColumn="0" w:lastRowLastColumn="0"/>
            <w:tcW w:w="2151" w:type="dxa"/>
            <w:tcMar/>
          </w:tcPr>
          <w:p w:rsidR="140D7FC7" w:rsidP="4F940BA9" w:rsidRDefault="140D7FC7" w14:paraId="39365976" w14:textId="36C89C7C">
            <w:pPr>
              <w:pStyle w:val="Normal"/>
              <w:spacing w:line="259" w:lineRule="auto"/>
              <w:jc w:val="both"/>
              <w:rPr>
                <w:rFonts w:cs="Calibri"/>
                <w:sz w:val="20"/>
                <w:szCs w:val="20"/>
                <w:highlight w:val="green"/>
                <w:lang w:eastAsia="zh-CN"/>
              </w:rPr>
            </w:pPr>
            <w:r w:rsidRPr="4F940BA9" w:rsidR="140D7FC7">
              <w:rPr>
                <w:rFonts w:cs="Calibri"/>
                <w:sz w:val="20"/>
                <w:szCs w:val="20"/>
                <w:highlight w:val="green"/>
                <w:lang w:eastAsia="zh-CN"/>
              </w:rPr>
              <w:t>n\a</w:t>
            </w:r>
          </w:p>
        </w:tc>
      </w:tr>
      <w:tr w:rsidR="4F940BA9" w:rsidTr="4F940BA9" w14:paraId="450BA5A2">
        <w:trPr>
          <w:trHeight w:val="320"/>
        </w:trPr>
        <w:tc>
          <w:tcPr>
            <w:cnfStyle w:val="001000000000" w:firstRow="0" w:lastRow="0" w:firstColumn="1" w:lastColumn="0" w:oddVBand="0" w:evenVBand="0" w:oddHBand="0" w:evenHBand="0" w:firstRowFirstColumn="0" w:firstRowLastColumn="0" w:lastRowFirstColumn="0" w:lastRowLastColumn="0"/>
            <w:tcW w:w="1182" w:type="dxa"/>
            <w:tcMar/>
          </w:tcPr>
          <w:p w:rsidR="307AF880" w:rsidP="4F940BA9" w:rsidRDefault="307AF880" w14:paraId="60096DBC" w14:textId="44E0DB5F">
            <w:pPr>
              <w:pStyle w:val="Normal"/>
              <w:jc w:val="center"/>
              <w:rPr>
                <w:rFonts w:cs="Calibri"/>
                <w:sz w:val="20"/>
                <w:szCs w:val="20"/>
                <w:lang w:eastAsia="zh-CN"/>
              </w:rPr>
            </w:pPr>
            <w:r w:rsidRPr="4F940BA9" w:rsidR="307AF880">
              <w:rPr>
                <w:rFonts w:cs="Calibri"/>
                <w:sz w:val="20"/>
                <w:szCs w:val="20"/>
                <w:lang w:eastAsia="zh-CN"/>
              </w:rPr>
              <w:t>50</w:t>
            </w:r>
          </w:p>
        </w:tc>
        <w:tc>
          <w:tcPr>
            <w:cnfStyle w:val="000000000000" w:firstRow="0" w:lastRow="0" w:firstColumn="0" w:lastColumn="0" w:oddVBand="0" w:evenVBand="0" w:oddHBand="0" w:evenHBand="0" w:firstRowFirstColumn="0" w:firstRowLastColumn="0" w:lastRowFirstColumn="0" w:lastRowLastColumn="0"/>
            <w:tcW w:w="1287" w:type="dxa"/>
            <w:tcMar/>
          </w:tcPr>
          <w:p w:rsidR="4F940BA9" w:rsidP="4F940BA9" w:rsidRDefault="4F940BA9" w14:paraId="094DF750" w14:textId="72D2C055">
            <w:pPr>
              <w:spacing w:before="0" w:beforeAutospacing="off" w:after="0" w:afterAutospacing="off"/>
              <w:ind w:left="-20" w:right="-20"/>
              <w:rPr>
                <w:rFonts w:ascii="Calibri" w:hAnsi="Calibri" w:eastAsia="Calibri" w:cs="Calibri"/>
                <w:b w:val="1"/>
                <w:bCs w:val="1"/>
                <w:sz w:val="22"/>
                <w:szCs w:val="22"/>
                <w:highlight w:val="yellow"/>
                <w:lang w:val="en-GB"/>
              </w:rPr>
            </w:pPr>
            <w:r w:rsidRPr="4F940BA9" w:rsidR="4F940BA9">
              <w:rPr>
                <w:rFonts w:ascii="Calibri" w:hAnsi="Calibri" w:eastAsia="Calibri" w:cs="Calibri"/>
                <w:b w:val="1"/>
                <w:bCs w:val="1"/>
                <w:sz w:val="22"/>
                <w:szCs w:val="22"/>
                <w:highlight w:val="yellow"/>
                <w:lang w:val="en-GB"/>
              </w:rPr>
              <w:t xml:space="preserve">Iago Cotrim </w:t>
            </w:r>
            <w:r w:rsidRPr="4F940BA9" w:rsidR="4F940BA9">
              <w:rPr>
                <w:rFonts w:ascii="Calibri" w:hAnsi="Calibri" w:eastAsia="Calibri" w:cs="Calibri"/>
                <w:b w:val="1"/>
                <w:bCs w:val="1"/>
                <w:sz w:val="22"/>
                <w:szCs w:val="22"/>
                <w:highlight w:val="yellow"/>
                <w:lang w:val="en-GB"/>
              </w:rPr>
              <w:t>Henriques(</w:t>
            </w:r>
            <w:r w:rsidRPr="4F940BA9" w:rsidR="4F940BA9">
              <w:rPr>
                <w:rFonts w:ascii="Calibri" w:hAnsi="Calibri" w:eastAsia="Calibri" w:cs="Calibri"/>
                <w:b w:val="1"/>
                <w:bCs w:val="1"/>
                <w:sz w:val="22"/>
                <w:szCs w:val="22"/>
                <w:highlight w:val="yellow"/>
                <w:lang w:val="en-GB"/>
              </w:rPr>
              <w:t>2020)</w:t>
            </w:r>
          </w:p>
        </w:tc>
        <w:tc>
          <w:tcPr>
            <w:cnfStyle w:val="000000000000" w:firstRow="0" w:lastRow="0" w:firstColumn="0" w:lastColumn="0" w:oddVBand="0" w:evenVBand="0" w:oddHBand="0" w:evenHBand="0" w:firstRowFirstColumn="0" w:firstRowLastColumn="0" w:lastRowFirstColumn="0" w:lastRowLastColumn="0"/>
            <w:tcW w:w="2342" w:type="dxa"/>
            <w:gridSpan w:val="2"/>
            <w:tcMar/>
          </w:tcPr>
          <w:p w:rsidR="4F940BA9" w:rsidP="4F940BA9" w:rsidRDefault="4F940BA9" w14:paraId="7785FAE8" w14:textId="48FB0F74">
            <w:pPr>
              <w:spacing w:before="0" w:beforeAutospacing="off" w:after="0" w:afterAutospacing="off"/>
              <w:ind w:left="-20" w:right="-20"/>
              <w:jc w:val="both"/>
              <w:rPr>
                <w:rFonts w:ascii="Calibri" w:hAnsi="Calibri" w:eastAsia="Calibri" w:cs="Calibri"/>
                <w:b w:val="1"/>
                <w:bCs w:val="1"/>
                <w:sz w:val="22"/>
                <w:szCs w:val="22"/>
                <w:highlight w:val="yellow"/>
                <w:lang w:val="en-GB"/>
              </w:rPr>
            </w:pPr>
            <w:r w:rsidRPr="4F940BA9" w:rsidR="4F940BA9">
              <w:rPr>
                <w:rFonts w:ascii="Calibri" w:hAnsi="Calibri" w:eastAsia="Calibri" w:cs="Calibri"/>
                <w:b w:val="1"/>
                <w:bCs w:val="1"/>
                <w:sz w:val="22"/>
                <w:szCs w:val="22"/>
                <w:highlight w:val="yellow"/>
                <w:lang w:val="en-GB"/>
              </w:rPr>
              <w:t>(ask) the paper is review of literature</w:t>
            </w:r>
          </w:p>
          <w:p w:rsidR="4F940BA9" w:rsidP="4F940BA9" w:rsidRDefault="4F940BA9" w14:paraId="0FEFAD44" w14:textId="1029980D">
            <w:pPr>
              <w:spacing w:before="0" w:beforeAutospacing="off" w:after="0" w:afterAutospacing="off"/>
              <w:ind w:left="-20" w:right="-20"/>
              <w:jc w:val="both"/>
            </w:pPr>
            <w:r w:rsidRPr="4F940BA9" w:rsidR="4F940BA9">
              <w:rPr>
                <w:rFonts w:ascii="Calibri" w:hAnsi="Calibri" w:eastAsia="Calibri" w:cs="Calibri"/>
                <w:b w:val="1"/>
                <w:bCs w:val="1"/>
                <w:sz w:val="22"/>
                <w:szCs w:val="22"/>
                <w:lang w:val="en-GB"/>
              </w:rPr>
              <w:t>(ask) the paper is review of literature</w:t>
            </w:r>
          </w:p>
        </w:tc>
        <w:tc>
          <w:tcPr>
            <w:cnfStyle w:val="000000000000" w:firstRow="0" w:lastRow="0" w:firstColumn="0" w:lastColumn="0" w:oddVBand="0" w:evenVBand="0" w:oddHBand="0" w:evenHBand="0" w:firstRowFirstColumn="0" w:firstRowLastColumn="0" w:lastRowFirstColumn="0" w:lastRowLastColumn="0"/>
            <w:tcW w:w="2033" w:type="dxa"/>
            <w:tcMar/>
          </w:tcPr>
          <w:p w:rsidR="4F940BA9" w:rsidP="4F940BA9" w:rsidRDefault="4F940BA9" w14:paraId="4A62A28F" w14:textId="078FE89F">
            <w:pPr>
              <w:spacing w:before="0" w:beforeAutospacing="off" w:after="0" w:afterAutospacing="off"/>
              <w:ind w:left="-20" w:right="-20"/>
              <w:jc w:val="both"/>
              <w:rPr>
                <w:rFonts w:ascii="Calibri" w:hAnsi="Calibri" w:eastAsia="Calibri" w:cs="Calibri"/>
                <w:b w:val="1"/>
                <w:bCs w:val="1"/>
                <w:sz w:val="22"/>
                <w:szCs w:val="22"/>
                <w:highlight w:val="yellow"/>
                <w:lang w:val="en-GB"/>
              </w:rPr>
            </w:pPr>
            <w:r w:rsidRPr="4F940BA9" w:rsidR="4F940BA9">
              <w:rPr>
                <w:rFonts w:ascii="Calibri" w:hAnsi="Calibri" w:eastAsia="Calibri" w:cs="Calibri"/>
                <w:b w:val="1"/>
                <w:bCs w:val="1"/>
                <w:sz w:val="22"/>
                <w:szCs w:val="22"/>
                <w:highlight w:val="yellow"/>
                <w:lang w:val="en-GB"/>
              </w:rPr>
              <w:t>(ask) the paper is review of literature</w:t>
            </w:r>
          </w:p>
        </w:tc>
        <w:tc>
          <w:tcPr>
            <w:cnfStyle w:val="000000000000" w:firstRow="0" w:lastRow="0" w:firstColumn="0" w:lastColumn="0" w:oddVBand="0" w:evenVBand="0" w:oddHBand="0" w:evenHBand="0" w:firstRowFirstColumn="0" w:firstRowLastColumn="0" w:lastRowFirstColumn="0" w:lastRowLastColumn="0"/>
            <w:tcW w:w="2151" w:type="dxa"/>
            <w:tcMar/>
          </w:tcPr>
          <w:p w:rsidR="086F512A" w:rsidP="4F940BA9" w:rsidRDefault="086F512A" w14:paraId="64A21E33" w14:textId="078FE89F">
            <w:pPr>
              <w:spacing w:before="0" w:beforeAutospacing="off" w:after="0" w:afterAutospacing="off"/>
              <w:ind w:left="-20" w:right="-20"/>
              <w:jc w:val="both"/>
              <w:rPr>
                <w:rFonts w:ascii="Calibri" w:hAnsi="Calibri" w:eastAsia="Calibri" w:cs="Calibri"/>
                <w:b w:val="1"/>
                <w:bCs w:val="1"/>
                <w:sz w:val="22"/>
                <w:szCs w:val="22"/>
                <w:highlight w:val="yellow"/>
                <w:lang w:val="en-GB"/>
              </w:rPr>
            </w:pPr>
            <w:r w:rsidRPr="4F940BA9" w:rsidR="086F512A">
              <w:rPr>
                <w:rFonts w:ascii="Calibri" w:hAnsi="Calibri" w:eastAsia="Calibri" w:cs="Calibri"/>
                <w:b w:val="1"/>
                <w:bCs w:val="1"/>
                <w:sz w:val="22"/>
                <w:szCs w:val="22"/>
                <w:highlight w:val="yellow"/>
                <w:lang w:val="en-GB"/>
              </w:rPr>
              <w:t>(ask) the paper is review of literature</w:t>
            </w:r>
          </w:p>
          <w:p w:rsidR="4F940BA9" w:rsidP="4F940BA9" w:rsidRDefault="4F940BA9" w14:paraId="3822B5CC" w14:textId="6215650A">
            <w:pPr>
              <w:pStyle w:val="Normal"/>
              <w:spacing w:line="259" w:lineRule="auto"/>
              <w:jc w:val="both"/>
              <w:rPr>
                <w:rFonts w:cs="Calibri"/>
                <w:sz w:val="20"/>
                <w:szCs w:val="20"/>
                <w:highlight w:val="yellow"/>
                <w:lang w:eastAsia="zh-CN"/>
              </w:rPr>
            </w:pPr>
          </w:p>
        </w:tc>
      </w:tr>
    </w:tbl>
    <w:p w:rsidR="4F940BA9" w:rsidRDefault="4F940BA9" w14:paraId="53BA7209" w14:textId="46C66896"/>
    <w:p w:rsidR="002101FF" w:rsidP="002101FF" w:rsidRDefault="002101FF" w14:paraId="5C0C6CC3" w14:textId="77777777">
      <w:pPr>
        <w:pStyle w:val="ListParagraph"/>
        <w:ind w:left="360"/>
        <w:jc w:val="both"/>
        <w:rPr>
          <w:rFonts w:ascii="Calibri" w:hAnsi="Calibri" w:eastAsia="Calibri" w:cs="Calibri"/>
          <w:sz w:val="20"/>
          <w:szCs w:val="20"/>
        </w:rPr>
      </w:pPr>
    </w:p>
    <w:p w:rsidR="4A4924AC" w:rsidP="4F940BA9" w:rsidRDefault="4A4924AC" w14:paraId="47E0E365" w14:textId="4BCD5FF2">
      <w:pPr>
        <w:pStyle w:val="Normal"/>
        <w:spacing w:before="0" w:beforeAutospacing="off" w:after="0" w:afterAutospacing="off"/>
        <w:rPr>
          <w:rFonts w:ascii="Times New Roman" w:hAnsi="Times New Roman" w:eastAsia="Times New Roman" w:cs="Times New Roman"/>
          <w:b w:val="1"/>
          <w:bCs w:val="1"/>
          <w:i w:val="0"/>
          <w:iCs w:val="0"/>
          <w:noProof w:val="0"/>
          <w:sz w:val="24"/>
          <w:szCs w:val="24"/>
          <w:lang w:val="en-US"/>
        </w:rPr>
      </w:pPr>
      <w:r w:rsidRPr="4F940BA9" w:rsidR="4A4924AC">
        <w:rPr>
          <w:rFonts w:ascii="Times New Roman" w:hAnsi="Times New Roman" w:eastAsia="Times New Roman" w:cs="Times New Roman"/>
          <w:b w:val="1"/>
          <w:bCs w:val="1"/>
          <w:i w:val="0"/>
          <w:iCs w:val="0"/>
          <w:noProof w:val="0"/>
          <w:sz w:val="24"/>
          <w:szCs w:val="24"/>
          <w:lang w:val="en-US"/>
        </w:rPr>
        <w:t xml:space="preserve">Drivers of Efficiency in Chinese Banking and Their </w:t>
      </w:r>
      <w:r w:rsidRPr="4F940BA9" w:rsidR="2DDE7DC2">
        <w:rPr>
          <w:rFonts w:ascii="Times New Roman" w:hAnsi="Times New Roman" w:eastAsia="Times New Roman" w:cs="Times New Roman"/>
          <w:b w:val="1"/>
          <w:bCs w:val="1"/>
          <w:noProof w:val="0"/>
          <w:sz w:val="24"/>
          <w:szCs w:val="24"/>
          <w:lang w:val="en-US"/>
        </w:rPr>
        <w:t>Classifying</w:t>
      </w:r>
      <w:r w:rsidRPr="4F940BA9" w:rsidR="4A4924AC">
        <w:rPr>
          <w:rFonts w:ascii="Times New Roman" w:hAnsi="Times New Roman" w:eastAsia="Times New Roman" w:cs="Times New Roman"/>
          <w:b w:val="1"/>
          <w:bCs w:val="1"/>
          <w:i w:val="0"/>
          <w:iCs w:val="0"/>
          <w:noProof w:val="0"/>
          <w:sz w:val="24"/>
          <w:szCs w:val="24"/>
          <w:lang w:val="en-US"/>
        </w:rPr>
        <w:t>:</w:t>
      </w:r>
    </w:p>
    <w:p w:rsidR="4F940BA9" w:rsidP="4F940BA9" w:rsidRDefault="4F940BA9" w14:paraId="7F1A7F20" w14:textId="2DC1E1C2">
      <w:pPr>
        <w:pStyle w:val="Normal"/>
        <w:spacing w:before="0" w:beforeAutospacing="off" w:after="0" w:afterAutospacing="off"/>
        <w:rPr>
          <w:rFonts w:ascii="Times New Roman" w:hAnsi="Times New Roman" w:eastAsia="Times New Roman" w:cs="Times New Roman"/>
          <w:b w:val="1"/>
          <w:bCs w:val="1"/>
          <w:i w:val="0"/>
          <w:iCs w:val="0"/>
          <w:noProof w:val="0"/>
          <w:sz w:val="24"/>
          <w:szCs w:val="24"/>
          <w:lang w:val="en-US"/>
        </w:rPr>
      </w:pPr>
    </w:p>
    <w:p w:rsidR="4F940BA9" w:rsidRDefault="4F940BA9" w14:paraId="68BF4070" w14:textId="1BE31E0E"/>
    <w:p w:rsidR="4F940BA9" w:rsidRDefault="4F940BA9" w14:paraId="38C0DA13" w14:textId="7DB9E3DF"/>
    <w:p w:rsidR="4F940BA9" w:rsidP="4F940BA9" w:rsidRDefault="4F940BA9" w14:paraId="3E233A97" w14:textId="7CDE512C">
      <w:pPr>
        <w:pStyle w:val="Normal"/>
        <w:spacing w:before="0" w:beforeAutospacing="off" w:after="0" w:afterAutospacing="off"/>
      </w:pPr>
    </w:p>
    <w:p w:rsidR="4F940BA9" w:rsidP="4F940BA9" w:rsidRDefault="4F940BA9" w14:paraId="402B5957" w14:textId="1DBD493F">
      <w:pPr>
        <w:pStyle w:val="ListParagraph"/>
        <w:ind w:left="360"/>
        <w:jc w:val="both"/>
        <w:rPr>
          <w:rFonts w:ascii="Calibri" w:hAnsi="Calibri" w:eastAsia="Calibri" w:cs="Calibri"/>
          <w:sz w:val="20"/>
          <w:szCs w:val="20"/>
        </w:rPr>
      </w:pPr>
    </w:p>
    <w:p w:rsidR="4A4924AC" w:rsidRDefault="4A4924AC" w14:paraId="5924A635" w14:textId="0866775A">
      <w:r w:rsidRPr="4F940BA9" w:rsidR="4A4924AC">
        <w:rPr>
          <w:noProof w:val="0"/>
          <w:lang w:val="en-US"/>
        </w:rPr>
        <w:t>The second-stage DEA study provides a comprehensive examination of many variables connected to the performance of Chinese banks. These variables are studied using a behavioral perspective and are classified into two unique categories: contextual/environmental and event-related. The variables included in Table 5 are carefully documented and serve as the explanatory factors that influence the complex operational environment of banks, affecting both efficiency and inefficiency results.</w:t>
      </w:r>
    </w:p>
    <w:p w:rsidR="4A4924AC" w:rsidP="4F940BA9" w:rsidRDefault="4A4924AC" w14:paraId="316FB440" w14:textId="5E5A5E0B">
      <w:pPr>
        <w:pStyle w:val="Normal"/>
        <w:rPr>
          <w:noProof w:val="0"/>
          <w:lang w:val="en-US"/>
        </w:rPr>
      </w:pPr>
      <w:r w:rsidRPr="4F940BA9" w:rsidR="4A4924AC">
        <w:rPr>
          <w:noProof w:val="0"/>
          <w:lang w:val="en-US"/>
        </w:rPr>
        <w:t>The contextual/environmental perspective includes macroeconomic data such as GDP growth rate, broad money supply, and policy uncertainty index. These components represent the economic conditions in which banks operate. Regulatory factors, such as capital adequacy ratios and interest rate liberalization indices, act as indicators for the regulatory environment in which banks function, revealing systemic limitations and the level of economic governance. The Herfindahl-Hirschman Index and different ownership structures reflect the competitive environment and internal governance, providing an overview of the strategic landscape in the banking sector.</w:t>
      </w:r>
    </w:p>
    <w:p w:rsidR="4A4924AC" w:rsidP="4F940BA9" w:rsidRDefault="4A4924AC" w14:paraId="4BDE86E3" w14:textId="2757F510">
      <w:pPr>
        <w:pStyle w:val="Normal"/>
        <w:rPr>
          <w:noProof w:val="0"/>
          <w:lang w:val="en-US"/>
        </w:rPr>
      </w:pPr>
      <w:r w:rsidRPr="4F940BA9" w:rsidR="4A4924AC">
        <w:rPr>
          <w:noProof w:val="0"/>
          <w:lang w:val="en-US"/>
        </w:rPr>
        <w:t>On the other hand, the event-related perspective focuses specifically on internal factors that influence banks, such as their size and profitability. These factors indicate how well the bank operates and the advantages of being large. The perspective also considers risk-related variables including credit and liquidity issues. These characteristics work as a means of assessing the banks' current operational environment and their ability to quickly adapt to internal and external disruptions. Rezvanian, Truk Ariss, and Mehdian (2010) demonstrate that a combination of internal control factors, such as ownership type and concentration, and external influences, such as regulatory quality and economic development, have a significant role in determining efficiency. Their work presents a detailed and intricate analysis of the factors that contribute to efficiency.</w:t>
      </w:r>
    </w:p>
    <w:p w:rsidR="4A4924AC" w:rsidP="4F940BA9" w:rsidRDefault="4A4924AC" w14:paraId="0A8681E2" w14:textId="4827BEB3">
      <w:pPr>
        <w:pStyle w:val="Normal"/>
        <w:rPr>
          <w:noProof w:val="0"/>
          <w:lang w:val="en-US"/>
        </w:rPr>
      </w:pPr>
      <w:r w:rsidRPr="4F940BA9" w:rsidR="4A4924AC">
        <w:rPr>
          <w:noProof w:val="0"/>
          <w:lang w:val="en-US"/>
        </w:rPr>
        <w:t>Wu et al. (2023) establish a direct connection between bank performance and external economic and regulatory issues, emphasizing that efficiency is a multifaceted process driven by wider policy frameworks and market dynamics. Meanwhile, Fukuyama and Tan (2022) investigate the impact of demographic financial risks and corporate social responsibility on inefficiency. They examine how bank policies directly affect various geographical landscapes and their socio-economic involvement.</w:t>
      </w:r>
    </w:p>
    <w:p w:rsidR="4A4924AC" w:rsidP="4F940BA9" w:rsidRDefault="4A4924AC" w14:paraId="62CB1168" w14:textId="16F952B8">
      <w:pPr>
        <w:pStyle w:val="Normal"/>
        <w:rPr>
          <w:noProof w:val="0"/>
          <w:lang w:val="en-US"/>
        </w:rPr>
      </w:pPr>
      <w:r w:rsidRPr="4F940BA9" w:rsidR="4A4924AC">
        <w:rPr>
          <w:noProof w:val="0"/>
          <w:lang w:val="en-US"/>
        </w:rPr>
        <w:t>By combining various viewpoints, Table 5 provides a thorough representation of the factors influencing the effectiveness of Chinese banks. The behavioral perspective emphasizes the importance of considering both the strong structural features of banks and the ever-changing economic and regulatory environments in which they operate. The inclusion of both perspectives not only enhances our comprehension of bank efficiency but also underscores the interconnected relationship between external forces and internal bank policy. Therefore, the DEA scores are not just numbers, but rather indications of the intricate relationship between the banks' strategic choices and their ability to adapt to the environment. These ratings provide useful insights for improving bank performance through a strategic approach.</w:t>
      </w:r>
    </w:p>
    <w:p w:rsidR="4A4924AC" w:rsidP="4F940BA9" w:rsidRDefault="4A4924AC" w14:paraId="4F986DF1" w14:textId="7BC30AE5">
      <w:pPr>
        <w:pStyle w:val="ListParagraph"/>
        <w:ind w:left="360"/>
        <w:jc w:val="both"/>
      </w:pPr>
      <w:r w:rsidR="4A4924AC">
        <w:rPr/>
        <w:t xml:space="preserve"> </w:t>
      </w:r>
    </w:p>
    <w:p w:rsidR="4F940BA9" w:rsidP="4F940BA9" w:rsidRDefault="4F940BA9" w14:paraId="7ACEA26F" w14:textId="37CDB065">
      <w:pPr>
        <w:pStyle w:val="ListParagraph"/>
        <w:ind w:left="360"/>
        <w:jc w:val="both"/>
        <w:rPr>
          <w:rFonts w:ascii="Calibri" w:hAnsi="Calibri" w:eastAsia="Calibri" w:cs="Calibri"/>
          <w:sz w:val="20"/>
          <w:szCs w:val="20"/>
        </w:rPr>
      </w:pPr>
    </w:p>
    <w:p w:rsidRPr="00CE5391" w:rsidR="002101FF" w:rsidP="002101FF" w:rsidRDefault="002101FF" w14:paraId="63B55DD0" w14:textId="77777777">
      <w:pPr>
        <w:pStyle w:val="ListParagraph"/>
        <w:spacing w:after="0"/>
        <w:ind w:left="360"/>
        <w:jc w:val="both"/>
        <w:rPr>
          <w:rFonts w:ascii="Calibri" w:hAnsi="Calibri" w:eastAsia="Calibri" w:cs="Calibri"/>
          <w:sz w:val="20"/>
          <w:szCs w:val="20"/>
        </w:rPr>
      </w:pPr>
      <w:r w:rsidRPr="00CE5391">
        <w:rPr>
          <w:rFonts w:ascii="Calibri" w:hAnsi="Calibri" w:eastAsia="Calibri" w:cs="Calibri"/>
          <w:b/>
          <w:bCs/>
          <w:sz w:val="20"/>
          <w:szCs w:val="20"/>
        </w:rPr>
        <w:t>Table 6:</w:t>
      </w:r>
      <w:r w:rsidRPr="00CE5391">
        <w:rPr>
          <w:rFonts w:ascii="Calibri" w:hAnsi="Calibri" w:eastAsia="Calibri" w:cs="Calibri"/>
          <w:sz w:val="20"/>
          <w:szCs w:val="20"/>
        </w:rPr>
        <w:t xml:space="preserve"> </w:t>
      </w:r>
      <w:r w:rsidRPr="00CE5391">
        <w:rPr>
          <w:rFonts w:ascii="Calibri" w:hAnsi="Calibri" w:eastAsia="Calibri" w:cs="Calibri"/>
          <w:sz w:val="20"/>
          <w:szCs w:val="20"/>
          <w:u w:val="single"/>
        </w:rPr>
        <w:t>Summary of Environmental variables used in three-stage analyses</w:t>
      </w:r>
      <w:r w:rsidRPr="00CE5391">
        <w:rPr>
          <w:rFonts w:ascii="Calibri" w:hAnsi="Calibri" w:eastAsia="Calibri" w:cs="Calibri"/>
          <w:sz w:val="20"/>
          <w:szCs w:val="20"/>
        </w:rPr>
        <w:t xml:space="preserve"> for assessing the efficiency profiles of DMUs </w:t>
      </w:r>
      <w:r w:rsidRPr="00CE5391">
        <w:rPr>
          <w:rFonts w:ascii="Calibri" w:hAnsi="Calibri" w:eastAsia="Calibri" w:cs="Calibri"/>
          <w:sz w:val="20"/>
          <w:szCs w:val="20"/>
          <w:u w:val="single"/>
        </w:rPr>
        <w:t>and the perspective that shapes the choice of these variables</w:t>
      </w:r>
      <w:r w:rsidRPr="00CE5391">
        <w:rPr>
          <w:rFonts w:ascii="Calibri" w:hAnsi="Calibri" w:eastAsia="Calibri" w:cs="Calibri"/>
          <w:sz w:val="20"/>
          <w:szCs w:val="20"/>
        </w:rPr>
        <w:t>; i.e., the perspective from which the analysis is performed &amp; environmental variables are chosen – we shall refer to this perspective as the environment perspective and should reflect the internal environment characteristics, the external environment characteristics, or both (</w:t>
      </w:r>
      <w:r w:rsidRPr="00CE5391">
        <w:rPr>
          <w:rFonts w:ascii="Calibri" w:hAnsi="Calibri" w:eastAsia="Calibri" w:cs="Calibri"/>
          <w:sz w:val="20"/>
          <w:szCs w:val="20"/>
          <w:u w:val="single"/>
        </w:rPr>
        <w:t>guidelines</w:t>
      </w:r>
      <w:r w:rsidRPr="00CE5391">
        <w:rPr>
          <w:rFonts w:ascii="Calibri" w:hAnsi="Calibri" w:eastAsia="Calibri" w:cs="Calibri"/>
          <w:sz w:val="20"/>
          <w:szCs w:val="20"/>
        </w:rPr>
        <w:t>: you are required to provide the list of environmental variables used by the authors in each reference; papers not using a three-stage analysis and thus not considering environmental variables should not be included in this table – recall that a three-stage analysis purges the efficiency scores from the effect of the environment, which requires the use of environmental variables. Analyse this table by perspective and for each perspective classify environmental variables in meaningful categories and discuss them in the main text)</w:t>
      </w:r>
    </w:p>
    <w:tbl>
      <w:tblPr>
        <w:tblStyle w:val="TableGrid"/>
        <w:tblW w:w="9015" w:type="dxa"/>
        <w:tblInd w:w="355" w:type="dxa"/>
        <w:tblLook w:val="04A0" w:firstRow="1" w:lastRow="0" w:firstColumn="1" w:lastColumn="0" w:noHBand="0" w:noVBand="1"/>
      </w:tblPr>
      <w:tblGrid>
        <w:gridCol w:w="1285"/>
        <w:gridCol w:w="1285"/>
        <w:gridCol w:w="3079"/>
        <w:gridCol w:w="3366"/>
      </w:tblGrid>
      <w:tr w:rsidRPr="00CE5391" w:rsidR="002101FF" w:rsidTr="26F4EFF6" w14:paraId="31AB7D4A" w14:textId="77777777">
        <w:trPr>
          <w:trHeight w:val="284"/>
        </w:trPr>
        <w:tc>
          <w:tcPr>
            <w:tcW w:w="1285" w:type="dxa"/>
          </w:tcPr>
          <w:p w:rsidR="1691EB12" w:rsidP="26F4EFF6" w:rsidRDefault="1691EB12" w14:paraId="2C225ECD" w14:textId="1660AA54">
            <w:pPr>
              <w:jc w:val="center"/>
              <w:rPr>
                <w:rFonts w:hint="eastAsia" w:cs="Calibri"/>
                <w:b/>
                <w:bCs/>
                <w:sz w:val="20"/>
                <w:szCs w:val="20"/>
              </w:rPr>
            </w:pPr>
            <w:r w:rsidRPr="26F4EFF6">
              <w:rPr>
                <w:rFonts w:cs="Calibri"/>
                <w:b/>
                <w:bCs/>
                <w:sz w:val="20"/>
                <w:szCs w:val="20"/>
              </w:rPr>
              <w:t>Paper #</w:t>
            </w:r>
          </w:p>
        </w:tc>
        <w:tc>
          <w:tcPr>
            <w:tcW w:w="1285" w:type="dxa"/>
          </w:tcPr>
          <w:p w:rsidRPr="00CE5391" w:rsidR="002101FF" w:rsidP="00BD1418" w:rsidRDefault="002101FF" w14:paraId="3FDCE0C2" w14:textId="77777777">
            <w:pPr>
              <w:jc w:val="center"/>
              <w:rPr>
                <w:rFonts w:hint="eastAsia" w:cs="Calibri"/>
                <w:b/>
                <w:bCs/>
                <w:sz w:val="20"/>
                <w:szCs w:val="20"/>
              </w:rPr>
            </w:pPr>
            <w:r w:rsidRPr="00CE5391">
              <w:rPr>
                <w:rFonts w:cs="Calibri"/>
                <w:b/>
                <w:bCs/>
                <w:sz w:val="20"/>
                <w:szCs w:val="20"/>
              </w:rPr>
              <w:t>Reference</w:t>
            </w:r>
          </w:p>
        </w:tc>
        <w:tc>
          <w:tcPr>
            <w:tcW w:w="3079" w:type="dxa"/>
          </w:tcPr>
          <w:p w:rsidRPr="00CE5391" w:rsidR="002101FF" w:rsidP="00BD1418" w:rsidRDefault="002101FF" w14:paraId="17A75768" w14:textId="77777777">
            <w:pPr>
              <w:jc w:val="center"/>
              <w:rPr>
                <w:rFonts w:hint="eastAsia" w:cs="Calibri"/>
                <w:b/>
                <w:bCs/>
                <w:sz w:val="20"/>
                <w:szCs w:val="20"/>
              </w:rPr>
            </w:pPr>
            <w:r w:rsidRPr="00CE5391">
              <w:rPr>
                <w:rFonts w:cs="Calibri"/>
                <w:b/>
                <w:bCs/>
                <w:sz w:val="20"/>
                <w:szCs w:val="20"/>
              </w:rPr>
              <w:t>Environment Perspective</w:t>
            </w:r>
          </w:p>
        </w:tc>
        <w:tc>
          <w:tcPr>
            <w:tcW w:w="3366" w:type="dxa"/>
          </w:tcPr>
          <w:p w:rsidRPr="00CE5391" w:rsidR="002101FF" w:rsidP="00BD1418" w:rsidRDefault="002101FF" w14:paraId="09D0FDF6" w14:textId="77777777">
            <w:pPr>
              <w:jc w:val="center"/>
              <w:rPr>
                <w:rFonts w:hint="eastAsia" w:cs="Calibri"/>
                <w:b/>
                <w:bCs/>
                <w:sz w:val="20"/>
                <w:szCs w:val="20"/>
              </w:rPr>
            </w:pPr>
            <w:r w:rsidRPr="00CE5391">
              <w:rPr>
                <w:rFonts w:cs="Calibri"/>
                <w:b/>
                <w:bCs/>
                <w:sz w:val="20"/>
                <w:szCs w:val="20"/>
              </w:rPr>
              <w:t>Environmental Variables</w:t>
            </w:r>
          </w:p>
        </w:tc>
      </w:tr>
      <w:tr w:rsidRPr="00CE5391" w:rsidR="002101FF" w:rsidTr="26F4EFF6" w14:paraId="433F6304" w14:textId="77777777">
        <w:trPr>
          <w:trHeight w:val="284"/>
        </w:trPr>
        <w:tc>
          <w:tcPr>
            <w:tcW w:w="1285" w:type="dxa"/>
          </w:tcPr>
          <w:p w:rsidR="26F4EFF6" w:rsidP="26F4EFF6" w:rsidRDefault="26F4EFF6" w14:paraId="5E337C82" w14:textId="4C388D3F">
            <w:pPr>
              <w:jc w:val="center"/>
              <w:rPr>
                <w:rFonts w:hint="eastAsia" w:cs="Calibri"/>
                <w:sz w:val="20"/>
                <w:szCs w:val="20"/>
                <w:lang w:eastAsia="zh-CN"/>
              </w:rPr>
            </w:pPr>
          </w:p>
        </w:tc>
        <w:tc>
          <w:tcPr>
            <w:tcW w:w="1285" w:type="dxa"/>
          </w:tcPr>
          <w:p w:rsidRPr="00CE5391" w:rsidR="002101FF" w:rsidP="66201759" w:rsidRDefault="002101FF" w14:paraId="1AF25F32" w14:textId="53722AA0">
            <w:pPr>
              <w:jc w:val="center"/>
              <w:rPr>
                <w:rFonts w:hint="eastAsia" w:cs="Calibri"/>
                <w:sz w:val="20"/>
                <w:szCs w:val="20"/>
                <w:lang w:eastAsia="zh-CN"/>
              </w:rPr>
            </w:pPr>
          </w:p>
        </w:tc>
        <w:tc>
          <w:tcPr>
            <w:tcW w:w="3079" w:type="dxa"/>
          </w:tcPr>
          <w:p w:rsidRPr="00CE5391" w:rsidR="002101FF" w:rsidP="00BD1418" w:rsidRDefault="002101FF" w14:paraId="5F3AB670" w14:textId="193266A2">
            <w:pPr>
              <w:jc w:val="both"/>
              <w:rPr>
                <w:rFonts w:hint="eastAsia" w:cs="Calibri"/>
                <w:sz w:val="20"/>
                <w:szCs w:val="20"/>
              </w:rPr>
            </w:pPr>
          </w:p>
        </w:tc>
        <w:tc>
          <w:tcPr>
            <w:tcW w:w="3366" w:type="dxa"/>
          </w:tcPr>
          <w:p w:rsidRPr="00CE5391" w:rsidR="002101FF" w:rsidP="00BD1418" w:rsidRDefault="002101FF" w14:paraId="6A75C625" w14:textId="66714515">
            <w:pPr>
              <w:jc w:val="both"/>
              <w:rPr>
                <w:rFonts w:hint="eastAsia" w:cs="Calibri"/>
                <w:sz w:val="20"/>
                <w:szCs w:val="20"/>
              </w:rPr>
            </w:pPr>
          </w:p>
        </w:tc>
      </w:tr>
      <w:tr w:rsidRPr="00CE5391" w:rsidR="002101FF" w:rsidTr="26F4EFF6" w14:paraId="3E7CCFD7" w14:textId="77777777">
        <w:trPr>
          <w:trHeight w:val="284"/>
        </w:trPr>
        <w:tc>
          <w:tcPr>
            <w:tcW w:w="1285" w:type="dxa"/>
          </w:tcPr>
          <w:p w:rsidR="26F4EFF6" w:rsidP="26F4EFF6" w:rsidRDefault="26F4EFF6" w14:paraId="2DE2E17C" w14:textId="16DB26CF">
            <w:pPr>
              <w:jc w:val="both"/>
              <w:rPr>
                <w:rFonts w:hint="eastAsia" w:cs="Calibri"/>
                <w:sz w:val="20"/>
                <w:szCs w:val="20"/>
                <w:lang w:eastAsia="zh-CN"/>
              </w:rPr>
            </w:pPr>
          </w:p>
        </w:tc>
        <w:tc>
          <w:tcPr>
            <w:tcW w:w="1285" w:type="dxa"/>
          </w:tcPr>
          <w:p w:rsidRPr="00CE5391" w:rsidR="002101FF" w:rsidP="00BD1418" w:rsidRDefault="002101FF" w14:paraId="71C667AB" w14:textId="05CA5141">
            <w:pPr>
              <w:jc w:val="both"/>
              <w:rPr>
                <w:rFonts w:hint="eastAsia" w:cs="Calibri"/>
                <w:sz w:val="20"/>
                <w:szCs w:val="20"/>
                <w:lang w:eastAsia="zh-CN"/>
              </w:rPr>
            </w:pPr>
          </w:p>
        </w:tc>
        <w:tc>
          <w:tcPr>
            <w:tcW w:w="3079" w:type="dxa"/>
          </w:tcPr>
          <w:p w:rsidRPr="00CE5391" w:rsidR="002101FF" w:rsidP="00BD1418" w:rsidRDefault="002101FF" w14:paraId="6383F571" w14:textId="5E6055C7">
            <w:pPr>
              <w:jc w:val="both"/>
              <w:rPr>
                <w:rFonts w:hint="eastAsia" w:cs="Calibri"/>
                <w:sz w:val="20"/>
                <w:szCs w:val="20"/>
              </w:rPr>
            </w:pPr>
          </w:p>
        </w:tc>
        <w:tc>
          <w:tcPr>
            <w:tcW w:w="3366" w:type="dxa"/>
          </w:tcPr>
          <w:p w:rsidRPr="00CE5391" w:rsidR="002101FF" w:rsidP="00BD1418" w:rsidRDefault="002101FF" w14:paraId="586BE6A9" w14:textId="5CFC3705">
            <w:pPr>
              <w:jc w:val="both"/>
              <w:rPr>
                <w:rFonts w:hint="eastAsia" w:cs="Calibri"/>
                <w:sz w:val="20"/>
                <w:szCs w:val="20"/>
              </w:rPr>
            </w:pPr>
          </w:p>
        </w:tc>
      </w:tr>
      <w:tr w:rsidRPr="00CE5391" w:rsidR="002101FF" w:rsidTr="26F4EFF6" w14:paraId="17C5A929" w14:textId="77777777">
        <w:trPr>
          <w:trHeight w:val="284"/>
        </w:trPr>
        <w:tc>
          <w:tcPr>
            <w:tcW w:w="1285" w:type="dxa"/>
          </w:tcPr>
          <w:p w:rsidR="26F4EFF6" w:rsidP="26F4EFF6" w:rsidRDefault="26F4EFF6" w14:paraId="12B44CAE" w14:textId="3DB944FB">
            <w:pPr>
              <w:jc w:val="both"/>
              <w:rPr>
                <w:rFonts w:hint="eastAsia" w:cs="Calibri"/>
                <w:sz w:val="20"/>
                <w:szCs w:val="20"/>
                <w:lang w:eastAsia="zh-CN"/>
              </w:rPr>
            </w:pPr>
          </w:p>
        </w:tc>
        <w:tc>
          <w:tcPr>
            <w:tcW w:w="1285" w:type="dxa"/>
          </w:tcPr>
          <w:p w:rsidRPr="009B153E" w:rsidR="002101FF" w:rsidP="00BD1418" w:rsidRDefault="002101FF" w14:paraId="553E3AE7" w14:textId="347824F6">
            <w:pPr>
              <w:jc w:val="both"/>
              <w:rPr>
                <w:rFonts w:hint="eastAsia" w:cs="Calibri"/>
                <w:sz w:val="20"/>
                <w:szCs w:val="20"/>
                <w:lang w:eastAsia="zh-CN"/>
              </w:rPr>
            </w:pPr>
          </w:p>
        </w:tc>
        <w:tc>
          <w:tcPr>
            <w:tcW w:w="3079" w:type="dxa"/>
          </w:tcPr>
          <w:p w:rsidRPr="00CE5391" w:rsidR="002101FF" w:rsidP="00BD1418" w:rsidRDefault="002101FF" w14:paraId="4F669AEA" w14:textId="4BBFD28E">
            <w:pPr>
              <w:jc w:val="both"/>
              <w:rPr>
                <w:rFonts w:hint="eastAsia" w:cs="Calibri"/>
                <w:sz w:val="20"/>
                <w:szCs w:val="20"/>
              </w:rPr>
            </w:pPr>
          </w:p>
        </w:tc>
        <w:tc>
          <w:tcPr>
            <w:tcW w:w="3366" w:type="dxa"/>
          </w:tcPr>
          <w:p w:rsidRPr="00CE5391" w:rsidR="002101FF" w:rsidP="00BD1418" w:rsidRDefault="002101FF" w14:paraId="2E51EB89" w14:textId="3DAF6559">
            <w:pPr>
              <w:jc w:val="both"/>
              <w:rPr>
                <w:rFonts w:hint="eastAsia" w:cs="Calibri"/>
                <w:sz w:val="20"/>
                <w:szCs w:val="20"/>
              </w:rPr>
            </w:pPr>
          </w:p>
        </w:tc>
      </w:tr>
      <w:tr w:rsidRPr="00CE5391" w:rsidR="002101FF" w:rsidTr="26F4EFF6" w14:paraId="001DFFA4" w14:textId="77777777">
        <w:trPr>
          <w:trHeight w:val="284"/>
        </w:trPr>
        <w:tc>
          <w:tcPr>
            <w:tcW w:w="1285" w:type="dxa"/>
          </w:tcPr>
          <w:p w:rsidR="26F4EFF6" w:rsidP="26F4EFF6" w:rsidRDefault="26F4EFF6" w14:paraId="5094BF1F" w14:textId="0F96587C">
            <w:pPr>
              <w:jc w:val="both"/>
              <w:rPr>
                <w:rFonts w:hint="eastAsia" w:cs="Calibri"/>
                <w:sz w:val="20"/>
                <w:szCs w:val="20"/>
                <w:lang w:eastAsia="zh-CN"/>
              </w:rPr>
            </w:pPr>
          </w:p>
        </w:tc>
        <w:tc>
          <w:tcPr>
            <w:tcW w:w="1285" w:type="dxa"/>
          </w:tcPr>
          <w:p w:rsidRPr="00B40DFB" w:rsidR="002101FF" w:rsidP="00BD1418" w:rsidRDefault="002101FF" w14:paraId="14F73AD3" w14:textId="3B133A6E">
            <w:pPr>
              <w:jc w:val="both"/>
              <w:rPr>
                <w:rFonts w:hint="eastAsia" w:cs="Calibri"/>
                <w:sz w:val="20"/>
                <w:szCs w:val="20"/>
                <w:lang w:eastAsia="zh-CN"/>
              </w:rPr>
            </w:pPr>
          </w:p>
        </w:tc>
        <w:tc>
          <w:tcPr>
            <w:tcW w:w="3079" w:type="dxa"/>
          </w:tcPr>
          <w:p w:rsidRPr="00CE5391" w:rsidR="002101FF" w:rsidP="00BD1418" w:rsidRDefault="002101FF" w14:paraId="6B987B94" w14:textId="7175BB9B">
            <w:pPr>
              <w:jc w:val="both"/>
              <w:rPr>
                <w:rFonts w:hint="eastAsia" w:cs="Calibri"/>
                <w:sz w:val="20"/>
                <w:szCs w:val="20"/>
              </w:rPr>
            </w:pPr>
          </w:p>
        </w:tc>
        <w:tc>
          <w:tcPr>
            <w:tcW w:w="3366" w:type="dxa"/>
          </w:tcPr>
          <w:p w:rsidRPr="00CE5391" w:rsidR="002101FF" w:rsidP="00BD1418" w:rsidRDefault="002101FF" w14:paraId="53C9CF2E" w14:textId="180B6E20">
            <w:pPr>
              <w:jc w:val="both"/>
              <w:rPr>
                <w:rFonts w:hint="eastAsia" w:cs="Calibri"/>
                <w:sz w:val="20"/>
                <w:szCs w:val="20"/>
              </w:rPr>
            </w:pPr>
          </w:p>
        </w:tc>
      </w:tr>
      <w:tr w:rsidRPr="00CE5391" w:rsidR="002101FF" w:rsidTr="26F4EFF6" w14:paraId="555B967A" w14:textId="77777777">
        <w:trPr>
          <w:trHeight w:val="284"/>
        </w:trPr>
        <w:tc>
          <w:tcPr>
            <w:tcW w:w="1285" w:type="dxa"/>
          </w:tcPr>
          <w:p w:rsidR="26F4EFF6" w:rsidP="26F4EFF6" w:rsidRDefault="26F4EFF6" w14:paraId="79644417" w14:textId="13AF6F30">
            <w:pPr>
              <w:jc w:val="both"/>
              <w:rPr>
                <w:rFonts w:hint="eastAsia" w:cs="Calibri"/>
                <w:sz w:val="20"/>
                <w:szCs w:val="20"/>
                <w:lang w:eastAsia="zh-CN"/>
              </w:rPr>
            </w:pPr>
          </w:p>
        </w:tc>
        <w:tc>
          <w:tcPr>
            <w:tcW w:w="1285" w:type="dxa"/>
          </w:tcPr>
          <w:p w:rsidRPr="00E751D5" w:rsidR="002101FF" w:rsidP="00BD1418" w:rsidRDefault="002101FF" w14:paraId="19E4E795" w14:textId="16836004">
            <w:pPr>
              <w:jc w:val="both"/>
              <w:rPr>
                <w:rFonts w:hint="eastAsia" w:cs="Calibri"/>
                <w:sz w:val="20"/>
                <w:szCs w:val="20"/>
                <w:lang w:eastAsia="zh-CN"/>
              </w:rPr>
            </w:pPr>
          </w:p>
        </w:tc>
        <w:tc>
          <w:tcPr>
            <w:tcW w:w="3079" w:type="dxa"/>
          </w:tcPr>
          <w:p w:rsidRPr="00CE5391" w:rsidR="002101FF" w:rsidP="00BD1418" w:rsidRDefault="002101FF" w14:paraId="7D951106" w14:textId="2375A73B">
            <w:pPr>
              <w:jc w:val="both"/>
              <w:rPr>
                <w:rFonts w:hint="eastAsia" w:cs="Calibri"/>
                <w:sz w:val="20"/>
                <w:szCs w:val="20"/>
              </w:rPr>
            </w:pPr>
          </w:p>
        </w:tc>
        <w:tc>
          <w:tcPr>
            <w:tcW w:w="3366" w:type="dxa"/>
          </w:tcPr>
          <w:p w:rsidRPr="00CE5391" w:rsidR="002101FF" w:rsidP="00BD1418" w:rsidRDefault="002101FF" w14:paraId="5ABB0FD7" w14:textId="1CAEC0A9">
            <w:pPr>
              <w:jc w:val="both"/>
              <w:rPr>
                <w:rFonts w:hint="eastAsia" w:cs="Calibri"/>
                <w:sz w:val="20"/>
                <w:szCs w:val="20"/>
              </w:rPr>
            </w:pPr>
          </w:p>
        </w:tc>
      </w:tr>
      <w:tr w:rsidRPr="00CE5391" w:rsidR="002101FF" w:rsidTr="26F4EFF6" w14:paraId="78CE129C" w14:textId="77777777">
        <w:trPr>
          <w:trHeight w:val="284"/>
        </w:trPr>
        <w:tc>
          <w:tcPr>
            <w:tcW w:w="1285" w:type="dxa"/>
          </w:tcPr>
          <w:p w:rsidR="26F4EFF6" w:rsidP="26F4EFF6" w:rsidRDefault="26F4EFF6" w14:paraId="2A357D73" w14:textId="76A664B9">
            <w:pPr>
              <w:jc w:val="both"/>
              <w:rPr>
                <w:rFonts w:hint="eastAsia" w:cs="Calibri"/>
                <w:sz w:val="20"/>
                <w:szCs w:val="20"/>
                <w:lang w:eastAsia="zh-CN"/>
              </w:rPr>
            </w:pPr>
          </w:p>
        </w:tc>
        <w:tc>
          <w:tcPr>
            <w:tcW w:w="1285" w:type="dxa"/>
          </w:tcPr>
          <w:p w:rsidRPr="00E9480F" w:rsidR="002101FF" w:rsidP="00BD1418" w:rsidRDefault="002101FF" w14:paraId="35A8AB53" w14:textId="5B4C120F">
            <w:pPr>
              <w:jc w:val="both"/>
              <w:rPr>
                <w:rFonts w:hint="eastAsia" w:cs="Calibri"/>
                <w:sz w:val="20"/>
                <w:szCs w:val="20"/>
                <w:lang w:eastAsia="zh-CN"/>
              </w:rPr>
            </w:pPr>
          </w:p>
        </w:tc>
        <w:tc>
          <w:tcPr>
            <w:tcW w:w="3079" w:type="dxa"/>
          </w:tcPr>
          <w:p w:rsidRPr="007B77ED" w:rsidR="002101FF" w:rsidP="00BD1418" w:rsidRDefault="002101FF" w14:paraId="22C1634D" w14:textId="0BFAFA0E">
            <w:pPr>
              <w:jc w:val="both"/>
              <w:rPr>
                <w:rFonts w:hint="eastAsia" w:cs="Calibri"/>
                <w:sz w:val="20"/>
                <w:szCs w:val="20"/>
              </w:rPr>
            </w:pPr>
          </w:p>
        </w:tc>
        <w:tc>
          <w:tcPr>
            <w:tcW w:w="3366" w:type="dxa"/>
          </w:tcPr>
          <w:p w:rsidRPr="007B77ED" w:rsidR="002101FF" w:rsidP="00BD1418" w:rsidRDefault="002101FF" w14:paraId="700B33C5" w14:textId="0FC7B0CE">
            <w:pPr>
              <w:jc w:val="both"/>
              <w:rPr>
                <w:rFonts w:hint="eastAsia" w:cs="Calibri"/>
                <w:sz w:val="20"/>
                <w:szCs w:val="20"/>
              </w:rPr>
            </w:pPr>
          </w:p>
        </w:tc>
      </w:tr>
      <w:tr w:rsidRPr="00CE5391" w:rsidR="002101FF" w:rsidTr="26F4EFF6" w14:paraId="11645768" w14:textId="77777777">
        <w:trPr>
          <w:trHeight w:val="284"/>
        </w:trPr>
        <w:tc>
          <w:tcPr>
            <w:tcW w:w="1285" w:type="dxa"/>
          </w:tcPr>
          <w:p w:rsidR="26F4EFF6" w:rsidP="26F4EFF6" w:rsidRDefault="26F4EFF6" w14:paraId="2ECEDEDA" w14:textId="1A26E701">
            <w:pPr>
              <w:jc w:val="both"/>
              <w:rPr>
                <w:rFonts w:hint="eastAsia" w:cs="Calibri"/>
                <w:sz w:val="20"/>
                <w:szCs w:val="20"/>
                <w:lang w:eastAsia="zh-CN"/>
              </w:rPr>
            </w:pPr>
          </w:p>
        </w:tc>
        <w:tc>
          <w:tcPr>
            <w:tcW w:w="1285" w:type="dxa"/>
          </w:tcPr>
          <w:p w:rsidRPr="00ED5776" w:rsidR="002101FF" w:rsidP="00BD1418" w:rsidRDefault="002101FF" w14:paraId="14ACE93B" w14:textId="54166244">
            <w:pPr>
              <w:jc w:val="both"/>
              <w:rPr>
                <w:rFonts w:hint="eastAsia" w:cs="Calibri"/>
                <w:sz w:val="20"/>
                <w:szCs w:val="20"/>
                <w:lang w:eastAsia="zh-CN"/>
              </w:rPr>
            </w:pPr>
          </w:p>
        </w:tc>
        <w:tc>
          <w:tcPr>
            <w:tcW w:w="3079" w:type="dxa"/>
          </w:tcPr>
          <w:p w:rsidRPr="007B77ED" w:rsidR="002101FF" w:rsidP="00BD1418" w:rsidRDefault="002101FF" w14:paraId="487C27F7" w14:textId="54378630">
            <w:pPr>
              <w:jc w:val="both"/>
              <w:rPr>
                <w:rFonts w:hint="eastAsia" w:cs="Calibri"/>
                <w:sz w:val="20"/>
                <w:szCs w:val="20"/>
              </w:rPr>
            </w:pPr>
          </w:p>
        </w:tc>
        <w:tc>
          <w:tcPr>
            <w:tcW w:w="3366" w:type="dxa"/>
          </w:tcPr>
          <w:p w:rsidRPr="007B77ED" w:rsidR="002101FF" w:rsidP="00BD1418" w:rsidRDefault="002101FF" w14:paraId="5E161D06" w14:textId="42EA47D8">
            <w:pPr>
              <w:jc w:val="both"/>
              <w:rPr>
                <w:rFonts w:hint="eastAsia" w:cs="Calibri"/>
                <w:sz w:val="20"/>
                <w:szCs w:val="20"/>
              </w:rPr>
            </w:pPr>
          </w:p>
        </w:tc>
      </w:tr>
      <w:tr w:rsidRPr="00CE5391" w:rsidR="002101FF" w:rsidTr="26F4EFF6" w14:paraId="405675A1" w14:textId="77777777">
        <w:trPr>
          <w:trHeight w:val="284"/>
        </w:trPr>
        <w:tc>
          <w:tcPr>
            <w:tcW w:w="1285" w:type="dxa"/>
          </w:tcPr>
          <w:p w:rsidR="26F4EFF6" w:rsidP="26F4EFF6" w:rsidRDefault="26F4EFF6" w14:paraId="6DC4CDA0" w14:textId="0ECA1389">
            <w:pPr>
              <w:jc w:val="both"/>
              <w:rPr>
                <w:rFonts w:hint="eastAsia" w:cs="Calibri"/>
                <w:sz w:val="20"/>
                <w:szCs w:val="20"/>
                <w:lang w:eastAsia="zh-CN"/>
              </w:rPr>
            </w:pPr>
          </w:p>
        </w:tc>
        <w:tc>
          <w:tcPr>
            <w:tcW w:w="1285" w:type="dxa"/>
          </w:tcPr>
          <w:p w:rsidRPr="00C61C2E" w:rsidR="002101FF" w:rsidP="00BD1418" w:rsidRDefault="002101FF" w14:paraId="5179FDA8" w14:textId="0A72A761">
            <w:pPr>
              <w:jc w:val="both"/>
              <w:rPr>
                <w:rFonts w:hint="eastAsia" w:cs="Calibri"/>
                <w:sz w:val="20"/>
                <w:szCs w:val="20"/>
                <w:lang w:eastAsia="zh-CN"/>
              </w:rPr>
            </w:pPr>
          </w:p>
        </w:tc>
        <w:tc>
          <w:tcPr>
            <w:tcW w:w="3079" w:type="dxa"/>
          </w:tcPr>
          <w:p w:rsidRPr="007B77ED" w:rsidR="002101FF" w:rsidP="00BD1418" w:rsidRDefault="002101FF" w14:paraId="5004FDCE" w14:textId="470D5FE4">
            <w:pPr>
              <w:jc w:val="both"/>
              <w:rPr>
                <w:rFonts w:hint="eastAsia" w:cs="Calibri"/>
                <w:sz w:val="20"/>
                <w:szCs w:val="20"/>
              </w:rPr>
            </w:pPr>
          </w:p>
        </w:tc>
        <w:tc>
          <w:tcPr>
            <w:tcW w:w="3366" w:type="dxa"/>
          </w:tcPr>
          <w:p w:rsidRPr="007B77ED" w:rsidR="002101FF" w:rsidP="00BD1418" w:rsidRDefault="002101FF" w14:paraId="6A89B7A0" w14:textId="3B5E59CE">
            <w:pPr>
              <w:jc w:val="both"/>
              <w:rPr>
                <w:rFonts w:hint="eastAsia" w:cs="Calibri"/>
                <w:sz w:val="20"/>
                <w:szCs w:val="20"/>
              </w:rPr>
            </w:pPr>
          </w:p>
        </w:tc>
      </w:tr>
      <w:tr w:rsidRPr="00CE5391" w:rsidR="002101FF" w:rsidTr="26F4EFF6" w14:paraId="3F2241C1" w14:textId="77777777">
        <w:trPr>
          <w:trHeight w:val="284"/>
        </w:trPr>
        <w:tc>
          <w:tcPr>
            <w:tcW w:w="1285" w:type="dxa"/>
          </w:tcPr>
          <w:p w:rsidR="26F4EFF6" w:rsidP="26F4EFF6" w:rsidRDefault="26F4EFF6" w14:paraId="62E83DEF" w14:textId="5A44ED46">
            <w:pPr>
              <w:jc w:val="both"/>
              <w:rPr>
                <w:rFonts w:hint="eastAsia" w:cs="Calibri"/>
                <w:sz w:val="20"/>
                <w:szCs w:val="20"/>
                <w:lang w:eastAsia="zh-CN"/>
              </w:rPr>
            </w:pPr>
          </w:p>
        </w:tc>
        <w:tc>
          <w:tcPr>
            <w:tcW w:w="1285" w:type="dxa"/>
          </w:tcPr>
          <w:p w:rsidRPr="009F48DA" w:rsidR="002101FF" w:rsidP="00BD1418" w:rsidRDefault="002101FF" w14:paraId="4FEB68AB" w14:textId="4A7B58B5">
            <w:pPr>
              <w:jc w:val="both"/>
              <w:rPr>
                <w:rFonts w:hint="eastAsia" w:cs="Calibri"/>
                <w:sz w:val="20"/>
                <w:szCs w:val="20"/>
                <w:lang w:eastAsia="zh-CN"/>
              </w:rPr>
            </w:pPr>
          </w:p>
        </w:tc>
        <w:tc>
          <w:tcPr>
            <w:tcW w:w="3079" w:type="dxa"/>
          </w:tcPr>
          <w:p w:rsidRPr="007B77ED" w:rsidR="002101FF" w:rsidP="00BD1418" w:rsidRDefault="002101FF" w14:paraId="151B5764" w14:textId="427B1030">
            <w:pPr>
              <w:jc w:val="both"/>
              <w:rPr>
                <w:rFonts w:hint="eastAsia" w:cs="Calibri"/>
                <w:sz w:val="20"/>
                <w:szCs w:val="20"/>
              </w:rPr>
            </w:pPr>
          </w:p>
        </w:tc>
        <w:tc>
          <w:tcPr>
            <w:tcW w:w="3366" w:type="dxa"/>
          </w:tcPr>
          <w:p w:rsidRPr="007B77ED" w:rsidR="002101FF" w:rsidP="00BD1418" w:rsidRDefault="002101FF" w14:paraId="54F4670D" w14:textId="60A85673">
            <w:pPr>
              <w:jc w:val="both"/>
              <w:rPr>
                <w:rFonts w:hint="eastAsia" w:cs="Calibri"/>
                <w:sz w:val="20"/>
                <w:szCs w:val="20"/>
              </w:rPr>
            </w:pPr>
          </w:p>
        </w:tc>
      </w:tr>
    </w:tbl>
    <w:p w:rsidR="002101FF" w:rsidP="002101FF" w:rsidRDefault="002101FF" w14:paraId="20414F66" w14:textId="77777777">
      <w:pPr>
        <w:pStyle w:val="ListParagraph"/>
        <w:ind w:left="360"/>
        <w:jc w:val="both"/>
        <w:rPr>
          <w:rFonts w:ascii="Times New Roman" w:hAnsi="Times New Roman" w:cs="Times New Roman"/>
          <w:sz w:val="24"/>
          <w:szCs w:val="24"/>
        </w:rPr>
      </w:pPr>
    </w:p>
    <w:p w:rsidRPr="00CE5391" w:rsidR="002101FF" w:rsidP="002101FF" w:rsidRDefault="002101FF" w14:paraId="048FBE12" w14:textId="77777777">
      <w:pPr>
        <w:pStyle w:val="ListParagraph"/>
        <w:spacing w:after="0" w:line="240" w:lineRule="auto"/>
        <w:ind w:left="360"/>
        <w:jc w:val="both"/>
        <w:rPr>
          <w:rFonts w:ascii="Calibri" w:hAnsi="Calibri" w:eastAsia="Calibri" w:cs="Calibri"/>
          <w:sz w:val="20"/>
          <w:szCs w:val="20"/>
        </w:rPr>
      </w:pPr>
      <w:r w:rsidRPr="00CE5391">
        <w:rPr>
          <w:rFonts w:ascii="Calibri" w:hAnsi="Calibri" w:eastAsia="Calibri" w:cs="Calibri"/>
          <w:b/>
          <w:bCs/>
          <w:sz w:val="20"/>
          <w:szCs w:val="20"/>
        </w:rPr>
        <w:t>Table 7:</w:t>
      </w:r>
      <w:r w:rsidRPr="00CE5391">
        <w:rPr>
          <w:rFonts w:ascii="Calibri" w:hAnsi="Calibri" w:eastAsia="Calibri" w:cs="Calibri"/>
          <w:sz w:val="20"/>
          <w:szCs w:val="20"/>
        </w:rPr>
        <w:t xml:space="preserve"> </w:t>
      </w:r>
      <w:r w:rsidRPr="00CE5391">
        <w:rPr>
          <w:rFonts w:ascii="Calibri" w:hAnsi="Calibri" w:eastAsia="Calibri" w:cs="Calibri"/>
          <w:sz w:val="20"/>
          <w:szCs w:val="20"/>
          <w:u w:val="single"/>
        </w:rPr>
        <w:t>Summary of Number of DMUs, Period of Analysis, Sample size, and Source(s) of Data</w:t>
      </w:r>
      <w:r w:rsidRPr="00CE5391">
        <w:rPr>
          <w:rFonts w:ascii="Calibri" w:hAnsi="Calibri" w:eastAsia="Calibri" w:cs="Calibri"/>
          <w:sz w:val="20"/>
          <w:szCs w:val="20"/>
        </w:rPr>
        <w:t xml:space="preserve"> (guidelines: analyse this table by type of DMU, when relevant, and classify them into meaningful categories and discuss them in the main text)</w:t>
      </w:r>
    </w:p>
    <w:tbl>
      <w:tblPr>
        <w:tblStyle w:val="TableGrid"/>
        <w:tblW w:w="4810" w:type="pct"/>
        <w:tblInd w:w="355" w:type="dxa"/>
        <w:tblLook w:val="04A0" w:firstRow="1" w:lastRow="0" w:firstColumn="1" w:lastColumn="0" w:noHBand="0" w:noVBand="1"/>
      </w:tblPr>
      <w:tblGrid>
        <w:gridCol w:w="1126"/>
        <w:gridCol w:w="1287"/>
        <w:gridCol w:w="1702"/>
        <w:gridCol w:w="1575"/>
        <w:gridCol w:w="1654"/>
        <w:gridCol w:w="1651"/>
      </w:tblGrid>
      <w:tr w:rsidRPr="00CE5391" w:rsidR="00331E11" w:rsidTr="4F940BA9" w14:paraId="33DB4A7E" w14:textId="77777777">
        <w:trPr>
          <w:trHeight w:val="465"/>
        </w:trPr>
        <w:tc>
          <w:tcPr>
            <w:tcW w:w="641" w:type="pct"/>
            <w:tcMar/>
          </w:tcPr>
          <w:p w:rsidRPr="00CE5391" w:rsidR="00331E11" w:rsidP="00331E11" w:rsidRDefault="00331E11" w14:paraId="113842DE" w14:textId="45B44AE7">
            <w:pPr>
              <w:jc w:val="center"/>
              <w:rPr>
                <w:rFonts w:hint="eastAsia" w:cs="Calibri"/>
                <w:b/>
                <w:bCs/>
                <w:sz w:val="20"/>
                <w:szCs w:val="20"/>
                <w:lang w:eastAsia="zh-CN"/>
              </w:rPr>
            </w:pPr>
            <w:r>
              <w:rPr>
                <w:rFonts w:cs="Calibri"/>
                <w:b/>
                <w:bCs/>
                <w:sz w:val="20"/>
                <w:szCs w:val="20"/>
              </w:rPr>
              <w:t>Paper #</w:t>
            </w:r>
          </w:p>
        </w:tc>
        <w:tc>
          <w:tcPr>
            <w:tcW w:w="642" w:type="pct"/>
            <w:tcMar/>
            <w:vAlign w:val="center"/>
          </w:tcPr>
          <w:p w:rsidRPr="00CE5391" w:rsidR="00331E11" w:rsidP="00331E11" w:rsidRDefault="00331E11" w14:paraId="197B6CFE" w14:textId="2C0EA355">
            <w:pPr>
              <w:spacing w:after="160" w:line="259" w:lineRule="auto"/>
              <w:jc w:val="center"/>
              <w:rPr>
                <w:rFonts w:hint="eastAsia" w:cs="Calibri"/>
                <w:b/>
                <w:bCs/>
                <w:sz w:val="20"/>
                <w:szCs w:val="20"/>
                <w:lang w:eastAsia="zh-CN"/>
              </w:rPr>
            </w:pPr>
            <w:r w:rsidRPr="00CE5391">
              <w:rPr>
                <w:rFonts w:cs="Calibri"/>
                <w:b/>
                <w:bCs/>
                <w:sz w:val="20"/>
                <w:szCs w:val="20"/>
                <w:lang w:eastAsia="zh-CN"/>
              </w:rPr>
              <w:t>Reference</w:t>
            </w:r>
          </w:p>
        </w:tc>
        <w:tc>
          <w:tcPr>
            <w:tcW w:w="961" w:type="pct"/>
            <w:tcMar/>
            <w:vAlign w:val="center"/>
          </w:tcPr>
          <w:p w:rsidRPr="00CE5391" w:rsidR="00331E11" w:rsidP="00331E11" w:rsidRDefault="00331E11" w14:paraId="2F110572" w14:textId="77777777">
            <w:pPr>
              <w:spacing w:after="160" w:line="259" w:lineRule="auto"/>
              <w:jc w:val="center"/>
              <w:rPr>
                <w:rFonts w:hint="eastAsia" w:cs="Calibri"/>
                <w:b/>
                <w:bCs/>
                <w:sz w:val="20"/>
                <w:szCs w:val="20"/>
                <w:lang w:eastAsia="zh-CN"/>
              </w:rPr>
            </w:pPr>
            <w:r w:rsidRPr="00CE5391">
              <w:rPr>
                <w:rFonts w:cs="Calibri"/>
                <w:b/>
                <w:bCs/>
                <w:sz w:val="20"/>
                <w:szCs w:val="20"/>
                <w:lang w:eastAsia="zh-CN"/>
              </w:rPr>
              <w:t>Number of DMUs &amp; their country(ies)</w:t>
            </w:r>
          </w:p>
        </w:tc>
        <w:tc>
          <w:tcPr>
            <w:tcW w:w="890" w:type="pct"/>
            <w:tcMar/>
            <w:vAlign w:val="center"/>
          </w:tcPr>
          <w:p w:rsidRPr="00CE5391" w:rsidR="00331E11" w:rsidP="00331E11" w:rsidRDefault="00331E11" w14:paraId="3B0AB098" w14:textId="77777777">
            <w:pPr>
              <w:spacing w:after="160" w:line="259" w:lineRule="auto"/>
              <w:jc w:val="center"/>
              <w:rPr>
                <w:rFonts w:hint="eastAsia" w:cs="Calibri"/>
                <w:b/>
                <w:bCs/>
                <w:sz w:val="20"/>
                <w:szCs w:val="20"/>
                <w:lang w:eastAsia="zh-CN"/>
              </w:rPr>
            </w:pPr>
            <w:r w:rsidRPr="00CE5391">
              <w:rPr>
                <w:rFonts w:cs="Calibri"/>
                <w:b/>
                <w:bCs/>
                <w:sz w:val="20"/>
                <w:szCs w:val="20"/>
                <w:lang w:eastAsia="zh-CN"/>
              </w:rPr>
              <w:t>Period of analysis</w:t>
            </w:r>
          </w:p>
        </w:tc>
        <w:tc>
          <w:tcPr>
            <w:tcW w:w="934" w:type="pct"/>
            <w:tcMar/>
            <w:vAlign w:val="center"/>
          </w:tcPr>
          <w:p w:rsidRPr="00CE5391" w:rsidR="00331E11" w:rsidP="00331E11" w:rsidRDefault="00331E11" w14:paraId="24258A51" w14:textId="77777777">
            <w:pPr>
              <w:jc w:val="center"/>
              <w:rPr>
                <w:rFonts w:hint="eastAsia" w:cs="Calibri"/>
                <w:b/>
                <w:bCs/>
                <w:sz w:val="20"/>
                <w:szCs w:val="20"/>
                <w:lang w:eastAsia="zh-CN"/>
              </w:rPr>
            </w:pPr>
            <w:r w:rsidRPr="00CE5391">
              <w:rPr>
                <w:rFonts w:cs="Calibri"/>
                <w:b/>
                <w:bCs/>
                <w:sz w:val="20"/>
                <w:szCs w:val="20"/>
                <w:lang w:eastAsia="zh-CN"/>
              </w:rPr>
              <w:t>Sample Size</w:t>
            </w:r>
          </w:p>
        </w:tc>
        <w:tc>
          <w:tcPr>
            <w:tcW w:w="932" w:type="pct"/>
            <w:tcMar/>
            <w:vAlign w:val="center"/>
          </w:tcPr>
          <w:p w:rsidRPr="00CE5391" w:rsidR="00331E11" w:rsidP="00331E11" w:rsidRDefault="00331E11" w14:paraId="4F3809C3" w14:textId="77777777">
            <w:pPr>
              <w:jc w:val="center"/>
              <w:rPr>
                <w:rFonts w:hint="eastAsia" w:cs="Calibri"/>
                <w:b/>
                <w:bCs/>
                <w:sz w:val="20"/>
                <w:szCs w:val="20"/>
                <w:lang w:eastAsia="zh-CN"/>
              </w:rPr>
            </w:pPr>
            <w:r w:rsidRPr="00CE5391">
              <w:rPr>
                <w:rFonts w:cs="Calibri"/>
                <w:b/>
                <w:bCs/>
                <w:sz w:val="20"/>
                <w:szCs w:val="20"/>
                <w:lang w:eastAsia="zh-CN"/>
              </w:rPr>
              <w:t>Source of Data</w:t>
            </w:r>
          </w:p>
        </w:tc>
      </w:tr>
      <w:tr w:rsidR="2B7FFB25" w:rsidTr="4F940BA9" w14:paraId="7DFDD659" w14:textId="77777777">
        <w:trPr>
          <w:trHeight w:val="300"/>
        </w:trPr>
        <w:tc>
          <w:tcPr>
            <w:tcW w:w="1153" w:type="dxa"/>
            <w:tcMar/>
          </w:tcPr>
          <w:p w:rsidR="7F838F65" w:rsidP="2B7FFB25" w:rsidRDefault="7F838F65" w14:paraId="48E8DF5C" w14:textId="76248D9B">
            <w:pPr>
              <w:jc w:val="center"/>
              <w:rPr>
                <w:rFonts w:hint="eastAsia" w:cs="Calibri"/>
                <w:sz w:val="20"/>
                <w:szCs w:val="20"/>
                <w:lang w:eastAsia="zh-CN"/>
              </w:rPr>
            </w:pPr>
            <w:r w:rsidRPr="2B7FFB25">
              <w:rPr>
                <w:rFonts w:cs="Calibri"/>
                <w:sz w:val="20"/>
                <w:szCs w:val="20"/>
                <w:lang w:eastAsia="zh-CN"/>
              </w:rPr>
              <w:t>3</w:t>
            </w:r>
          </w:p>
        </w:tc>
        <w:tc>
          <w:tcPr>
            <w:tcW w:w="1155" w:type="dxa"/>
            <w:tcMar/>
          </w:tcPr>
          <w:p w:rsidR="7F838F65" w:rsidP="2B7FFB25" w:rsidRDefault="7F838F65" w14:paraId="6DA7B111" w14:textId="4CADC935">
            <w:pPr>
              <w:jc w:val="center"/>
              <w:rPr>
                <w:rFonts w:hint="eastAsia"/>
              </w:rPr>
            </w:pPr>
            <w:r w:rsidRPr="2B7FFB25">
              <w:rPr>
                <w:rFonts w:ascii="Aptos" w:hAnsi="Aptos" w:eastAsia="Aptos" w:cs="Aptos"/>
                <w:color w:val="000000" w:themeColor="text1"/>
                <w:sz w:val="19"/>
                <w:szCs w:val="19"/>
              </w:rPr>
              <w:t>Xiaogang Chen, Michael Skully, and Kym Brown (2005)</w:t>
            </w:r>
          </w:p>
        </w:tc>
        <w:tc>
          <w:tcPr>
            <w:tcW w:w="1729" w:type="dxa"/>
            <w:tcMar/>
            <w:vAlign w:val="center"/>
          </w:tcPr>
          <w:p w:rsidR="7F838F65" w:rsidP="2B7FFB25" w:rsidRDefault="7F838F65" w14:paraId="6E9EF14C" w14:textId="421D7A9E">
            <w:pPr>
              <w:rPr>
                <w:rFonts w:hint="eastAsia"/>
              </w:rPr>
            </w:pPr>
            <w:r w:rsidRPr="2B7FFB25">
              <w:rPr>
                <w:rFonts w:ascii="Aptos" w:hAnsi="Aptos" w:eastAsia="Aptos" w:cs="Aptos"/>
                <w:color w:val="000000" w:themeColor="text1"/>
                <w:sz w:val="19"/>
                <w:szCs w:val="19"/>
              </w:rPr>
              <w:t>43 Chinese banks, including state-owned, regional joint-equity, and investment banks</w:t>
            </w:r>
          </w:p>
        </w:tc>
        <w:tc>
          <w:tcPr>
            <w:tcW w:w="1601" w:type="dxa"/>
            <w:tcMar/>
            <w:vAlign w:val="center"/>
          </w:tcPr>
          <w:p w:rsidR="2B7FFB25" w:rsidP="2B7FFB25" w:rsidRDefault="2B7FFB25" w14:paraId="0F4CFA2A" w14:textId="11A4A7C5">
            <w:pPr>
              <w:jc w:val="center"/>
              <w:rPr>
                <w:rFonts w:hint="eastAsia"/>
              </w:rPr>
            </w:pPr>
            <w:r w:rsidRPr="2B7FFB25">
              <w:rPr>
                <w:rFonts w:ascii="Aptos" w:hAnsi="Aptos" w:eastAsia="Aptos" w:cs="Aptos"/>
                <w:color w:val="000000" w:themeColor="text1"/>
                <w:sz w:val="19"/>
                <w:szCs w:val="19"/>
              </w:rPr>
              <w:t>1993–2000</w:t>
            </w:r>
          </w:p>
        </w:tc>
        <w:tc>
          <w:tcPr>
            <w:tcW w:w="1680" w:type="dxa"/>
            <w:tcMar/>
          </w:tcPr>
          <w:p w:rsidR="2B7FFB25" w:rsidP="2B7FFB25" w:rsidRDefault="2B7FFB25" w14:paraId="12D79B9F" w14:textId="31951CAF">
            <w:pPr>
              <w:jc w:val="center"/>
              <w:rPr>
                <w:rFonts w:hint="eastAsia"/>
              </w:rPr>
            </w:pPr>
            <w:r w:rsidRPr="2B7FFB25">
              <w:rPr>
                <w:rFonts w:ascii="Aptos" w:hAnsi="Aptos" w:eastAsia="Aptos" w:cs="Aptos"/>
                <w:color w:val="000000" w:themeColor="text1"/>
                <w:sz w:val="19"/>
                <w:szCs w:val="19"/>
              </w:rPr>
              <w:t>43</w:t>
            </w:r>
          </w:p>
        </w:tc>
        <w:tc>
          <w:tcPr>
            <w:tcW w:w="1677" w:type="dxa"/>
            <w:tcMar/>
          </w:tcPr>
          <w:p w:rsidR="2B7FFB25" w:rsidP="2B7FFB25" w:rsidRDefault="2B7FFB25" w14:paraId="32F94D17" w14:textId="0F51747C">
            <w:pPr>
              <w:jc w:val="center"/>
              <w:rPr>
                <w:rFonts w:hint="eastAsia"/>
              </w:rPr>
            </w:pPr>
            <w:r w:rsidRPr="2B7FFB25">
              <w:rPr>
                <w:rFonts w:ascii="Aptos" w:hAnsi="Aptos" w:eastAsia="Aptos" w:cs="Aptos"/>
                <w:color w:val="000000" w:themeColor="text1"/>
                <w:sz w:val="19"/>
                <w:szCs w:val="19"/>
              </w:rPr>
              <w:t>BankScope, which aggregates comprehensive financial information on banks globally</w:t>
            </w:r>
          </w:p>
        </w:tc>
      </w:tr>
      <w:tr w:rsidR="2B7FFB25" w:rsidTr="4F940BA9" w14:paraId="300BCBDE" w14:textId="77777777">
        <w:trPr>
          <w:trHeight w:val="300"/>
        </w:trPr>
        <w:tc>
          <w:tcPr>
            <w:tcW w:w="1153" w:type="dxa"/>
            <w:tcMar/>
          </w:tcPr>
          <w:p w:rsidR="2B7FFB25" w:rsidP="2B7FFB25" w:rsidRDefault="2B7FFB25" w14:paraId="128D0ADA" w14:textId="4E5F92C7">
            <w:pPr>
              <w:jc w:val="center"/>
              <w:rPr>
                <w:rFonts w:hint="eastAsia" w:cs="Calibri"/>
                <w:sz w:val="20"/>
                <w:szCs w:val="20"/>
                <w:lang w:eastAsia="zh-CN"/>
              </w:rPr>
            </w:pPr>
            <w:r w:rsidRPr="2B7FFB25">
              <w:rPr>
                <w:rFonts w:cs="Calibri"/>
                <w:sz w:val="20"/>
                <w:szCs w:val="20"/>
                <w:lang w:eastAsia="zh-CN"/>
              </w:rPr>
              <w:t>5</w:t>
            </w:r>
          </w:p>
        </w:tc>
        <w:tc>
          <w:tcPr>
            <w:tcW w:w="1155" w:type="dxa"/>
            <w:tcMar/>
          </w:tcPr>
          <w:p w:rsidR="2B7FFB25" w:rsidP="2B7FFB25" w:rsidRDefault="2B7FFB25" w14:paraId="16D84FD2" w14:textId="7B895C1C">
            <w:pPr>
              <w:jc w:val="center"/>
              <w:rPr>
                <w:rFonts w:hint="eastAsia"/>
              </w:rPr>
            </w:pPr>
            <w:r w:rsidRPr="2B7FFB25">
              <w:rPr>
                <w:rFonts w:cs="Calibri"/>
                <w:sz w:val="20"/>
                <w:szCs w:val="20"/>
                <w:lang w:eastAsia="zh-CN"/>
              </w:rPr>
              <w:t>Matthews (2013)</w:t>
            </w:r>
          </w:p>
        </w:tc>
        <w:tc>
          <w:tcPr>
            <w:tcW w:w="1729" w:type="dxa"/>
            <w:tcMar/>
            <w:vAlign w:val="center"/>
          </w:tcPr>
          <w:p w:rsidR="2B7FFB25" w:rsidP="2B7FFB25" w:rsidRDefault="2B7FFB25" w14:paraId="6DD6AD59" w14:textId="77777777">
            <w:pPr>
              <w:rPr>
                <w:rFonts w:eastAsia="Arial Unicode MS" w:cs="Arial Unicode MS"/>
                <w:color w:val="000000" w:themeColor="text1"/>
                <w:sz w:val="20"/>
                <w:szCs w:val="20"/>
              </w:rPr>
            </w:pPr>
            <w:r w:rsidRPr="2B7FFB25">
              <w:rPr>
                <w:rFonts w:eastAsia="Arial Unicode MS" w:cs="Arial Unicode MS"/>
                <w:color w:val="000000" w:themeColor="text1"/>
                <w:sz w:val="20"/>
                <w:szCs w:val="20"/>
              </w:rPr>
              <w:t>18 Chinese banks</w:t>
            </w:r>
          </w:p>
        </w:tc>
        <w:tc>
          <w:tcPr>
            <w:tcW w:w="1601" w:type="dxa"/>
            <w:tcMar/>
            <w:vAlign w:val="center"/>
          </w:tcPr>
          <w:p w:rsidR="2B7FFB25" w:rsidP="2B7FFB25" w:rsidRDefault="2B7FFB25" w14:paraId="15EB5D72" w14:textId="77777777">
            <w:pPr>
              <w:jc w:val="center"/>
              <w:rPr>
                <w:rFonts w:eastAsia="Arial Unicode MS" w:cs="Arial Unicode MS"/>
                <w:color w:val="000000" w:themeColor="text1"/>
                <w:sz w:val="20"/>
                <w:szCs w:val="20"/>
              </w:rPr>
            </w:pPr>
            <w:r w:rsidRPr="2B7FFB25">
              <w:rPr>
                <w:rFonts w:eastAsia="Arial Unicode MS" w:cs="Arial Unicode MS"/>
                <w:color w:val="000000" w:themeColor="text1"/>
                <w:sz w:val="20"/>
                <w:szCs w:val="20"/>
              </w:rPr>
              <w:t>2007-2008</w:t>
            </w:r>
          </w:p>
        </w:tc>
        <w:tc>
          <w:tcPr>
            <w:tcW w:w="1680" w:type="dxa"/>
            <w:tcMar/>
          </w:tcPr>
          <w:p w:rsidR="2B7FFB25" w:rsidP="2B7FFB25" w:rsidRDefault="2B7FFB25" w14:paraId="196FB49D" w14:textId="77777777">
            <w:pPr>
              <w:jc w:val="center"/>
              <w:rPr>
                <w:rFonts w:eastAsia="Arial Unicode MS" w:cs="Arial Unicode MS"/>
                <w:color w:val="000000" w:themeColor="text1"/>
                <w:sz w:val="20"/>
                <w:szCs w:val="20"/>
              </w:rPr>
            </w:pPr>
            <w:r w:rsidRPr="2B7FFB25">
              <w:rPr>
                <w:rFonts w:eastAsia="Arial Unicode MS" w:cs="Arial Unicode MS"/>
                <w:color w:val="000000" w:themeColor="text1"/>
                <w:sz w:val="20"/>
                <w:szCs w:val="20"/>
              </w:rPr>
              <w:t>36</w:t>
            </w:r>
          </w:p>
        </w:tc>
        <w:tc>
          <w:tcPr>
            <w:tcW w:w="1677" w:type="dxa"/>
            <w:tcMar/>
          </w:tcPr>
          <w:p w:rsidR="2B7FFB25" w:rsidP="2B7FFB25" w:rsidRDefault="2B7FFB25" w14:paraId="04F07769" w14:textId="77777777">
            <w:pPr>
              <w:jc w:val="center"/>
              <w:rPr>
                <w:rFonts w:eastAsia="Arial Unicode MS" w:cs="Arial Unicode MS"/>
                <w:color w:val="000000" w:themeColor="text1"/>
                <w:sz w:val="20"/>
                <w:szCs w:val="20"/>
              </w:rPr>
            </w:pPr>
            <w:r w:rsidRPr="2B7FFB25">
              <w:rPr>
                <w:rFonts w:eastAsia="Arial Unicode MS" w:cs="Arial Unicode MS"/>
                <w:color w:val="000000" w:themeColor="text1"/>
                <w:sz w:val="20"/>
                <w:szCs w:val="20"/>
              </w:rPr>
              <w:t>Chinese banks, interviews</w:t>
            </w:r>
          </w:p>
        </w:tc>
      </w:tr>
      <w:tr w:rsidR="2B7FFB25" w:rsidTr="4F940BA9" w14:paraId="22BCA49D" w14:textId="77777777">
        <w:trPr>
          <w:trHeight w:val="300"/>
        </w:trPr>
        <w:tc>
          <w:tcPr>
            <w:tcW w:w="1153" w:type="dxa"/>
            <w:tcMar/>
          </w:tcPr>
          <w:p w:rsidR="353F677F" w:rsidP="2B7FFB25" w:rsidRDefault="353F677F" w14:paraId="550EBED9" w14:textId="2042DAB0">
            <w:pPr>
              <w:jc w:val="center"/>
              <w:rPr>
                <w:rFonts w:hint="eastAsia" w:cs="Calibri"/>
                <w:sz w:val="20"/>
                <w:szCs w:val="20"/>
                <w:lang w:eastAsia="zh-CN"/>
              </w:rPr>
            </w:pPr>
            <w:r w:rsidRPr="2B7FFB25">
              <w:rPr>
                <w:rFonts w:cs="Calibri"/>
                <w:sz w:val="20"/>
                <w:szCs w:val="20"/>
                <w:lang w:eastAsia="zh-CN"/>
              </w:rPr>
              <w:t>8</w:t>
            </w:r>
          </w:p>
        </w:tc>
        <w:tc>
          <w:tcPr>
            <w:tcW w:w="1155" w:type="dxa"/>
            <w:tcMar/>
          </w:tcPr>
          <w:p w:rsidR="353F677F" w:rsidP="2B7FFB25" w:rsidRDefault="353F677F" w14:paraId="60425968" w14:textId="2C41E5B3">
            <w:pPr>
              <w:jc w:val="center"/>
              <w:rPr>
                <w:rFonts w:hint="eastAsia"/>
              </w:rPr>
            </w:pPr>
            <w:r w:rsidRPr="2B7FFB25">
              <w:rPr>
                <w:rFonts w:ascii="Aptos" w:hAnsi="Aptos" w:eastAsia="Aptos" w:cs="Aptos"/>
                <w:color w:val="000000" w:themeColor="text1"/>
                <w:sz w:val="19"/>
                <w:szCs w:val="19"/>
              </w:rPr>
              <w:t>Xiaohong Liu, Feng Yang, Jie Wu (2020)</w:t>
            </w:r>
          </w:p>
        </w:tc>
        <w:tc>
          <w:tcPr>
            <w:tcW w:w="1729" w:type="dxa"/>
            <w:tcMar/>
            <w:vAlign w:val="center"/>
          </w:tcPr>
          <w:p w:rsidR="2B7FFB25" w:rsidP="2B7FFB25" w:rsidRDefault="2B7FFB25" w14:paraId="5E2DA19B" w14:textId="21C370B6">
            <w:pPr>
              <w:jc w:val="center"/>
              <w:rPr>
                <w:rFonts w:hint="eastAsia"/>
              </w:rPr>
            </w:pPr>
            <w:r w:rsidRPr="2B7FFB25">
              <w:rPr>
                <w:rFonts w:ascii="Aptos" w:hAnsi="Aptos" w:eastAsia="Aptos" w:cs="Aptos"/>
                <w:color w:val="374151"/>
                <w:sz w:val="19"/>
                <w:szCs w:val="19"/>
              </w:rPr>
              <w:t>28 Chinese Commercial Banks</w:t>
            </w:r>
          </w:p>
        </w:tc>
        <w:tc>
          <w:tcPr>
            <w:tcW w:w="1601" w:type="dxa"/>
            <w:tcMar/>
            <w:vAlign w:val="center"/>
          </w:tcPr>
          <w:p w:rsidR="2B7FFB25" w:rsidP="2B7FFB25" w:rsidRDefault="2B7FFB25" w14:paraId="153E5CE9" w14:textId="24498B4F">
            <w:pPr>
              <w:jc w:val="center"/>
              <w:rPr>
                <w:rFonts w:hint="eastAsia"/>
              </w:rPr>
            </w:pPr>
            <w:r w:rsidRPr="2B7FFB25">
              <w:rPr>
                <w:rFonts w:ascii="Aptos" w:hAnsi="Aptos" w:eastAsia="Aptos" w:cs="Aptos"/>
                <w:color w:val="374151"/>
                <w:sz w:val="19"/>
                <w:szCs w:val="19"/>
              </w:rPr>
              <w:t>2013–2017</w:t>
            </w:r>
          </w:p>
        </w:tc>
        <w:tc>
          <w:tcPr>
            <w:tcW w:w="1680" w:type="dxa"/>
            <w:tcMar/>
          </w:tcPr>
          <w:p w:rsidR="2B7FFB25" w:rsidP="2B7FFB25" w:rsidRDefault="2B7FFB25" w14:paraId="177798C1" w14:textId="13FE494B">
            <w:pPr>
              <w:jc w:val="center"/>
              <w:rPr>
                <w:rFonts w:hint="eastAsia"/>
              </w:rPr>
            </w:pPr>
            <w:r w:rsidRPr="2B7FFB25">
              <w:rPr>
                <w:rFonts w:ascii="Aptos" w:hAnsi="Aptos" w:eastAsia="Aptos" w:cs="Aptos"/>
                <w:color w:val="374151"/>
                <w:sz w:val="19"/>
                <w:szCs w:val="19"/>
              </w:rPr>
              <w:t>140 observations</w:t>
            </w:r>
          </w:p>
        </w:tc>
        <w:tc>
          <w:tcPr>
            <w:tcW w:w="1677" w:type="dxa"/>
            <w:tcMar/>
          </w:tcPr>
          <w:p w:rsidR="2B7FFB25" w:rsidP="2B7FFB25" w:rsidRDefault="2B7FFB25" w14:paraId="50C30156" w14:textId="3A1561C2">
            <w:pPr>
              <w:jc w:val="center"/>
              <w:rPr>
                <w:rFonts w:hint="eastAsia"/>
              </w:rPr>
            </w:pPr>
            <w:r w:rsidRPr="2B7FFB25">
              <w:rPr>
                <w:rFonts w:ascii="Aptos" w:hAnsi="Aptos" w:eastAsia="Aptos" w:cs="Aptos"/>
                <w:color w:val="000000" w:themeColor="text1"/>
                <w:sz w:val="19"/>
                <w:szCs w:val="19"/>
              </w:rPr>
              <w:t>Wind Database</w:t>
            </w:r>
          </w:p>
        </w:tc>
      </w:tr>
      <w:tr w:rsidRPr="00CE5391" w:rsidR="00331E11" w:rsidTr="4F940BA9" w14:paraId="7C309725" w14:textId="77777777">
        <w:tc>
          <w:tcPr>
            <w:tcW w:w="641" w:type="pct"/>
            <w:tcMar/>
          </w:tcPr>
          <w:p w:rsidRPr="00611F08" w:rsidR="00331E11" w:rsidP="00331E11" w:rsidRDefault="00331E11" w14:paraId="651127B7" w14:textId="30AA6453">
            <w:pPr>
              <w:jc w:val="center"/>
              <w:rPr>
                <w:rFonts w:hint="eastAsia"/>
                <w:sz w:val="20"/>
                <w:szCs w:val="20"/>
              </w:rPr>
            </w:pPr>
            <w:r>
              <w:rPr>
                <w:sz w:val="20"/>
                <w:szCs w:val="20"/>
              </w:rPr>
              <w:t>10</w:t>
            </w:r>
          </w:p>
        </w:tc>
        <w:tc>
          <w:tcPr>
            <w:tcW w:w="642" w:type="pct"/>
            <w:tcMar/>
          </w:tcPr>
          <w:p w:rsidRPr="00CE5391" w:rsidR="00331E11" w:rsidP="00331E11" w:rsidRDefault="00331E11" w14:paraId="7EC596A4" w14:textId="6B9B40EE">
            <w:pPr>
              <w:jc w:val="center"/>
              <w:rPr>
                <w:rFonts w:hint="eastAsia" w:cs="Calibri"/>
                <w:sz w:val="20"/>
                <w:szCs w:val="20"/>
                <w:lang w:eastAsia="zh-CN"/>
              </w:rPr>
            </w:pPr>
            <w:r w:rsidRPr="00611F08">
              <w:rPr>
                <w:sz w:val="20"/>
                <w:szCs w:val="20"/>
              </w:rPr>
              <w:t>Wilson and Zhao (2023)</w:t>
            </w:r>
          </w:p>
        </w:tc>
        <w:tc>
          <w:tcPr>
            <w:tcW w:w="961" w:type="pct"/>
            <w:tcMar/>
            <w:vAlign w:val="center"/>
          </w:tcPr>
          <w:p w:rsidRPr="00CE5391" w:rsidR="00331E11" w:rsidP="00331E11" w:rsidRDefault="00331E11" w14:paraId="7D310DBB" w14:textId="77777777">
            <w:pPr>
              <w:rPr>
                <w:rFonts w:eastAsia="Arial Unicode MS" w:cs="Arial Unicode MS"/>
                <w:color w:val="000000" w:themeColor="text1"/>
                <w:sz w:val="20"/>
                <w:szCs w:val="20"/>
              </w:rPr>
            </w:pPr>
            <w:r>
              <w:rPr>
                <w:rFonts w:eastAsia="Arial Unicode MS" w:cs="Arial Unicode MS"/>
                <w:color w:val="000000" w:themeColor="text1"/>
                <w:sz w:val="20"/>
                <w:szCs w:val="20"/>
              </w:rPr>
              <w:t>124 Chinese banks (incl. 32 foreign banks)</w:t>
            </w:r>
          </w:p>
        </w:tc>
        <w:tc>
          <w:tcPr>
            <w:tcW w:w="890" w:type="pct"/>
            <w:tcMar/>
            <w:vAlign w:val="center"/>
          </w:tcPr>
          <w:p w:rsidRPr="00CE5391" w:rsidR="00331E11" w:rsidP="00331E11" w:rsidRDefault="00331E11" w14:paraId="5DE8BE63"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2007-2014</w:t>
            </w:r>
          </w:p>
        </w:tc>
        <w:tc>
          <w:tcPr>
            <w:tcW w:w="934" w:type="pct"/>
            <w:tcMar/>
          </w:tcPr>
          <w:p w:rsidRPr="00CE5391" w:rsidR="00331E11" w:rsidP="00331E11" w:rsidRDefault="00331E11" w14:paraId="44DCB4C1"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992</w:t>
            </w:r>
          </w:p>
        </w:tc>
        <w:tc>
          <w:tcPr>
            <w:tcW w:w="932" w:type="pct"/>
            <w:tcMar/>
          </w:tcPr>
          <w:p w:rsidRPr="00CE5391" w:rsidR="00331E11" w:rsidP="00331E11" w:rsidRDefault="00331E11" w14:paraId="620F3351"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BankScope</w:t>
            </w:r>
          </w:p>
        </w:tc>
      </w:tr>
      <w:tr w:rsidR="2B7FFB25" w:rsidTr="4F940BA9" w14:paraId="73EC042D" w14:textId="77777777">
        <w:trPr>
          <w:trHeight w:val="300"/>
        </w:trPr>
        <w:tc>
          <w:tcPr>
            <w:tcW w:w="1153" w:type="dxa"/>
            <w:tcMar/>
          </w:tcPr>
          <w:p w:rsidR="0E2DAA48" w:rsidP="2B7FFB25" w:rsidRDefault="0E2DAA48" w14:paraId="082AA47D" w14:textId="693F90A0">
            <w:pPr>
              <w:jc w:val="center"/>
              <w:rPr>
                <w:rFonts w:hint="eastAsia"/>
                <w:sz w:val="20"/>
                <w:szCs w:val="20"/>
              </w:rPr>
            </w:pPr>
            <w:r w:rsidRPr="2B7FFB25">
              <w:rPr>
                <w:sz w:val="20"/>
                <w:szCs w:val="20"/>
              </w:rPr>
              <w:t>13</w:t>
            </w:r>
          </w:p>
        </w:tc>
        <w:tc>
          <w:tcPr>
            <w:tcW w:w="1155" w:type="dxa"/>
            <w:tcMar/>
          </w:tcPr>
          <w:p w:rsidR="0E2DAA48" w:rsidP="2B7FFB25" w:rsidRDefault="0E2DAA48" w14:paraId="4810E619" w14:textId="59F000D8">
            <w:pPr>
              <w:jc w:val="center"/>
              <w:rPr>
                <w:rFonts w:hint="eastAsia"/>
              </w:rPr>
            </w:pPr>
            <w:r w:rsidRPr="2B7FFB25">
              <w:rPr>
                <w:rFonts w:ascii="Aptos" w:hAnsi="Aptos" w:eastAsia="Aptos" w:cs="Aptos"/>
                <w:color w:val="000000" w:themeColor="text1"/>
                <w:sz w:val="19"/>
                <w:szCs w:val="19"/>
              </w:rPr>
              <w:t>Xiao Shi, Libo Wang, Ali Emrouznejad (2023)</w:t>
            </w:r>
          </w:p>
        </w:tc>
        <w:tc>
          <w:tcPr>
            <w:tcW w:w="1729" w:type="dxa"/>
            <w:tcMar/>
            <w:vAlign w:val="center"/>
          </w:tcPr>
          <w:p w:rsidR="2B7FFB25" w:rsidP="2B7FFB25" w:rsidRDefault="2B7FFB25" w14:paraId="1C7B80E5" w14:textId="10939F64">
            <w:pPr>
              <w:jc w:val="center"/>
              <w:rPr>
                <w:rFonts w:hint="eastAsia"/>
              </w:rPr>
            </w:pPr>
            <w:r w:rsidRPr="2B7FFB25">
              <w:rPr>
                <w:rFonts w:ascii="Aptos" w:hAnsi="Aptos" w:eastAsia="Aptos" w:cs="Aptos"/>
                <w:color w:val="374151"/>
                <w:sz w:val="19"/>
                <w:szCs w:val="19"/>
              </w:rPr>
              <w:t>36 Chinese Commercial Banks</w:t>
            </w:r>
          </w:p>
        </w:tc>
        <w:tc>
          <w:tcPr>
            <w:tcW w:w="1601" w:type="dxa"/>
            <w:tcMar/>
            <w:vAlign w:val="center"/>
          </w:tcPr>
          <w:p w:rsidR="2B7FFB25" w:rsidP="2B7FFB25" w:rsidRDefault="2B7FFB25" w14:paraId="73F80157" w14:textId="05852E31">
            <w:pPr>
              <w:jc w:val="center"/>
              <w:rPr>
                <w:rFonts w:hint="eastAsia"/>
              </w:rPr>
            </w:pPr>
            <w:r w:rsidRPr="2B7FFB25">
              <w:rPr>
                <w:rFonts w:ascii="Aptos" w:hAnsi="Aptos" w:eastAsia="Aptos" w:cs="Aptos"/>
                <w:color w:val="374151"/>
                <w:sz w:val="19"/>
                <w:szCs w:val="19"/>
              </w:rPr>
              <w:t>2016-2021</w:t>
            </w:r>
          </w:p>
        </w:tc>
        <w:tc>
          <w:tcPr>
            <w:tcW w:w="1680" w:type="dxa"/>
            <w:tcMar/>
          </w:tcPr>
          <w:p w:rsidR="2B7FFB25" w:rsidP="2B7FFB25" w:rsidRDefault="2B7FFB25" w14:paraId="5A100120" w14:textId="0474EE0D">
            <w:pPr>
              <w:jc w:val="center"/>
              <w:rPr>
                <w:rFonts w:hint="eastAsia"/>
              </w:rPr>
            </w:pPr>
            <w:r w:rsidRPr="2B7FFB25">
              <w:rPr>
                <w:rFonts w:ascii="Aptos" w:hAnsi="Aptos" w:eastAsia="Aptos" w:cs="Aptos"/>
                <w:color w:val="374151"/>
                <w:sz w:val="19"/>
                <w:szCs w:val="19"/>
              </w:rPr>
              <w:t>36 banks over 6 years, resulting in 216 observations</w:t>
            </w:r>
          </w:p>
        </w:tc>
        <w:tc>
          <w:tcPr>
            <w:tcW w:w="1677" w:type="dxa"/>
            <w:tcMar/>
          </w:tcPr>
          <w:p w:rsidR="2B7FFB25" w:rsidP="2B7FFB25" w:rsidRDefault="2B7FFB25" w14:paraId="573329D5" w14:textId="19F8C0AD">
            <w:pPr>
              <w:jc w:val="center"/>
              <w:rPr>
                <w:rFonts w:hint="eastAsia"/>
              </w:rPr>
            </w:pPr>
            <w:r w:rsidRPr="2B7FFB25">
              <w:rPr>
                <w:rFonts w:ascii="Aptos" w:hAnsi="Aptos" w:eastAsia="Aptos" w:cs="Aptos"/>
                <w:color w:val="000000" w:themeColor="text1"/>
                <w:sz w:val="19"/>
                <w:szCs w:val="19"/>
              </w:rPr>
              <w:t>Data extracted from banks' annual reports and the Wind Database</w:t>
            </w:r>
          </w:p>
        </w:tc>
      </w:tr>
      <w:tr w:rsidRPr="00CE5391" w:rsidR="00331E11" w:rsidTr="4F940BA9" w14:paraId="4A116F25" w14:textId="77777777">
        <w:tc>
          <w:tcPr>
            <w:tcW w:w="641" w:type="pct"/>
            <w:tcMar/>
          </w:tcPr>
          <w:p w:rsidRPr="00E751D5" w:rsidR="00331E11" w:rsidP="00331E11" w:rsidRDefault="00331E11" w14:paraId="12BCB0CB" w14:textId="438EB8FB">
            <w:pPr>
              <w:jc w:val="center"/>
              <w:rPr>
                <w:rFonts w:hint="eastAsia" w:cs="Calibri"/>
                <w:sz w:val="20"/>
                <w:szCs w:val="20"/>
                <w:lang w:eastAsia="zh-CN"/>
              </w:rPr>
            </w:pPr>
            <w:r>
              <w:rPr>
                <w:rFonts w:cs="Calibri"/>
                <w:sz w:val="20"/>
                <w:szCs w:val="20"/>
                <w:lang w:eastAsia="zh-CN"/>
              </w:rPr>
              <w:t>15</w:t>
            </w:r>
          </w:p>
        </w:tc>
        <w:tc>
          <w:tcPr>
            <w:tcW w:w="642" w:type="pct"/>
            <w:tcMar/>
          </w:tcPr>
          <w:p w:rsidRPr="00B40DFB" w:rsidR="00331E11" w:rsidP="00331E11" w:rsidRDefault="00331E11" w14:paraId="429A3563" w14:textId="58FAEAE7">
            <w:pPr>
              <w:jc w:val="center"/>
              <w:rPr>
                <w:rFonts w:hint="eastAsia" w:cs="Calibri"/>
                <w:sz w:val="20"/>
                <w:szCs w:val="20"/>
                <w:lang w:eastAsia="zh-CN"/>
              </w:rPr>
            </w:pPr>
            <w:r w:rsidRPr="00E751D5">
              <w:rPr>
                <w:rFonts w:cs="Calibri"/>
                <w:sz w:val="20"/>
                <w:szCs w:val="20"/>
                <w:lang w:eastAsia="zh-CN"/>
              </w:rPr>
              <w:t xml:space="preserve">Asmild and Matthews </w:t>
            </w:r>
            <w:r>
              <w:rPr>
                <w:rFonts w:cs="Calibri"/>
                <w:sz w:val="20"/>
                <w:szCs w:val="20"/>
                <w:lang w:eastAsia="zh-CN"/>
              </w:rPr>
              <w:t>(</w:t>
            </w:r>
            <w:r w:rsidRPr="00E751D5">
              <w:rPr>
                <w:rFonts w:cs="Calibri"/>
                <w:sz w:val="20"/>
                <w:szCs w:val="20"/>
                <w:lang w:eastAsia="zh-CN"/>
              </w:rPr>
              <w:t>2012)</w:t>
            </w:r>
          </w:p>
        </w:tc>
        <w:tc>
          <w:tcPr>
            <w:tcW w:w="961" w:type="pct"/>
            <w:tcMar/>
            <w:vAlign w:val="center"/>
          </w:tcPr>
          <w:p w:rsidR="00331E11" w:rsidP="00331E11" w:rsidRDefault="00331E11" w14:paraId="30FEEA5C" w14:textId="77777777">
            <w:pPr>
              <w:rPr>
                <w:rFonts w:eastAsia="Arial Unicode MS" w:cs="Arial Unicode MS"/>
                <w:color w:val="000000" w:themeColor="text1"/>
                <w:sz w:val="20"/>
                <w:szCs w:val="20"/>
              </w:rPr>
            </w:pPr>
            <w:r>
              <w:rPr>
                <w:rFonts w:eastAsia="Arial Unicode MS" w:cs="Arial Unicode MS"/>
                <w:color w:val="000000" w:themeColor="text1"/>
                <w:sz w:val="20"/>
                <w:szCs w:val="20"/>
              </w:rPr>
              <w:t>14 Chinese banks</w:t>
            </w:r>
          </w:p>
        </w:tc>
        <w:tc>
          <w:tcPr>
            <w:tcW w:w="890" w:type="pct"/>
            <w:tcMar/>
            <w:vAlign w:val="center"/>
          </w:tcPr>
          <w:p w:rsidR="00331E11" w:rsidP="00331E11" w:rsidRDefault="00331E11" w14:paraId="3E71ABA1"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1997-2008</w:t>
            </w:r>
          </w:p>
        </w:tc>
        <w:tc>
          <w:tcPr>
            <w:tcW w:w="934" w:type="pct"/>
            <w:tcMar/>
          </w:tcPr>
          <w:p w:rsidR="00331E11" w:rsidP="00331E11" w:rsidRDefault="00331E11" w14:paraId="29D22205"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168</w:t>
            </w:r>
          </w:p>
        </w:tc>
        <w:tc>
          <w:tcPr>
            <w:tcW w:w="932" w:type="pct"/>
            <w:tcMar/>
          </w:tcPr>
          <w:p w:rsidR="00331E11" w:rsidP="00331E11" w:rsidRDefault="00331E11" w14:paraId="7D6FEE2F"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Bankscope, individual bank reports</w:t>
            </w:r>
          </w:p>
        </w:tc>
      </w:tr>
      <w:tr w:rsidR="2B7FFB25" w:rsidTr="4F940BA9" w14:paraId="6364B13B" w14:textId="77777777">
        <w:trPr>
          <w:trHeight w:val="300"/>
        </w:trPr>
        <w:tc>
          <w:tcPr>
            <w:tcW w:w="1153" w:type="dxa"/>
            <w:tcMar/>
          </w:tcPr>
          <w:p w:rsidR="0848DF72" w:rsidP="2B7FFB25" w:rsidRDefault="0848DF72" w14:paraId="53675FB5" w14:textId="7FD4812E">
            <w:pPr>
              <w:jc w:val="center"/>
              <w:rPr>
                <w:rFonts w:hint="eastAsia" w:cs="Calibri"/>
                <w:sz w:val="20"/>
                <w:szCs w:val="20"/>
                <w:lang w:eastAsia="zh-CN"/>
              </w:rPr>
            </w:pPr>
            <w:r w:rsidRPr="2B7FFB25">
              <w:rPr>
                <w:rFonts w:cs="Calibri"/>
                <w:sz w:val="20"/>
                <w:szCs w:val="20"/>
                <w:lang w:eastAsia="zh-CN"/>
              </w:rPr>
              <w:t>18</w:t>
            </w:r>
          </w:p>
        </w:tc>
        <w:tc>
          <w:tcPr>
            <w:tcW w:w="1155" w:type="dxa"/>
            <w:tcMar/>
          </w:tcPr>
          <w:p w:rsidR="2B7FFB25" w:rsidP="2B7FFB25" w:rsidRDefault="2B7FFB25" w14:paraId="54356DF4" w14:textId="08F5FF89">
            <w:pPr>
              <w:spacing w:before="240" w:after="240"/>
              <w:jc w:val="center"/>
              <w:rPr>
                <w:rFonts w:hint="eastAsia"/>
              </w:rPr>
            </w:pPr>
            <w:r w:rsidRPr="2B7FFB25">
              <w:rPr>
                <w:rFonts w:ascii="Aptos" w:hAnsi="Aptos" w:eastAsia="Aptos" w:cs="Aptos"/>
                <w:color w:val="000000" w:themeColor="text1"/>
                <w:sz w:val="19"/>
                <w:szCs w:val="19"/>
              </w:rPr>
              <w:t>Kai Du, Andrew C. Worthington, Valentin Zelenyuk (2018)</w:t>
            </w:r>
          </w:p>
        </w:tc>
        <w:tc>
          <w:tcPr>
            <w:tcW w:w="1729" w:type="dxa"/>
            <w:tcMar/>
            <w:vAlign w:val="center"/>
          </w:tcPr>
          <w:p w:rsidR="2B7FFB25" w:rsidP="2B7FFB25" w:rsidRDefault="2B7FFB25" w14:paraId="596F243B" w14:textId="52763CC1">
            <w:pPr>
              <w:jc w:val="center"/>
              <w:rPr>
                <w:rFonts w:hint="eastAsia"/>
              </w:rPr>
            </w:pPr>
            <w:r w:rsidRPr="2B7FFB25">
              <w:rPr>
                <w:rFonts w:ascii="Aptos" w:hAnsi="Aptos" w:eastAsia="Aptos" w:cs="Aptos"/>
                <w:color w:val="374151"/>
                <w:sz w:val="19"/>
                <w:szCs w:val="19"/>
              </w:rPr>
              <w:t>140 chinese commercial banks</w:t>
            </w:r>
          </w:p>
        </w:tc>
        <w:tc>
          <w:tcPr>
            <w:tcW w:w="1601" w:type="dxa"/>
            <w:tcMar/>
            <w:vAlign w:val="center"/>
          </w:tcPr>
          <w:p w:rsidR="2B7FFB25" w:rsidP="2B7FFB25" w:rsidRDefault="2B7FFB25" w14:paraId="708CD5EA" w14:textId="69A2BD02">
            <w:pPr>
              <w:jc w:val="center"/>
              <w:rPr>
                <w:rFonts w:hint="eastAsia"/>
              </w:rPr>
            </w:pPr>
            <w:r w:rsidRPr="2B7FFB25">
              <w:rPr>
                <w:rFonts w:ascii="Aptos" w:hAnsi="Aptos" w:eastAsia="Aptos" w:cs="Aptos"/>
                <w:color w:val="374151"/>
                <w:sz w:val="19"/>
                <w:szCs w:val="19"/>
              </w:rPr>
              <w:t>2006-2011</w:t>
            </w:r>
          </w:p>
        </w:tc>
        <w:tc>
          <w:tcPr>
            <w:tcW w:w="1680" w:type="dxa"/>
            <w:tcMar/>
          </w:tcPr>
          <w:p w:rsidR="2B7FFB25" w:rsidP="2B7FFB25" w:rsidRDefault="2B7FFB25" w14:paraId="5E216E4C" w14:textId="08606AF8">
            <w:pPr>
              <w:jc w:val="center"/>
              <w:rPr>
                <w:rFonts w:hint="eastAsia"/>
              </w:rPr>
            </w:pPr>
            <w:r w:rsidRPr="2B7FFB25">
              <w:rPr>
                <w:rFonts w:ascii="Aptos" w:hAnsi="Aptos" w:eastAsia="Aptos" w:cs="Aptos"/>
                <w:color w:val="374151"/>
                <w:sz w:val="19"/>
                <w:szCs w:val="19"/>
              </w:rPr>
              <w:t>Data for 140 commercial banks over 6 years, resulting in 840 observations</w:t>
            </w:r>
          </w:p>
        </w:tc>
        <w:tc>
          <w:tcPr>
            <w:tcW w:w="1677" w:type="dxa"/>
            <w:tcMar/>
          </w:tcPr>
          <w:p w:rsidR="2B7FFB25" w:rsidP="2B7FFB25" w:rsidRDefault="2B7FFB25" w14:paraId="6C719319" w14:textId="083B0AA7">
            <w:pPr>
              <w:jc w:val="center"/>
              <w:rPr>
                <w:rFonts w:hint="eastAsia"/>
              </w:rPr>
            </w:pPr>
            <w:r w:rsidRPr="2B7FFB25">
              <w:rPr>
                <w:rFonts w:ascii="Aptos" w:hAnsi="Aptos" w:eastAsia="Aptos" w:cs="Aptos"/>
                <w:color w:val="000000" w:themeColor="text1"/>
                <w:sz w:val="19"/>
                <w:szCs w:val="19"/>
              </w:rPr>
              <w:t>BankScope</w:t>
            </w:r>
          </w:p>
        </w:tc>
      </w:tr>
      <w:tr w:rsidR="2B7FFB25" w:rsidTr="4F940BA9" w14:paraId="79255C52" w14:textId="77777777">
        <w:trPr>
          <w:trHeight w:val="300"/>
        </w:trPr>
        <w:tc>
          <w:tcPr>
            <w:tcW w:w="1153" w:type="dxa"/>
            <w:tcMar/>
          </w:tcPr>
          <w:p w:rsidR="2B7FFB25" w:rsidP="2B7FFB25" w:rsidRDefault="2B7FFB25" w14:paraId="66ACE66C" w14:textId="13D786EB">
            <w:pPr>
              <w:jc w:val="center"/>
              <w:rPr>
                <w:rFonts w:hint="eastAsia"/>
              </w:rPr>
            </w:pPr>
            <w:r w:rsidRPr="2B7FFB25">
              <w:rPr>
                <w:rFonts w:cs="Calibri"/>
                <w:sz w:val="20"/>
                <w:szCs w:val="20"/>
                <w:lang w:eastAsia="zh-CN"/>
              </w:rPr>
              <w:t>20</w:t>
            </w:r>
          </w:p>
        </w:tc>
        <w:tc>
          <w:tcPr>
            <w:tcW w:w="1155" w:type="dxa"/>
            <w:tcMar/>
          </w:tcPr>
          <w:p w:rsidR="2B7FFB25" w:rsidP="2B7FFB25" w:rsidRDefault="2B7FFB25" w14:paraId="4B4C4ECE" w14:textId="79747F61">
            <w:pPr>
              <w:jc w:val="center"/>
              <w:rPr>
                <w:rFonts w:hint="eastAsia"/>
                <w:sz w:val="20"/>
                <w:szCs w:val="20"/>
              </w:rPr>
            </w:pPr>
            <w:r>
              <w:t>Dong et al., (2014)</w:t>
            </w:r>
          </w:p>
        </w:tc>
        <w:tc>
          <w:tcPr>
            <w:tcW w:w="1729" w:type="dxa"/>
            <w:tcMar/>
            <w:vAlign w:val="center"/>
          </w:tcPr>
          <w:p w:rsidR="2B7FFB25" w:rsidP="2B7FFB25" w:rsidRDefault="2B7FFB25" w14:paraId="797CF2E6" w14:textId="77777777">
            <w:pPr>
              <w:rPr>
                <w:rFonts w:eastAsia="Arial Unicode MS" w:cs="Arial Unicode MS"/>
                <w:color w:val="000000" w:themeColor="text1"/>
                <w:sz w:val="20"/>
                <w:szCs w:val="20"/>
              </w:rPr>
            </w:pPr>
            <w:r w:rsidRPr="2B7FFB25">
              <w:rPr>
                <w:rFonts w:eastAsia="Arial Unicode MS" w:cs="Arial Unicode MS"/>
                <w:color w:val="000000" w:themeColor="text1"/>
                <w:sz w:val="20"/>
                <w:szCs w:val="20"/>
              </w:rPr>
              <w:t>41 Chinese banks</w:t>
            </w:r>
          </w:p>
        </w:tc>
        <w:tc>
          <w:tcPr>
            <w:tcW w:w="1601" w:type="dxa"/>
            <w:tcMar/>
            <w:vAlign w:val="center"/>
          </w:tcPr>
          <w:p w:rsidR="2B7FFB25" w:rsidP="2B7FFB25" w:rsidRDefault="2B7FFB25" w14:paraId="01092C37" w14:textId="77777777">
            <w:pPr>
              <w:jc w:val="center"/>
              <w:rPr>
                <w:rFonts w:eastAsia="Arial Unicode MS" w:cs="Arial Unicode MS"/>
                <w:color w:val="000000" w:themeColor="text1"/>
                <w:sz w:val="20"/>
                <w:szCs w:val="20"/>
              </w:rPr>
            </w:pPr>
            <w:r w:rsidRPr="2B7FFB25">
              <w:rPr>
                <w:rFonts w:eastAsia="Arial Unicode MS" w:cs="Arial Unicode MS"/>
                <w:color w:val="000000" w:themeColor="text1"/>
                <w:sz w:val="20"/>
                <w:szCs w:val="20"/>
              </w:rPr>
              <w:t>1994-2007</w:t>
            </w:r>
          </w:p>
        </w:tc>
        <w:tc>
          <w:tcPr>
            <w:tcW w:w="1680" w:type="dxa"/>
            <w:tcMar/>
          </w:tcPr>
          <w:p w:rsidR="2B7FFB25" w:rsidP="2B7FFB25" w:rsidRDefault="2B7FFB25" w14:paraId="2E90AEA8" w14:textId="77777777">
            <w:pPr>
              <w:jc w:val="center"/>
              <w:rPr>
                <w:rFonts w:eastAsia="Arial Unicode MS" w:cs="Arial Unicode MS"/>
                <w:color w:val="000000" w:themeColor="text1"/>
                <w:sz w:val="20"/>
                <w:szCs w:val="20"/>
              </w:rPr>
            </w:pPr>
            <w:r w:rsidRPr="2B7FFB25">
              <w:rPr>
                <w:rFonts w:eastAsia="Arial Unicode MS" w:cs="Arial Unicode MS"/>
                <w:color w:val="000000" w:themeColor="text1"/>
                <w:sz w:val="20"/>
                <w:szCs w:val="20"/>
              </w:rPr>
              <w:t>397</w:t>
            </w:r>
          </w:p>
        </w:tc>
        <w:tc>
          <w:tcPr>
            <w:tcW w:w="1677" w:type="dxa"/>
            <w:tcMar/>
          </w:tcPr>
          <w:p w:rsidR="2B7FFB25" w:rsidP="2B7FFB25" w:rsidRDefault="2B7FFB25" w14:paraId="0B24CACE" w14:textId="77777777">
            <w:pPr>
              <w:jc w:val="center"/>
              <w:rPr>
                <w:rFonts w:eastAsia="Arial Unicode MS" w:cs="Arial Unicode MS"/>
                <w:color w:val="000000" w:themeColor="text1"/>
                <w:sz w:val="20"/>
                <w:szCs w:val="20"/>
              </w:rPr>
            </w:pPr>
            <w:r w:rsidRPr="2B7FFB25">
              <w:rPr>
                <w:rFonts w:eastAsia="Arial Unicode MS" w:cs="Arial Unicode MS"/>
                <w:color w:val="000000" w:themeColor="text1"/>
                <w:sz w:val="20"/>
                <w:szCs w:val="20"/>
              </w:rPr>
              <w:t>Almanac of China's Finance and Banking, BankScope, and other financial reports</w:t>
            </w:r>
          </w:p>
        </w:tc>
      </w:tr>
      <w:tr w:rsidR="2B7FFB25" w:rsidTr="4F940BA9" w14:paraId="2CB70B87" w14:textId="77777777">
        <w:trPr>
          <w:trHeight w:val="300"/>
        </w:trPr>
        <w:tc>
          <w:tcPr>
            <w:tcW w:w="1153" w:type="dxa"/>
            <w:tcMar/>
          </w:tcPr>
          <w:p w:rsidR="7B1AF388" w:rsidP="2B7FFB25" w:rsidRDefault="7B1AF388" w14:paraId="07671FAA" w14:textId="0A400980">
            <w:pPr>
              <w:jc w:val="center"/>
              <w:rPr>
                <w:rFonts w:hint="eastAsia" w:cs="Calibri"/>
                <w:sz w:val="20"/>
                <w:szCs w:val="20"/>
                <w:lang w:eastAsia="zh-CN"/>
              </w:rPr>
            </w:pPr>
            <w:r w:rsidRPr="2B7FFB25">
              <w:rPr>
                <w:rFonts w:cs="Calibri"/>
                <w:sz w:val="20"/>
                <w:szCs w:val="20"/>
                <w:lang w:eastAsia="zh-CN"/>
              </w:rPr>
              <w:t>23</w:t>
            </w:r>
          </w:p>
        </w:tc>
        <w:tc>
          <w:tcPr>
            <w:tcW w:w="1155" w:type="dxa"/>
            <w:tcMar/>
          </w:tcPr>
          <w:p w:rsidR="7B1AF388" w:rsidP="2B7FFB25" w:rsidRDefault="7B1AF388" w14:paraId="5DA64DC3" w14:textId="3EC45B92">
            <w:pPr>
              <w:jc w:val="center"/>
              <w:rPr>
                <w:rFonts w:hint="eastAsia"/>
              </w:rPr>
            </w:pPr>
            <w:r w:rsidRPr="2B7FFB25">
              <w:rPr>
                <w:rFonts w:ascii="Aptos" w:hAnsi="Aptos" w:eastAsia="Aptos" w:cs="Aptos"/>
                <w:color w:val="000000" w:themeColor="text1"/>
                <w:sz w:val="19"/>
                <w:szCs w:val="19"/>
              </w:rPr>
              <w:t>James R. Barth, Chen Lin, Yue Ma, Jesús Seade, Frank M. Song (2013)</w:t>
            </w:r>
          </w:p>
        </w:tc>
        <w:tc>
          <w:tcPr>
            <w:tcW w:w="1729" w:type="dxa"/>
            <w:tcMar/>
            <w:vAlign w:val="center"/>
          </w:tcPr>
          <w:p w:rsidR="2B7FFB25" w:rsidP="2B7FFB25" w:rsidRDefault="2B7FFB25" w14:paraId="2CF54A5B" w14:textId="3C166D05">
            <w:pPr>
              <w:jc w:val="center"/>
              <w:rPr>
                <w:rFonts w:hint="eastAsia"/>
              </w:rPr>
            </w:pPr>
            <w:r w:rsidRPr="2B7FFB25">
              <w:rPr>
                <w:rFonts w:ascii="Aptos" w:hAnsi="Aptos" w:eastAsia="Aptos" w:cs="Aptos"/>
                <w:color w:val="374151"/>
                <w:sz w:val="19"/>
                <w:szCs w:val="19"/>
              </w:rPr>
              <w:t>4053 banks in 72 countries</w:t>
            </w:r>
          </w:p>
        </w:tc>
        <w:tc>
          <w:tcPr>
            <w:tcW w:w="1601" w:type="dxa"/>
            <w:tcMar/>
            <w:vAlign w:val="center"/>
          </w:tcPr>
          <w:p w:rsidR="2B7FFB25" w:rsidP="2B7FFB25" w:rsidRDefault="2B7FFB25" w14:paraId="7DE76F5C" w14:textId="1B64D639">
            <w:pPr>
              <w:jc w:val="center"/>
              <w:rPr>
                <w:rFonts w:hint="eastAsia"/>
              </w:rPr>
            </w:pPr>
            <w:r w:rsidRPr="2B7FFB25">
              <w:rPr>
                <w:rFonts w:ascii="Aptos" w:hAnsi="Aptos" w:eastAsia="Aptos" w:cs="Aptos"/>
                <w:color w:val="374151"/>
                <w:sz w:val="19"/>
                <w:szCs w:val="19"/>
              </w:rPr>
              <w:t>1999-2007</w:t>
            </w:r>
          </w:p>
        </w:tc>
        <w:tc>
          <w:tcPr>
            <w:tcW w:w="1680" w:type="dxa"/>
            <w:tcMar/>
          </w:tcPr>
          <w:p w:rsidR="2B7FFB25" w:rsidP="2B7FFB25" w:rsidRDefault="2B7FFB25" w14:paraId="21FEA4E2" w14:textId="316B2996">
            <w:pPr>
              <w:jc w:val="center"/>
              <w:rPr>
                <w:rFonts w:hint="eastAsia"/>
              </w:rPr>
            </w:pPr>
            <w:r w:rsidRPr="2B7FFB25">
              <w:rPr>
                <w:rFonts w:ascii="Aptos" w:hAnsi="Aptos" w:eastAsia="Aptos" w:cs="Aptos"/>
                <w:color w:val="374151"/>
                <w:sz w:val="19"/>
                <w:szCs w:val="19"/>
              </w:rPr>
              <w:t>8115 observations</w:t>
            </w:r>
          </w:p>
        </w:tc>
        <w:tc>
          <w:tcPr>
            <w:tcW w:w="1677" w:type="dxa"/>
            <w:tcMar/>
          </w:tcPr>
          <w:p w:rsidR="2B7FFB25" w:rsidP="2B7FFB25" w:rsidRDefault="2B7FFB25" w14:paraId="40AF6180" w14:textId="6C18C2C5">
            <w:pPr>
              <w:jc w:val="center"/>
              <w:rPr>
                <w:rFonts w:hint="eastAsia"/>
              </w:rPr>
            </w:pPr>
            <w:r w:rsidRPr="2B7FFB25">
              <w:rPr>
                <w:rFonts w:ascii="Aptos" w:hAnsi="Aptos" w:eastAsia="Aptos" w:cs="Aptos"/>
                <w:color w:val="000000" w:themeColor="text1"/>
                <w:sz w:val="19"/>
                <w:szCs w:val="19"/>
              </w:rPr>
              <w:t>BankScope</w:t>
            </w:r>
          </w:p>
        </w:tc>
      </w:tr>
      <w:tr w:rsidRPr="00CE5391" w:rsidR="00331E11" w:rsidTr="4F940BA9" w14:paraId="50B06E01" w14:textId="77777777">
        <w:tc>
          <w:tcPr>
            <w:tcW w:w="641" w:type="pct"/>
            <w:tcMar/>
          </w:tcPr>
          <w:p w:rsidRPr="00E9480F" w:rsidR="00331E11" w:rsidP="00331E11" w:rsidRDefault="00331E11" w14:paraId="45C4C97C" w14:textId="555B431C">
            <w:pPr>
              <w:jc w:val="center"/>
              <w:rPr>
                <w:rFonts w:hint="eastAsia" w:cs="Calibri"/>
                <w:sz w:val="20"/>
                <w:szCs w:val="20"/>
                <w:lang w:eastAsia="zh-CN"/>
              </w:rPr>
            </w:pPr>
            <w:r>
              <w:rPr>
                <w:rFonts w:cs="Calibri"/>
                <w:sz w:val="20"/>
                <w:szCs w:val="20"/>
                <w:lang w:eastAsia="zh-CN"/>
              </w:rPr>
              <w:t>25</w:t>
            </w:r>
          </w:p>
        </w:tc>
        <w:tc>
          <w:tcPr>
            <w:tcW w:w="642" w:type="pct"/>
            <w:tcMar/>
          </w:tcPr>
          <w:p w:rsidRPr="00E751D5" w:rsidR="00331E11" w:rsidP="00331E11" w:rsidRDefault="00331E11" w14:paraId="19E1B1D7" w14:textId="35D255BC">
            <w:pPr>
              <w:jc w:val="center"/>
              <w:rPr>
                <w:rFonts w:hint="eastAsia" w:cs="Calibri"/>
                <w:sz w:val="20"/>
                <w:szCs w:val="20"/>
                <w:lang w:eastAsia="zh-CN"/>
              </w:rPr>
            </w:pPr>
            <w:r w:rsidRPr="00E9480F">
              <w:rPr>
                <w:rFonts w:cs="Calibri"/>
                <w:sz w:val="20"/>
                <w:szCs w:val="20"/>
                <w:lang w:eastAsia="zh-CN"/>
              </w:rPr>
              <w:t>Xie et al.</w:t>
            </w:r>
            <w:r>
              <w:rPr>
                <w:rFonts w:cs="Calibri"/>
                <w:sz w:val="20"/>
                <w:szCs w:val="20"/>
                <w:lang w:eastAsia="zh-CN"/>
              </w:rPr>
              <w:t xml:space="preserve"> (</w:t>
            </w:r>
            <w:r w:rsidRPr="00E9480F">
              <w:rPr>
                <w:rFonts w:cs="Calibri"/>
                <w:sz w:val="20"/>
                <w:szCs w:val="20"/>
                <w:lang w:eastAsia="zh-CN"/>
              </w:rPr>
              <w:t>2022)</w:t>
            </w:r>
          </w:p>
        </w:tc>
        <w:tc>
          <w:tcPr>
            <w:tcW w:w="961" w:type="pct"/>
            <w:tcMar/>
            <w:vAlign w:val="center"/>
          </w:tcPr>
          <w:p w:rsidR="00331E11" w:rsidP="00331E11" w:rsidRDefault="00331E11" w14:paraId="02703EF4" w14:textId="77777777">
            <w:pPr>
              <w:rPr>
                <w:rFonts w:eastAsia="Arial Unicode MS" w:cs="Arial Unicode MS"/>
                <w:color w:val="000000" w:themeColor="text1"/>
                <w:sz w:val="20"/>
                <w:szCs w:val="20"/>
              </w:rPr>
            </w:pPr>
            <w:r>
              <w:rPr>
                <w:rFonts w:eastAsia="Arial Unicode MS" w:cs="Arial Unicode MS"/>
                <w:color w:val="000000" w:themeColor="text1"/>
                <w:sz w:val="20"/>
                <w:szCs w:val="20"/>
              </w:rPr>
              <w:t>16 listed Chinese commercial banks</w:t>
            </w:r>
          </w:p>
        </w:tc>
        <w:tc>
          <w:tcPr>
            <w:tcW w:w="890" w:type="pct"/>
            <w:tcMar/>
            <w:vAlign w:val="center"/>
          </w:tcPr>
          <w:p w:rsidR="00331E11" w:rsidP="00331E11" w:rsidRDefault="00331E11" w14:paraId="272BD2CF"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2009-2018</w:t>
            </w:r>
          </w:p>
        </w:tc>
        <w:tc>
          <w:tcPr>
            <w:tcW w:w="934" w:type="pct"/>
            <w:tcMar/>
          </w:tcPr>
          <w:p w:rsidR="00331E11" w:rsidP="00331E11" w:rsidRDefault="00331E11" w14:paraId="57432392"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160</w:t>
            </w:r>
          </w:p>
        </w:tc>
        <w:tc>
          <w:tcPr>
            <w:tcW w:w="932" w:type="pct"/>
            <w:tcMar/>
          </w:tcPr>
          <w:p w:rsidR="00331E11" w:rsidP="00331E11" w:rsidRDefault="00331E11" w14:paraId="45B876C0"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Wind database, annual reports</w:t>
            </w:r>
          </w:p>
        </w:tc>
      </w:tr>
      <w:tr w:rsidR="2B7FFB25" w:rsidTr="4F940BA9" w14:paraId="025B7E65" w14:textId="77777777">
        <w:trPr>
          <w:trHeight w:val="300"/>
        </w:trPr>
        <w:tc>
          <w:tcPr>
            <w:tcW w:w="1153" w:type="dxa"/>
            <w:tcMar/>
          </w:tcPr>
          <w:p w:rsidR="599D55AD" w:rsidP="2B7FFB25" w:rsidRDefault="599D55AD" w14:paraId="0667E09F" w14:textId="60FD8556">
            <w:pPr>
              <w:jc w:val="center"/>
              <w:rPr>
                <w:rFonts w:hint="eastAsia" w:cs="Calibri"/>
                <w:sz w:val="20"/>
                <w:szCs w:val="20"/>
                <w:lang w:eastAsia="zh-CN"/>
              </w:rPr>
            </w:pPr>
            <w:r w:rsidRPr="2B7FFB25">
              <w:rPr>
                <w:rFonts w:cs="Calibri"/>
                <w:sz w:val="20"/>
                <w:szCs w:val="20"/>
                <w:lang w:eastAsia="zh-CN"/>
              </w:rPr>
              <w:t>28</w:t>
            </w:r>
          </w:p>
        </w:tc>
        <w:tc>
          <w:tcPr>
            <w:tcW w:w="1155" w:type="dxa"/>
            <w:tcMar/>
          </w:tcPr>
          <w:p w:rsidR="599D55AD" w:rsidP="2B7FFB25" w:rsidRDefault="599D55AD" w14:paraId="51CBA0D1" w14:textId="37DA8BAC">
            <w:pPr>
              <w:jc w:val="center"/>
              <w:rPr>
                <w:rFonts w:hint="eastAsia"/>
              </w:rPr>
            </w:pPr>
            <w:r w:rsidRPr="2B7FFB25">
              <w:rPr>
                <w:rFonts w:ascii="Aptos" w:hAnsi="Aptos" w:eastAsia="Aptos" w:cs="Aptos"/>
                <w:color w:val="000000" w:themeColor="text1"/>
                <w:sz w:val="19"/>
                <w:szCs w:val="19"/>
              </w:rPr>
              <w:t>Mohamed Ariff and Luc Can (2008)</w:t>
            </w:r>
          </w:p>
        </w:tc>
        <w:tc>
          <w:tcPr>
            <w:tcW w:w="1729" w:type="dxa"/>
            <w:tcMar/>
            <w:vAlign w:val="center"/>
          </w:tcPr>
          <w:p w:rsidR="2B7FFB25" w:rsidP="2B7FFB25" w:rsidRDefault="2B7FFB25" w14:paraId="1C50C7ED" w14:textId="6C23A66C">
            <w:pPr>
              <w:jc w:val="center"/>
              <w:rPr>
                <w:rFonts w:hint="eastAsia"/>
              </w:rPr>
            </w:pPr>
            <w:r w:rsidRPr="2B7FFB25">
              <w:rPr>
                <w:rFonts w:ascii="Aptos" w:hAnsi="Aptos" w:eastAsia="Aptos" w:cs="Aptos"/>
                <w:color w:val="374151"/>
                <w:sz w:val="19"/>
                <w:szCs w:val="19"/>
              </w:rPr>
              <w:t>28 Chinese banks</w:t>
            </w:r>
          </w:p>
        </w:tc>
        <w:tc>
          <w:tcPr>
            <w:tcW w:w="1601" w:type="dxa"/>
            <w:tcMar/>
            <w:vAlign w:val="center"/>
          </w:tcPr>
          <w:p w:rsidR="2B7FFB25" w:rsidP="2B7FFB25" w:rsidRDefault="2B7FFB25" w14:paraId="5C29D721" w14:textId="4F30597F">
            <w:pPr>
              <w:jc w:val="center"/>
              <w:rPr>
                <w:rFonts w:hint="eastAsia"/>
              </w:rPr>
            </w:pPr>
            <w:r w:rsidRPr="2B7FFB25">
              <w:rPr>
                <w:rFonts w:ascii="Aptos" w:hAnsi="Aptos" w:eastAsia="Aptos" w:cs="Aptos"/>
                <w:color w:val="374151"/>
                <w:sz w:val="19"/>
                <w:szCs w:val="19"/>
              </w:rPr>
              <w:t>1995-2004</w:t>
            </w:r>
          </w:p>
        </w:tc>
        <w:tc>
          <w:tcPr>
            <w:tcW w:w="1680" w:type="dxa"/>
            <w:tcMar/>
          </w:tcPr>
          <w:p w:rsidR="2B7FFB25" w:rsidP="2B7FFB25" w:rsidRDefault="2B7FFB25" w14:paraId="3266DC02" w14:textId="24AF6CB5">
            <w:pPr>
              <w:jc w:val="center"/>
              <w:rPr>
                <w:rFonts w:hint="eastAsia"/>
              </w:rPr>
            </w:pPr>
            <w:r w:rsidRPr="2B7FFB25">
              <w:rPr>
                <w:rFonts w:ascii="Aptos" w:hAnsi="Aptos" w:eastAsia="Aptos" w:cs="Aptos"/>
                <w:color w:val="374151"/>
                <w:sz w:val="19"/>
                <w:szCs w:val="19"/>
              </w:rPr>
              <w:t>230 observations</w:t>
            </w:r>
          </w:p>
        </w:tc>
        <w:tc>
          <w:tcPr>
            <w:tcW w:w="1677" w:type="dxa"/>
            <w:tcMar/>
          </w:tcPr>
          <w:p w:rsidR="2B7FFB25" w:rsidP="2B7FFB25" w:rsidRDefault="2B7FFB25" w14:paraId="60504325" w14:textId="58ECA8A4">
            <w:pPr>
              <w:jc w:val="center"/>
              <w:rPr>
                <w:rFonts w:hint="eastAsia"/>
              </w:rPr>
            </w:pPr>
            <w:r w:rsidRPr="2B7FFB25">
              <w:rPr>
                <w:rFonts w:ascii="Aptos" w:hAnsi="Aptos" w:eastAsia="Aptos" w:cs="Aptos"/>
                <w:color w:val="000000" w:themeColor="text1"/>
                <w:sz w:val="19"/>
                <w:szCs w:val="19"/>
              </w:rPr>
              <w:t>Bankscope</w:t>
            </w:r>
          </w:p>
        </w:tc>
      </w:tr>
      <w:tr w:rsidRPr="00CE5391" w:rsidR="00331E11" w:rsidTr="4F940BA9" w14:paraId="05B0DBDE" w14:textId="77777777">
        <w:tc>
          <w:tcPr>
            <w:tcW w:w="641" w:type="pct"/>
            <w:tcMar/>
          </w:tcPr>
          <w:p w:rsidRPr="00ED5776" w:rsidR="00331E11" w:rsidP="00331E11" w:rsidRDefault="00331E11" w14:paraId="2080A65F" w14:textId="292A5F6B">
            <w:pPr>
              <w:jc w:val="center"/>
              <w:rPr>
                <w:rFonts w:hint="eastAsia" w:cs="Calibri"/>
                <w:sz w:val="20"/>
                <w:szCs w:val="20"/>
                <w:lang w:eastAsia="zh-CN"/>
              </w:rPr>
            </w:pPr>
            <w:r>
              <w:rPr>
                <w:rFonts w:cs="Calibri"/>
                <w:sz w:val="20"/>
                <w:szCs w:val="20"/>
                <w:lang w:eastAsia="zh-CN"/>
              </w:rPr>
              <w:t>30</w:t>
            </w:r>
          </w:p>
        </w:tc>
        <w:tc>
          <w:tcPr>
            <w:tcW w:w="642" w:type="pct"/>
            <w:tcMar/>
          </w:tcPr>
          <w:p w:rsidRPr="00E9480F" w:rsidR="00331E11" w:rsidP="00331E11" w:rsidRDefault="00331E11" w14:paraId="1B78F66E" w14:textId="59AE77B5">
            <w:pPr>
              <w:jc w:val="center"/>
              <w:rPr>
                <w:rFonts w:hint="eastAsia" w:cs="Calibri"/>
                <w:sz w:val="20"/>
                <w:szCs w:val="20"/>
                <w:lang w:eastAsia="zh-CN"/>
              </w:rPr>
            </w:pPr>
            <w:r w:rsidRPr="00ED5776">
              <w:rPr>
                <w:rFonts w:cs="Calibri"/>
                <w:sz w:val="20"/>
                <w:szCs w:val="20"/>
                <w:lang w:eastAsia="zh-CN"/>
              </w:rPr>
              <w:t xml:space="preserve">Fukuyama and Tan </w:t>
            </w:r>
            <w:r>
              <w:rPr>
                <w:rFonts w:cs="Calibri"/>
                <w:sz w:val="20"/>
                <w:szCs w:val="20"/>
                <w:lang w:eastAsia="zh-CN"/>
              </w:rPr>
              <w:t>(</w:t>
            </w:r>
            <w:r w:rsidRPr="00ED5776">
              <w:rPr>
                <w:rFonts w:cs="Calibri"/>
                <w:sz w:val="20"/>
                <w:szCs w:val="20"/>
                <w:lang w:eastAsia="zh-CN"/>
              </w:rPr>
              <w:t>2022)</w:t>
            </w:r>
          </w:p>
        </w:tc>
        <w:tc>
          <w:tcPr>
            <w:tcW w:w="961" w:type="pct"/>
            <w:tcMar/>
            <w:vAlign w:val="center"/>
          </w:tcPr>
          <w:p w:rsidR="00331E11" w:rsidP="00331E11" w:rsidRDefault="00331E11" w14:paraId="0A929A2E" w14:textId="77777777">
            <w:pPr>
              <w:rPr>
                <w:rFonts w:eastAsia="Arial Unicode MS" w:cs="Arial Unicode MS"/>
                <w:color w:val="000000" w:themeColor="text1"/>
                <w:sz w:val="20"/>
                <w:szCs w:val="20"/>
              </w:rPr>
            </w:pPr>
            <w:r>
              <w:rPr>
                <w:rFonts w:eastAsia="Arial Unicode MS" w:cs="Arial Unicode MS"/>
                <w:color w:val="000000" w:themeColor="text1"/>
                <w:sz w:val="20"/>
                <w:szCs w:val="20"/>
              </w:rPr>
              <w:t>72 Chinese banks</w:t>
            </w:r>
          </w:p>
        </w:tc>
        <w:tc>
          <w:tcPr>
            <w:tcW w:w="890" w:type="pct"/>
            <w:tcMar/>
            <w:vAlign w:val="center"/>
          </w:tcPr>
          <w:p w:rsidR="00331E11" w:rsidP="00331E11" w:rsidRDefault="00331E11" w14:paraId="35317D60"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2007-2017</w:t>
            </w:r>
          </w:p>
        </w:tc>
        <w:tc>
          <w:tcPr>
            <w:tcW w:w="934" w:type="pct"/>
            <w:tcMar/>
          </w:tcPr>
          <w:p w:rsidR="00331E11" w:rsidP="00331E11" w:rsidRDefault="00331E11" w14:paraId="46A39B39"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792</w:t>
            </w:r>
          </w:p>
        </w:tc>
        <w:tc>
          <w:tcPr>
            <w:tcW w:w="932" w:type="pct"/>
            <w:tcMar/>
          </w:tcPr>
          <w:p w:rsidRPr="00D90338" w:rsidR="00331E11" w:rsidP="00331E11" w:rsidRDefault="00331E11" w14:paraId="0D86C143" w14:textId="77777777">
            <w:pPr>
              <w:jc w:val="center"/>
              <w:rPr>
                <w:rFonts w:eastAsia="Arial Unicode MS" w:cs="Arial Unicode MS"/>
                <w:i/>
                <w:iCs/>
                <w:color w:val="000000" w:themeColor="text1"/>
                <w:sz w:val="20"/>
                <w:szCs w:val="20"/>
              </w:rPr>
            </w:pPr>
            <w:r w:rsidRPr="00D90338">
              <w:rPr>
                <w:rFonts w:eastAsia="Arial Unicode MS" w:cs="Arial Unicode MS"/>
                <w:i/>
                <w:iCs/>
                <w:color w:val="000000" w:themeColor="text1"/>
                <w:sz w:val="20"/>
                <w:szCs w:val="20"/>
              </w:rPr>
              <w:t>Information not available</w:t>
            </w:r>
          </w:p>
        </w:tc>
      </w:tr>
      <w:tr w:rsidR="2B7FFB25" w:rsidTr="4F940BA9" w14:paraId="7DC0DE3C" w14:textId="77777777">
        <w:trPr>
          <w:trHeight w:val="300"/>
        </w:trPr>
        <w:tc>
          <w:tcPr>
            <w:tcW w:w="1153" w:type="dxa"/>
            <w:tcMar/>
          </w:tcPr>
          <w:p w:rsidR="1AF8707C" w:rsidP="2B7FFB25" w:rsidRDefault="1AF8707C" w14:paraId="781EE4B9" w14:textId="21B97896">
            <w:pPr>
              <w:jc w:val="center"/>
              <w:rPr>
                <w:rFonts w:hint="eastAsia" w:cs="Calibri"/>
                <w:sz w:val="20"/>
                <w:szCs w:val="20"/>
                <w:lang w:eastAsia="zh-CN"/>
              </w:rPr>
            </w:pPr>
            <w:r w:rsidRPr="2B7FFB25">
              <w:rPr>
                <w:rFonts w:cs="Calibri"/>
                <w:sz w:val="20"/>
                <w:szCs w:val="20"/>
                <w:lang w:eastAsia="zh-CN"/>
              </w:rPr>
              <w:t>33</w:t>
            </w:r>
          </w:p>
        </w:tc>
        <w:tc>
          <w:tcPr>
            <w:tcW w:w="1155" w:type="dxa"/>
            <w:tcMar/>
          </w:tcPr>
          <w:p w:rsidR="1AF8707C" w:rsidP="2B7FFB25" w:rsidRDefault="1AF8707C" w14:paraId="7C055743" w14:textId="47EF7D68">
            <w:pPr>
              <w:jc w:val="center"/>
              <w:rPr>
                <w:rFonts w:hint="eastAsia"/>
              </w:rPr>
            </w:pPr>
            <w:r w:rsidRPr="2B7FFB25">
              <w:rPr>
                <w:rFonts w:ascii="Aptos" w:hAnsi="Aptos" w:eastAsia="Aptos" w:cs="Aptos"/>
                <w:color w:val="000000" w:themeColor="text1"/>
                <w:sz w:val="19"/>
                <w:szCs w:val="19"/>
              </w:rPr>
              <w:t>Xiaohong Liu, Feng Yang, Jie Wu (2020)</w:t>
            </w:r>
          </w:p>
        </w:tc>
        <w:tc>
          <w:tcPr>
            <w:tcW w:w="1729" w:type="dxa"/>
            <w:tcMar/>
            <w:vAlign w:val="center"/>
          </w:tcPr>
          <w:p w:rsidR="2B7FFB25" w:rsidP="2B7FFB25" w:rsidRDefault="2B7FFB25" w14:paraId="406554E2" w14:textId="6717BB56">
            <w:pPr>
              <w:jc w:val="center"/>
              <w:rPr>
                <w:rFonts w:hint="eastAsia"/>
              </w:rPr>
            </w:pPr>
            <w:r w:rsidRPr="2B7FFB25">
              <w:rPr>
                <w:rFonts w:ascii="Aptos" w:hAnsi="Aptos" w:eastAsia="Aptos" w:cs="Aptos"/>
                <w:color w:val="374151"/>
                <w:sz w:val="19"/>
                <w:szCs w:val="19"/>
              </w:rPr>
              <w:t>71 Chinese commercial banks</w:t>
            </w:r>
          </w:p>
        </w:tc>
        <w:tc>
          <w:tcPr>
            <w:tcW w:w="1601" w:type="dxa"/>
            <w:tcMar/>
            <w:vAlign w:val="center"/>
          </w:tcPr>
          <w:p w:rsidR="2B7FFB25" w:rsidP="2B7FFB25" w:rsidRDefault="2B7FFB25" w14:paraId="3EE0C975" w14:textId="67FC8D96">
            <w:pPr>
              <w:jc w:val="center"/>
              <w:rPr>
                <w:rFonts w:hint="eastAsia"/>
              </w:rPr>
            </w:pPr>
            <w:r w:rsidRPr="2B7FFB25">
              <w:rPr>
                <w:rFonts w:ascii="Aptos" w:hAnsi="Aptos" w:eastAsia="Aptos" w:cs="Aptos"/>
                <w:color w:val="374151"/>
                <w:sz w:val="19"/>
                <w:szCs w:val="19"/>
              </w:rPr>
              <w:t>2011-2015</w:t>
            </w:r>
          </w:p>
        </w:tc>
        <w:tc>
          <w:tcPr>
            <w:tcW w:w="1680" w:type="dxa"/>
            <w:tcMar/>
          </w:tcPr>
          <w:p w:rsidR="2B7FFB25" w:rsidP="2B7FFB25" w:rsidRDefault="2B7FFB25" w14:paraId="4981FDF7" w14:textId="308EA584">
            <w:pPr>
              <w:jc w:val="center"/>
              <w:rPr>
                <w:rFonts w:hint="eastAsia"/>
              </w:rPr>
            </w:pPr>
            <w:r w:rsidRPr="2B7FFB25">
              <w:rPr>
                <w:rFonts w:ascii="Aptos" w:hAnsi="Aptos" w:eastAsia="Aptos" w:cs="Aptos"/>
                <w:color w:val="374151"/>
                <w:sz w:val="19"/>
                <w:szCs w:val="19"/>
              </w:rPr>
              <w:t>355 observations</w:t>
            </w:r>
          </w:p>
        </w:tc>
        <w:tc>
          <w:tcPr>
            <w:tcW w:w="1677" w:type="dxa"/>
            <w:tcMar/>
          </w:tcPr>
          <w:p w:rsidR="2B7FFB25" w:rsidP="2B7FFB25" w:rsidRDefault="2B7FFB25" w14:paraId="312D9D26" w14:textId="2303BEAF">
            <w:pPr>
              <w:jc w:val="center"/>
              <w:rPr>
                <w:rFonts w:hint="eastAsia"/>
              </w:rPr>
            </w:pPr>
            <w:r w:rsidRPr="2B7FFB25">
              <w:rPr>
                <w:rFonts w:ascii="Aptos" w:hAnsi="Aptos" w:eastAsia="Aptos" w:cs="Aptos"/>
                <w:color w:val="000000" w:themeColor="text1"/>
                <w:sz w:val="19"/>
                <w:szCs w:val="19"/>
              </w:rPr>
              <w:t>Bank annual reports and the Yearly Statistics Book of China’s Finance</w:t>
            </w:r>
          </w:p>
        </w:tc>
      </w:tr>
      <w:tr w:rsidRPr="00CE5391" w:rsidR="00331E11" w:rsidTr="4F940BA9" w14:paraId="64EBC8C3" w14:textId="77777777">
        <w:tc>
          <w:tcPr>
            <w:tcW w:w="641" w:type="pct"/>
            <w:tcMar/>
          </w:tcPr>
          <w:p w:rsidRPr="00C61C2E" w:rsidR="00331E11" w:rsidP="00331E11" w:rsidRDefault="00331E11" w14:paraId="7FE4B57B" w14:textId="599B41F8">
            <w:pPr>
              <w:jc w:val="center"/>
              <w:rPr>
                <w:rFonts w:hint="eastAsia" w:cs="Calibri"/>
                <w:sz w:val="20"/>
                <w:szCs w:val="20"/>
                <w:lang w:eastAsia="zh-CN"/>
              </w:rPr>
            </w:pPr>
            <w:r>
              <w:rPr>
                <w:rFonts w:cs="Calibri"/>
                <w:sz w:val="20"/>
                <w:szCs w:val="20"/>
                <w:lang w:eastAsia="zh-CN"/>
              </w:rPr>
              <w:t>35</w:t>
            </w:r>
          </w:p>
        </w:tc>
        <w:tc>
          <w:tcPr>
            <w:tcW w:w="642" w:type="pct"/>
            <w:tcMar/>
          </w:tcPr>
          <w:p w:rsidRPr="00ED5776" w:rsidR="00331E11" w:rsidP="00331E11" w:rsidRDefault="00331E11" w14:paraId="6CEF93C9" w14:textId="07A7A70D">
            <w:pPr>
              <w:jc w:val="center"/>
              <w:rPr>
                <w:rFonts w:hint="eastAsia" w:cs="Calibri"/>
                <w:sz w:val="20"/>
                <w:szCs w:val="20"/>
                <w:lang w:eastAsia="zh-CN"/>
              </w:rPr>
            </w:pPr>
            <w:r w:rsidRPr="00C61C2E">
              <w:rPr>
                <w:rFonts w:cs="Calibri"/>
                <w:sz w:val="20"/>
                <w:szCs w:val="20"/>
                <w:lang w:eastAsia="zh-CN"/>
              </w:rPr>
              <w:t>Yu et al.</w:t>
            </w:r>
            <w:r>
              <w:rPr>
                <w:rFonts w:cs="Calibri"/>
                <w:sz w:val="20"/>
                <w:szCs w:val="20"/>
                <w:lang w:eastAsia="zh-CN"/>
              </w:rPr>
              <w:t xml:space="preserve"> (</w:t>
            </w:r>
            <w:r w:rsidRPr="00C61C2E">
              <w:rPr>
                <w:rFonts w:cs="Calibri"/>
                <w:sz w:val="20"/>
                <w:szCs w:val="20"/>
                <w:lang w:eastAsia="zh-CN"/>
              </w:rPr>
              <w:t>2019)</w:t>
            </w:r>
          </w:p>
        </w:tc>
        <w:tc>
          <w:tcPr>
            <w:tcW w:w="961" w:type="pct"/>
            <w:tcMar/>
            <w:vAlign w:val="center"/>
          </w:tcPr>
          <w:p w:rsidR="00331E11" w:rsidP="00331E11" w:rsidRDefault="00331E11" w14:paraId="3E057271" w14:textId="77777777">
            <w:pPr>
              <w:rPr>
                <w:rFonts w:eastAsia="Arial Unicode MS" w:cs="Arial Unicode MS"/>
                <w:color w:val="000000" w:themeColor="text1"/>
                <w:sz w:val="20"/>
                <w:szCs w:val="20"/>
              </w:rPr>
            </w:pPr>
            <w:r>
              <w:rPr>
                <w:rFonts w:eastAsia="Arial Unicode MS" w:cs="Arial Unicode MS"/>
                <w:color w:val="000000" w:themeColor="text1"/>
                <w:sz w:val="20"/>
                <w:szCs w:val="20"/>
              </w:rPr>
              <w:t>25 Chinese listed banks</w:t>
            </w:r>
          </w:p>
        </w:tc>
        <w:tc>
          <w:tcPr>
            <w:tcW w:w="890" w:type="pct"/>
            <w:tcMar/>
            <w:vAlign w:val="center"/>
          </w:tcPr>
          <w:p w:rsidR="00331E11" w:rsidP="00331E11" w:rsidRDefault="00331E11" w14:paraId="72042C98"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2012-2016</w:t>
            </w:r>
          </w:p>
        </w:tc>
        <w:tc>
          <w:tcPr>
            <w:tcW w:w="934" w:type="pct"/>
            <w:tcMar/>
          </w:tcPr>
          <w:p w:rsidR="00331E11" w:rsidP="00331E11" w:rsidRDefault="00331E11" w14:paraId="252FB15E"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125</w:t>
            </w:r>
          </w:p>
        </w:tc>
        <w:tc>
          <w:tcPr>
            <w:tcW w:w="932" w:type="pct"/>
            <w:tcMar/>
          </w:tcPr>
          <w:p w:rsidR="00331E11" w:rsidP="00331E11" w:rsidRDefault="00331E11" w14:paraId="31B4173A"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 xml:space="preserve">Individual bank annual reports </w:t>
            </w:r>
          </w:p>
        </w:tc>
      </w:tr>
      <w:tr w:rsidR="2B7FFB25" w:rsidTr="4F940BA9" w14:paraId="18503EAD" w14:textId="77777777">
        <w:trPr>
          <w:trHeight w:val="300"/>
        </w:trPr>
        <w:tc>
          <w:tcPr>
            <w:tcW w:w="1153" w:type="dxa"/>
            <w:tcMar/>
          </w:tcPr>
          <w:p w:rsidR="7A4AE314" w:rsidP="2B7FFB25" w:rsidRDefault="7A4AE314" w14:paraId="1EB22538" w14:textId="670D70C4">
            <w:pPr>
              <w:jc w:val="center"/>
              <w:rPr>
                <w:rFonts w:hint="eastAsia" w:cs="Calibri"/>
                <w:sz w:val="20"/>
                <w:szCs w:val="20"/>
                <w:lang w:eastAsia="zh-CN"/>
              </w:rPr>
            </w:pPr>
            <w:r w:rsidRPr="2B7FFB25">
              <w:rPr>
                <w:rFonts w:cs="Calibri"/>
                <w:sz w:val="20"/>
                <w:szCs w:val="20"/>
                <w:lang w:eastAsia="zh-CN"/>
              </w:rPr>
              <w:t>38</w:t>
            </w:r>
          </w:p>
        </w:tc>
        <w:tc>
          <w:tcPr>
            <w:tcW w:w="1155" w:type="dxa"/>
            <w:tcMar/>
          </w:tcPr>
          <w:p w:rsidR="7A4AE314" w:rsidP="2B7FFB25" w:rsidRDefault="7A4AE314" w14:paraId="2C1555B0" w14:textId="120210A5">
            <w:pPr>
              <w:jc w:val="center"/>
              <w:rPr>
                <w:rFonts w:hint="eastAsia"/>
              </w:rPr>
            </w:pPr>
            <w:r w:rsidRPr="2B7FFB25">
              <w:rPr>
                <w:rFonts w:ascii="Aptos" w:hAnsi="Aptos" w:eastAsia="Aptos" w:cs="Aptos"/>
                <w:color w:val="000000" w:themeColor="text1"/>
                <w:sz w:val="19"/>
                <w:szCs w:val="19"/>
              </w:rPr>
              <w:t>Tsui-Yueh Cho, Yi-Shuan Chen (2021)</w:t>
            </w:r>
          </w:p>
        </w:tc>
        <w:tc>
          <w:tcPr>
            <w:tcW w:w="1729" w:type="dxa"/>
            <w:tcMar/>
            <w:vAlign w:val="center"/>
          </w:tcPr>
          <w:p w:rsidR="2B7FFB25" w:rsidP="2B7FFB25" w:rsidRDefault="2B7FFB25" w14:paraId="1F0DCCE4" w14:textId="013F6FF6">
            <w:pPr>
              <w:jc w:val="center"/>
              <w:rPr>
                <w:rFonts w:hint="eastAsia"/>
              </w:rPr>
            </w:pPr>
            <w:r w:rsidRPr="2B7FFB25">
              <w:rPr>
                <w:rFonts w:ascii="Aptos" w:hAnsi="Aptos" w:eastAsia="Aptos" w:cs="Aptos"/>
                <w:color w:val="374151"/>
                <w:sz w:val="19"/>
                <w:szCs w:val="19"/>
              </w:rPr>
              <w:t>34 chinese banks</w:t>
            </w:r>
          </w:p>
        </w:tc>
        <w:tc>
          <w:tcPr>
            <w:tcW w:w="1601" w:type="dxa"/>
            <w:tcMar/>
            <w:vAlign w:val="center"/>
          </w:tcPr>
          <w:p w:rsidR="2B7FFB25" w:rsidP="2B7FFB25" w:rsidRDefault="2B7FFB25" w14:paraId="671ACEBE" w14:textId="511B3E55">
            <w:pPr>
              <w:jc w:val="center"/>
              <w:rPr>
                <w:rFonts w:hint="eastAsia"/>
              </w:rPr>
            </w:pPr>
            <w:r w:rsidRPr="2B7FFB25">
              <w:rPr>
                <w:rFonts w:ascii="Aptos" w:hAnsi="Aptos" w:eastAsia="Aptos" w:cs="Aptos"/>
                <w:color w:val="374151"/>
                <w:sz w:val="19"/>
                <w:szCs w:val="19"/>
              </w:rPr>
              <w:t>2011-2017</w:t>
            </w:r>
          </w:p>
        </w:tc>
        <w:tc>
          <w:tcPr>
            <w:tcW w:w="1680" w:type="dxa"/>
            <w:tcMar/>
          </w:tcPr>
          <w:p w:rsidR="2B7FFB25" w:rsidP="2B7FFB25" w:rsidRDefault="2B7FFB25" w14:paraId="1006E7AE" w14:textId="3B0B43F2">
            <w:pPr>
              <w:jc w:val="center"/>
              <w:rPr>
                <w:rFonts w:hint="eastAsia"/>
              </w:rPr>
            </w:pPr>
            <w:r w:rsidRPr="2B7FFB25">
              <w:rPr>
                <w:rFonts w:ascii="Aptos" w:hAnsi="Aptos" w:eastAsia="Aptos" w:cs="Aptos"/>
                <w:color w:val="374151"/>
                <w:sz w:val="19"/>
                <w:szCs w:val="19"/>
              </w:rPr>
              <w:t>238 observations</w:t>
            </w:r>
          </w:p>
        </w:tc>
        <w:tc>
          <w:tcPr>
            <w:tcW w:w="1677" w:type="dxa"/>
            <w:tcMar/>
          </w:tcPr>
          <w:p w:rsidR="2B7FFB25" w:rsidP="2B7FFB25" w:rsidRDefault="2B7FFB25" w14:paraId="4B1EBF51" w14:textId="0F2AD9BA">
            <w:pPr>
              <w:jc w:val="center"/>
              <w:rPr>
                <w:rFonts w:hint="eastAsia"/>
              </w:rPr>
            </w:pPr>
            <w:r w:rsidRPr="2B7FFB25">
              <w:rPr>
                <w:rFonts w:ascii="Aptos" w:hAnsi="Aptos" w:eastAsia="Aptos" w:cs="Aptos"/>
                <w:color w:val="000000" w:themeColor="text1"/>
                <w:sz w:val="19"/>
                <w:szCs w:val="19"/>
              </w:rPr>
              <w:t>Orbis Bank Database</w:t>
            </w:r>
          </w:p>
        </w:tc>
      </w:tr>
      <w:tr w:rsidRPr="00CE5391" w:rsidR="00331E11" w:rsidTr="4F940BA9" w14:paraId="492EE6EB" w14:textId="77777777">
        <w:tc>
          <w:tcPr>
            <w:tcW w:w="641" w:type="pct"/>
            <w:tcMar/>
          </w:tcPr>
          <w:p w:rsidRPr="009F48DA" w:rsidR="00331E11" w:rsidP="00331E11" w:rsidRDefault="00331E11" w14:paraId="2EF4008B" w14:textId="343EA67A">
            <w:pPr>
              <w:jc w:val="center"/>
              <w:rPr>
                <w:rFonts w:hint="eastAsia" w:cs="Calibri"/>
                <w:sz w:val="20"/>
                <w:szCs w:val="20"/>
                <w:lang w:eastAsia="zh-CN"/>
              </w:rPr>
            </w:pPr>
            <w:r>
              <w:rPr>
                <w:rFonts w:cs="Calibri"/>
                <w:sz w:val="20"/>
                <w:szCs w:val="20"/>
                <w:lang w:eastAsia="zh-CN"/>
              </w:rPr>
              <w:t>40</w:t>
            </w:r>
          </w:p>
        </w:tc>
        <w:tc>
          <w:tcPr>
            <w:tcW w:w="642" w:type="pct"/>
            <w:tcMar/>
          </w:tcPr>
          <w:p w:rsidRPr="00C61C2E" w:rsidR="00331E11" w:rsidP="00331E11" w:rsidRDefault="00331E11" w14:paraId="4481BFA0" w14:textId="272DC9B8">
            <w:pPr>
              <w:jc w:val="center"/>
              <w:rPr>
                <w:rFonts w:hint="eastAsia" w:cs="Calibri"/>
                <w:sz w:val="20"/>
                <w:szCs w:val="20"/>
                <w:lang w:eastAsia="zh-CN"/>
              </w:rPr>
            </w:pPr>
            <w:r w:rsidRPr="009F48DA">
              <w:rPr>
                <w:rFonts w:cs="Calibri"/>
                <w:sz w:val="20"/>
                <w:szCs w:val="20"/>
                <w:lang w:eastAsia="zh-CN"/>
              </w:rPr>
              <w:t>Zhu, Li and Liang (2018)</w:t>
            </w:r>
          </w:p>
        </w:tc>
        <w:tc>
          <w:tcPr>
            <w:tcW w:w="961" w:type="pct"/>
            <w:tcMar/>
            <w:vAlign w:val="center"/>
          </w:tcPr>
          <w:p w:rsidR="00331E11" w:rsidP="00331E11" w:rsidRDefault="00331E11" w14:paraId="40A12E59" w14:textId="77777777">
            <w:pPr>
              <w:rPr>
                <w:rFonts w:eastAsia="Arial Unicode MS" w:cs="Arial Unicode MS"/>
                <w:color w:val="000000" w:themeColor="text1"/>
                <w:sz w:val="20"/>
                <w:szCs w:val="20"/>
              </w:rPr>
            </w:pPr>
            <w:r>
              <w:rPr>
                <w:rFonts w:eastAsia="Arial Unicode MS" w:cs="Arial Unicode MS"/>
                <w:color w:val="000000" w:themeColor="text1"/>
                <w:sz w:val="20"/>
                <w:szCs w:val="20"/>
              </w:rPr>
              <w:t>8 Chinese commercial banks</w:t>
            </w:r>
          </w:p>
        </w:tc>
        <w:tc>
          <w:tcPr>
            <w:tcW w:w="890" w:type="pct"/>
            <w:tcMar/>
            <w:vAlign w:val="center"/>
          </w:tcPr>
          <w:p w:rsidR="00331E11" w:rsidP="00331E11" w:rsidRDefault="00331E11" w14:paraId="027BE247"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2012</w:t>
            </w:r>
          </w:p>
        </w:tc>
        <w:tc>
          <w:tcPr>
            <w:tcW w:w="934" w:type="pct"/>
            <w:tcMar/>
          </w:tcPr>
          <w:p w:rsidR="00331E11" w:rsidP="00331E11" w:rsidRDefault="00331E11" w14:paraId="65A47E61"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8</w:t>
            </w:r>
          </w:p>
        </w:tc>
        <w:tc>
          <w:tcPr>
            <w:tcW w:w="932" w:type="pct"/>
            <w:tcMar/>
          </w:tcPr>
          <w:p w:rsidR="00331E11" w:rsidP="00331E11" w:rsidRDefault="00331E11" w14:paraId="72913F1B"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Individual bank websites and reports</w:t>
            </w:r>
          </w:p>
        </w:tc>
      </w:tr>
      <w:tr w:rsidR="2B7FFB25" w:rsidTr="4F940BA9" w14:paraId="2BC55515" w14:textId="77777777">
        <w:trPr>
          <w:trHeight w:val="300"/>
        </w:trPr>
        <w:tc>
          <w:tcPr>
            <w:tcW w:w="1153" w:type="dxa"/>
            <w:tcMar/>
          </w:tcPr>
          <w:p w:rsidR="11DBA47B" w:rsidP="2B7FFB25" w:rsidRDefault="11DBA47B" w14:paraId="2B1BA58C" w14:textId="6C3861B6">
            <w:pPr>
              <w:jc w:val="center"/>
              <w:rPr>
                <w:rFonts w:hint="eastAsia" w:cs="Calibri"/>
                <w:sz w:val="20"/>
                <w:szCs w:val="20"/>
                <w:lang w:eastAsia="zh-CN"/>
              </w:rPr>
            </w:pPr>
            <w:r w:rsidRPr="2B7FFB25">
              <w:rPr>
                <w:rFonts w:cs="Calibri"/>
                <w:sz w:val="20"/>
                <w:szCs w:val="20"/>
                <w:lang w:eastAsia="zh-CN"/>
              </w:rPr>
              <w:t>43</w:t>
            </w:r>
          </w:p>
        </w:tc>
        <w:tc>
          <w:tcPr>
            <w:tcW w:w="1155" w:type="dxa"/>
            <w:tcMar/>
          </w:tcPr>
          <w:p w:rsidR="11DBA47B" w:rsidP="2B7FFB25" w:rsidRDefault="11DBA47B" w14:paraId="0467AE59" w14:textId="496DDA7A">
            <w:pPr>
              <w:jc w:val="center"/>
              <w:rPr>
                <w:rFonts w:hint="eastAsia"/>
              </w:rPr>
            </w:pPr>
            <w:r w:rsidRPr="2B7FFB25">
              <w:rPr>
                <w:rFonts w:ascii="Aptos" w:hAnsi="Aptos" w:eastAsia="Aptos" w:cs="Aptos"/>
                <w:color w:val="000000" w:themeColor="text1"/>
                <w:sz w:val="19"/>
                <w:szCs w:val="19"/>
              </w:rPr>
              <w:t>Rasoul Rezvanian, Rima Truk Ariss, Sayed M. Mehdian, (2010)</w:t>
            </w:r>
          </w:p>
        </w:tc>
        <w:tc>
          <w:tcPr>
            <w:tcW w:w="1729" w:type="dxa"/>
            <w:tcMar/>
            <w:vAlign w:val="center"/>
          </w:tcPr>
          <w:p w:rsidR="2B7FFB25" w:rsidP="2B7FFB25" w:rsidRDefault="2B7FFB25" w14:paraId="3AADBC9D" w14:textId="7F90E255">
            <w:pPr>
              <w:jc w:val="center"/>
              <w:rPr>
                <w:rFonts w:hint="eastAsia"/>
              </w:rPr>
            </w:pPr>
            <w:r w:rsidRPr="2B7FFB25">
              <w:rPr>
                <w:rFonts w:ascii="Aptos" w:hAnsi="Aptos" w:eastAsia="Aptos" w:cs="Aptos"/>
                <w:color w:val="374151"/>
                <w:sz w:val="19"/>
                <w:szCs w:val="19"/>
              </w:rPr>
              <w:t>62 Chinese Banks</w:t>
            </w:r>
          </w:p>
        </w:tc>
        <w:tc>
          <w:tcPr>
            <w:tcW w:w="1601" w:type="dxa"/>
            <w:tcMar/>
            <w:vAlign w:val="center"/>
          </w:tcPr>
          <w:p w:rsidR="2B7FFB25" w:rsidP="2B7FFB25" w:rsidRDefault="2B7FFB25" w14:paraId="4C590320" w14:textId="3D8115A9">
            <w:pPr>
              <w:jc w:val="center"/>
              <w:rPr>
                <w:rFonts w:hint="eastAsia"/>
              </w:rPr>
            </w:pPr>
            <w:r w:rsidRPr="2B7FFB25">
              <w:rPr>
                <w:rFonts w:ascii="Aptos" w:hAnsi="Aptos" w:eastAsia="Aptos" w:cs="Aptos"/>
                <w:color w:val="374151"/>
                <w:sz w:val="19"/>
                <w:szCs w:val="19"/>
              </w:rPr>
              <w:t>1998-2006</w:t>
            </w:r>
          </w:p>
        </w:tc>
        <w:tc>
          <w:tcPr>
            <w:tcW w:w="1680" w:type="dxa"/>
            <w:tcMar/>
          </w:tcPr>
          <w:p w:rsidR="2B7FFB25" w:rsidP="2B7FFB25" w:rsidRDefault="2B7FFB25" w14:paraId="0D26828C" w14:textId="37EC755A">
            <w:pPr>
              <w:jc w:val="center"/>
              <w:rPr>
                <w:rFonts w:hint="eastAsia"/>
              </w:rPr>
            </w:pPr>
            <w:r w:rsidRPr="2B7FFB25">
              <w:rPr>
                <w:rFonts w:ascii="Aptos" w:hAnsi="Aptos" w:eastAsia="Aptos" w:cs="Aptos"/>
                <w:color w:val="374151"/>
                <w:sz w:val="19"/>
                <w:szCs w:val="19"/>
              </w:rPr>
              <w:t>349 observations</w:t>
            </w:r>
          </w:p>
        </w:tc>
        <w:tc>
          <w:tcPr>
            <w:tcW w:w="1677" w:type="dxa"/>
            <w:tcMar/>
          </w:tcPr>
          <w:p w:rsidR="2B7FFB25" w:rsidP="2B7FFB25" w:rsidRDefault="2B7FFB25" w14:paraId="641C2649" w14:textId="57E609BA">
            <w:pPr>
              <w:jc w:val="center"/>
              <w:rPr>
                <w:rFonts w:hint="eastAsia"/>
              </w:rPr>
            </w:pPr>
            <w:r w:rsidRPr="2B7FFB25">
              <w:rPr>
                <w:rFonts w:ascii="Aptos" w:hAnsi="Aptos" w:eastAsia="Aptos" w:cs="Aptos"/>
                <w:color w:val="000000" w:themeColor="text1"/>
                <w:sz w:val="19"/>
                <w:szCs w:val="19"/>
              </w:rPr>
              <w:t>Bankscope</w:t>
            </w:r>
          </w:p>
        </w:tc>
      </w:tr>
      <w:tr w:rsidRPr="00CE5391" w:rsidR="00331E11" w:rsidTr="4F940BA9" w14:paraId="5FCF01C3" w14:textId="77777777">
        <w:tc>
          <w:tcPr>
            <w:tcW w:w="641" w:type="pct"/>
            <w:tcMar/>
          </w:tcPr>
          <w:p w:rsidRPr="00386881" w:rsidR="00331E11" w:rsidP="00331E11" w:rsidRDefault="00331E11" w14:paraId="16016F8A" w14:textId="628578ED">
            <w:pPr>
              <w:jc w:val="center"/>
              <w:rPr>
                <w:rFonts w:hint="eastAsia" w:cs="Calibri"/>
                <w:sz w:val="20"/>
                <w:szCs w:val="20"/>
                <w:lang w:eastAsia="zh-CN"/>
              </w:rPr>
            </w:pPr>
            <w:r>
              <w:rPr>
                <w:rFonts w:cs="Calibri"/>
                <w:sz w:val="20"/>
                <w:szCs w:val="20"/>
                <w:lang w:eastAsia="zh-CN"/>
              </w:rPr>
              <w:t>45</w:t>
            </w:r>
          </w:p>
        </w:tc>
        <w:tc>
          <w:tcPr>
            <w:tcW w:w="642" w:type="pct"/>
            <w:tcMar/>
          </w:tcPr>
          <w:p w:rsidRPr="009F48DA" w:rsidR="00331E11" w:rsidP="00331E11" w:rsidRDefault="00331E11" w14:paraId="275DA5CE" w14:textId="1446CAC5">
            <w:pPr>
              <w:jc w:val="center"/>
              <w:rPr>
                <w:rFonts w:hint="eastAsia" w:cs="Calibri"/>
                <w:sz w:val="20"/>
                <w:szCs w:val="20"/>
                <w:lang w:eastAsia="zh-CN"/>
              </w:rPr>
            </w:pPr>
            <w:r w:rsidRPr="00386881">
              <w:rPr>
                <w:rFonts w:cs="Calibri"/>
                <w:sz w:val="20"/>
                <w:szCs w:val="20"/>
                <w:lang w:eastAsia="zh-CN"/>
              </w:rPr>
              <w:t xml:space="preserve">Wu et al. </w:t>
            </w:r>
            <w:r>
              <w:rPr>
                <w:rFonts w:cs="Calibri"/>
                <w:sz w:val="20"/>
                <w:szCs w:val="20"/>
                <w:lang w:eastAsia="zh-CN"/>
              </w:rPr>
              <w:t>(</w:t>
            </w:r>
            <w:r w:rsidRPr="00386881">
              <w:rPr>
                <w:rFonts w:cs="Calibri"/>
                <w:sz w:val="20"/>
                <w:szCs w:val="20"/>
                <w:lang w:eastAsia="zh-CN"/>
              </w:rPr>
              <w:t>2023)</w:t>
            </w:r>
          </w:p>
        </w:tc>
        <w:tc>
          <w:tcPr>
            <w:tcW w:w="961" w:type="pct"/>
            <w:tcMar/>
            <w:vAlign w:val="center"/>
          </w:tcPr>
          <w:p w:rsidR="00331E11" w:rsidP="00331E11" w:rsidRDefault="00331E11" w14:paraId="4EAEA0E8" w14:textId="77777777">
            <w:pPr>
              <w:rPr>
                <w:rFonts w:eastAsia="Arial Unicode MS" w:cs="Arial Unicode MS"/>
                <w:color w:val="000000" w:themeColor="text1"/>
                <w:sz w:val="20"/>
                <w:szCs w:val="20"/>
              </w:rPr>
            </w:pPr>
            <w:r>
              <w:rPr>
                <w:rFonts w:eastAsia="Arial Unicode MS" w:cs="Arial Unicode MS"/>
                <w:color w:val="000000" w:themeColor="text1"/>
                <w:sz w:val="20"/>
                <w:szCs w:val="20"/>
              </w:rPr>
              <w:t>27 Chinese commercial banks</w:t>
            </w:r>
          </w:p>
        </w:tc>
        <w:tc>
          <w:tcPr>
            <w:tcW w:w="890" w:type="pct"/>
            <w:tcMar/>
            <w:vAlign w:val="center"/>
          </w:tcPr>
          <w:p w:rsidR="00331E11" w:rsidP="00331E11" w:rsidRDefault="00331E11" w14:paraId="1C5FD2A7"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2006-2020</w:t>
            </w:r>
          </w:p>
        </w:tc>
        <w:tc>
          <w:tcPr>
            <w:tcW w:w="934" w:type="pct"/>
            <w:tcMar/>
          </w:tcPr>
          <w:p w:rsidR="00331E11" w:rsidP="00331E11" w:rsidRDefault="00331E11" w14:paraId="23211980"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405</w:t>
            </w:r>
          </w:p>
        </w:tc>
        <w:tc>
          <w:tcPr>
            <w:tcW w:w="932" w:type="pct"/>
            <w:tcMar/>
          </w:tcPr>
          <w:p w:rsidR="00331E11" w:rsidP="00331E11" w:rsidRDefault="00331E11" w14:paraId="47DC0C41" w14:textId="77777777">
            <w:pPr>
              <w:jc w:val="center"/>
              <w:rPr>
                <w:rFonts w:eastAsia="Arial Unicode MS" w:cs="Arial Unicode MS"/>
                <w:color w:val="000000" w:themeColor="text1"/>
                <w:sz w:val="20"/>
                <w:szCs w:val="20"/>
              </w:rPr>
            </w:pPr>
            <w:r>
              <w:rPr>
                <w:rFonts w:eastAsia="Arial Unicode MS" w:cs="Arial Unicode MS"/>
                <w:color w:val="000000" w:themeColor="text1"/>
                <w:sz w:val="20"/>
                <w:szCs w:val="20"/>
              </w:rPr>
              <w:t xml:space="preserve">Bankfocus, individual bank annual reports, </w:t>
            </w:r>
          </w:p>
        </w:tc>
      </w:tr>
      <w:tr w:rsidR="2B7FFB25" w:rsidTr="4F940BA9" w14:paraId="7AA7C981" w14:textId="77777777">
        <w:trPr>
          <w:trHeight w:val="300"/>
        </w:trPr>
        <w:tc>
          <w:tcPr>
            <w:tcW w:w="1153" w:type="dxa"/>
            <w:tcMar/>
          </w:tcPr>
          <w:p w:rsidR="2B7FFB25" w:rsidP="2B7FFB25" w:rsidRDefault="2B7FFB25" w14:paraId="48AD8ED1" w14:textId="5B2D6B87">
            <w:pPr>
              <w:jc w:val="center"/>
              <w:rPr>
                <w:rFonts w:hint="eastAsia" w:cs="Calibri"/>
                <w:sz w:val="20"/>
                <w:szCs w:val="20"/>
                <w:lang w:eastAsia="zh-CN"/>
              </w:rPr>
            </w:pPr>
            <w:r w:rsidRPr="2B7FFB25">
              <w:rPr>
                <w:rFonts w:cs="Calibri"/>
                <w:sz w:val="20"/>
                <w:szCs w:val="20"/>
                <w:lang w:eastAsia="zh-CN"/>
              </w:rPr>
              <w:t>1</w:t>
            </w:r>
          </w:p>
        </w:tc>
        <w:tc>
          <w:tcPr>
            <w:tcW w:w="1155" w:type="dxa"/>
            <w:tcMar/>
          </w:tcPr>
          <w:p w:rsidR="2B7FFB25" w:rsidP="2B7FFB25" w:rsidRDefault="2B7FFB25" w14:paraId="2F534814" w14:textId="2C66F8DD">
            <w:pPr>
              <w:spacing w:line="259" w:lineRule="auto"/>
              <w:jc w:val="center"/>
              <w:rPr>
                <w:rFonts w:hint="eastAsia" w:cs="Calibri"/>
                <w:sz w:val="20"/>
                <w:szCs w:val="20"/>
                <w:lang w:eastAsia="zh-CN"/>
              </w:rPr>
            </w:pPr>
            <w:r w:rsidRPr="2B7FFB25">
              <w:rPr>
                <w:rFonts w:cs="Calibri"/>
                <w:sz w:val="20"/>
                <w:szCs w:val="20"/>
                <w:lang w:eastAsia="zh-CN"/>
              </w:rPr>
              <w:t>Necmi K. Avkiran (2011)</w:t>
            </w:r>
          </w:p>
        </w:tc>
        <w:tc>
          <w:tcPr>
            <w:tcW w:w="1729" w:type="dxa"/>
            <w:tcMar/>
            <w:vAlign w:val="center"/>
          </w:tcPr>
          <w:p w:rsidR="2B7FFB25" w:rsidP="2B7FFB25" w:rsidRDefault="2B7FFB25" w14:paraId="4C28F9AD" w14:textId="432DD084">
            <w:pPr>
              <w:spacing w:line="259" w:lineRule="auto"/>
              <w:jc w:val="center"/>
              <w:rPr>
                <w:rFonts w:hint="eastAsia" w:cs="Calibri"/>
                <w:sz w:val="20"/>
                <w:szCs w:val="20"/>
                <w:lang w:eastAsia="zh-CN"/>
              </w:rPr>
            </w:pPr>
            <w:r w:rsidRPr="2B7FFB25">
              <w:rPr>
                <w:rFonts w:cs="Calibri"/>
                <w:sz w:val="20"/>
                <w:szCs w:val="20"/>
                <w:lang w:eastAsia="zh-CN"/>
              </w:rPr>
              <w:t>51 commercial bank (SOCB group, JSCB group, CiCB group LIFB group) and 1 country (China)</w:t>
            </w:r>
          </w:p>
        </w:tc>
        <w:tc>
          <w:tcPr>
            <w:tcW w:w="1601" w:type="dxa"/>
            <w:tcMar/>
            <w:vAlign w:val="center"/>
          </w:tcPr>
          <w:p w:rsidR="2B7FFB25" w:rsidP="2B7FFB25" w:rsidRDefault="2B7FFB25" w14:paraId="00EEF9E5" w14:textId="2EF27324">
            <w:pPr>
              <w:spacing w:line="259" w:lineRule="auto"/>
              <w:jc w:val="center"/>
              <w:rPr>
                <w:rFonts w:hint="eastAsia" w:cs="Calibri"/>
                <w:sz w:val="20"/>
                <w:szCs w:val="20"/>
                <w:lang w:eastAsia="zh-CN"/>
              </w:rPr>
            </w:pPr>
            <w:r w:rsidRPr="2B7FFB25">
              <w:rPr>
                <w:rFonts w:cs="Calibri"/>
                <w:sz w:val="20"/>
                <w:szCs w:val="20"/>
                <w:lang w:eastAsia="zh-CN"/>
              </w:rPr>
              <w:t>2007 - 2008</w:t>
            </w:r>
          </w:p>
        </w:tc>
        <w:tc>
          <w:tcPr>
            <w:tcW w:w="1680" w:type="dxa"/>
            <w:tcMar/>
          </w:tcPr>
          <w:p w:rsidR="2B7FFB25" w:rsidP="2B7FFB25" w:rsidRDefault="2B7FFB25" w14:paraId="4567E644" w14:textId="616247C1">
            <w:pPr>
              <w:spacing w:line="259" w:lineRule="auto"/>
              <w:jc w:val="center"/>
              <w:rPr>
                <w:rFonts w:hint="eastAsia" w:cs="Calibri"/>
                <w:sz w:val="20"/>
                <w:szCs w:val="20"/>
                <w:lang w:eastAsia="zh-CN"/>
              </w:rPr>
            </w:pPr>
            <w:r w:rsidRPr="2B7FFB25">
              <w:rPr>
                <w:rFonts w:cs="Calibri"/>
                <w:sz w:val="20"/>
                <w:szCs w:val="20"/>
                <w:lang w:eastAsia="zh-CN"/>
              </w:rPr>
              <w:t>102 sample size</w:t>
            </w:r>
          </w:p>
          <w:p w:rsidR="2B7FFB25" w:rsidP="2B7FFB25" w:rsidRDefault="2B7FFB25" w14:paraId="58A5EACB" w14:textId="52C93178">
            <w:pPr>
              <w:spacing w:line="259" w:lineRule="auto"/>
              <w:jc w:val="center"/>
              <w:rPr>
                <w:rFonts w:hint="eastAsia" w:cs="Calibri"/>
                <w:sz w:val="20"/>
                <w:szCs w:val="20"/>
                <w:lang w:eastAsia="zh-CN"/>
              </w:rPr>
            </w:pPr>
            <w:r w:rsidRPr="2B7FFB25">
              <w:rPr>
                <w:rFonts w:cs="Calibri"/>
                <w:sz w:val="20"/>
                <w:szCs w:val="20"/>
                <w:lang w:eastAsia="zh-CN"/>
              </w:rPr>
              <w:t xml:space="preserve"> </w:t>
            </w:r>
          </w:p>
        </w:tc>
        <w:tc>
          <w:tcPr>
            <w:tcW w:w="1677" w:type="dxa"/>
            <w:tcMar/>
          </w:tcPr>
          <w:p w:rsidR="2B7FFB25" w:rsidP="2B7FFB25" w:rsidRDefault="2B7FFB25" w14:paraId="4097171C" w14:textId="45BE60B3">
            <w:pPr>
              <w:spacing w:line="259" w:lineRule="auto"/>
              <w:jc w:val="center"/>
              <w:rPr>
                <w:rFonts w:hint="eastAsia" w:cs="Calibri"/>
                <w:sz w:val="20"/>
                <w:szCs w:val="20"/>
                <w:lang w:eastAsia="zh-CN"/>
              </w:rPr>
            </w:pPr>
            <w:r w:rsidRPr="2B7FFB25">
              <w:rPr>
                <w:rFonts w:cs="Calibri"/>
                <w:sz w:val="20"/>
                <w:szCs w:val="20"/>
                <w:lang w:eastAsia="zh-CN"/>
              </w:rPr>
              <w:t>From OSIRIS, DataStream for Bank Annual reports for fiscal years ending in December 2007 and 2008 for twenty-one publicly listed Chinese commercial banks</w:t>
            </w:r>
          </w:p>
        </w:tc>
      </w:tr>
      <w:tr w:rsidR="2B7FFB25" w:rsidTr="4F940BA9" w14:paraId="478D09A9" w14:textId="77777777">
        <w:trPr>
          <w:trHeight w:val="300"/>
        </w:trPr>
        <w:tc>
          <w:tcPr>
            <w:tcW w:w="1153" w:type="dxa"/>
            <w:tcMar/>
          </w:tcPr>
          <w:p w:rsidR="2B7FFB25" w:rsidP="2B7FFB25" w:rsidRDefault="2B7FFB25" w14:paraId="4658E914" w14:textId="275A64CF">
            <w:pPr>
              <w:jc w:val="center"/>
              <w:rPr>
                <w:rFonts w:hint="eastAsia" w:cs="Calibri"/>
                <w:sz w:val="20"/>
                <w:szCs w:val="20"/>
                <w:lang w:eastAsia="zh-CN"/>
              </w:rPr>
            </w:pPr>
            <w:r w:rsidRPr="2B7FFB25">
              <w:rPr>
                <w:rFonts w:cs="Calibri"/>
                <w:sz w:val="20"/>
                <w:szCs w:val="20"/>
                <w:lang w:eastAsia="zh-CN"/>
              </w:rPr>
              <w:t>6</w:t>
            </w:r>
          </w:p>
        </w:tc>
        <w:tc>
          <w:tcPr>
            <w:tcW w:w="1155" w:type="dxa"/>
            <w:tcMar/>
          </w:tcPr>
          <w:p w:rsidRPr="2E56052F" w:rsidR="2E56052F" w:rsidP="2E56052F" w:rsidRDefault="2E56052F" w14:paraId="29F5AE9E" w14:textId="5313F299">
            <w:pPr>
              <w:jc w:val="center"/>
              <w:rPr>
                <w:rFonts w:hint="eastAsia" w:cs="Calibri"/>
                <w:sz w:val="20"/>
                <w:szCs w:val="20"/>
                <w:lang w:eastAsia="zh-CN"/>
              </w:rPr>
            </w:pPr>
            <w:r w:rsidRPr="2E56052F">
              <w:rPr>
                <w:rFonts w:cs="Calibri"/>
                <w:sz w:val="20"/>
                <w:szCs w:val="20"/>
                <w:lang w:eastAsia="zh-CN"/>
              </w:rPr>
              <w:t>Tan, Wänke,  Antunes,  Emrouznejad (2024)</w:t>
            </w:r>
          </w:p>
        </w:tc>
        <w:tc>
          <w:tcPr>
            <w:tcW w:w="1729" w:type="dxa"/>
            <w:tcMar/>
            <w:vAlign w:val="center"/>
          </w:tcPr>
          <w:p w:rsidR="2B7FFB25" w:rsidP="2B7FFB25" w:rsidRDefault="2B7FFB25" w14:paraId="0631AE87" w14:textId="4C8D944F">
            <w:pPr>
              <w:spacing w:line="259" w:lineRule="auto"/>
              <w:jc w:val="center"/>
              <w:rPr>
                <w:rFonts w:hint="eastAsia" w:cs="Calibri"/>
                <w:sz w:val="20"/>
                <w:szCs w:val="20"/>
                <w:lang w:eastAsia="zh-CN"/>
              </w:rPr>
            </w:pPr>
            <w:r w:rsidRPr="2B7FFB25">
              <w:rPr>
                <w:rFonts w:cs="Calibri"/>
                <w:sz w:val="20"/>
                <w:szCs w:val="20"/>
                <w:lang w:eastAsia="zh-CN"/>
              </w:rPr>
              <w:t>27 DMUs and Commercial banks in China</w:t>
            </w:r>
          </w:p>
        </w:tc>
        <w:tc>
          <w:tcPr>
            <w:tcW w:w="1601" w:type="dxa"/>
            <w:tcMar/>
            <w:vAlign w:val="center"/>
          </w:tcPr>
          <w:p w:rsidR="2B7FFB25" w:rsidP="2B7FFB25" w:rsidRDefault="2B7FFB25" w14:paraId="38553718" w14:textId="4862231F">
            <w:pPr>
              <w:spacing w:line="259" w:lineRule="auto"/>
              <w:jc w:val="center"/>
              <w:rPr>
                <w:rFonts w:hint="eastAsia" w:cs="Calibri"/>
                <w:sz w:val="20"/>
                <w:szCs w:val="20"/>
                <w:lang w:eastAsia="zh-CN"/>
              </w:rPr>
            </w:pPr>
            <w:r w:rsidRPr="2B7FFB25">
              <w:rPr>
                <w:rFonts w:cs="Calibri"/>
                <w:sz w:val="20"/>
                <w:szCs w:val="20"/>
                <w:lang w:eastAsia="zh-CN"/>
              </w:rPr>
              <w:t>2007 to 2017</w:t>
            </w:r>
          </w:p>
        </w:tc>
        <w:tc>
          <w:tcPr>
            <w:tcW w:w="1680" w:type="dxa"/>
            <w:tcMar/>
          </w:tcPr>
          <w:p w:rsidR="2B7FFB25" w:rsidP="2B7FFB25" w:rsidRDefault="2B7FFB25" w14:paraId="40D767EB" w14:textId="2D33DB79">
            <w:pPr>
              <w:spacing w:line="259" w:lineRule="auto"/>
              <w:jc w:val="center"/>
              <w:rPr>
                <w:rFonts w:hint="eastAsia" w:cs="Calibri"/>
                <w:sz w:val="20"/>
                <w:szCs w:val="20"/>
                <w:lang w:eastAsia="zh-CN"/>
              </w:rPr>
            </w:pPr>
            <w:r w:rsidRPr="2B7FFB25">
              <w:rPr>
                <w:rFonts w:cs="Calibri"/>
                <w:sz w:val="20"/>
                <w:szCs w:val="20"/>
                <w:lang w:eastAsia="zh-CN"/>
              </w:rPr>
              <w:t>297 sample size</w:t>
            </w:r>
          </w:p>
        </w:tc>
        <w:tc>
          <w:tcPr>
            <w:tcW w:w="1677" w:type="dxa"/>
            <w:tcMar/>
          </w:tcPr>
          <w:p w:rsidR="2B7FFB25" w:rsidP="2B7FFB25" w:rsidRDefault="2B7FFB25" w14:paraId="528FC50B" w14:textId="1DD79D9D">
            <w:pPr>
              <w:spacing w:line="259" w:lineRule="auto"/>
              <w:jc w:val="center"/>
              <w:rPr>
                <w:rFonts w:hint="eastAsia" w:cs="Calibri"/>
                <w:sz w:val="20"/>
                <w:szCs w:val="20"/>
                <w:lang w:eastAsia="zh-CN"/>
              </w:rPr>
            </w:pPr>
            <w:r w:rsidRPr="2B7FFB25">
              <w:rPr>
                <w:rFonts w:cs="Calibri"/>
                <w:sz w:val="20"/>
                <w:szCs w:val="20"/>
                <w:lang w:eastAsia="zh-CN"/>
              </w:rPr>
              <w:t>Fitch Connect and Annual Financial Statesment</w:t>
            </w:r>
          </w:p>
        </w:tc>
      </w:tr>
      <w:tr w:rsidR="2B7FFB25" w:rsidTr="4F940BA9" w14:paraId="5EB7C461" w14:textId="77777777">
        <w:trPr>
          <w:trHeight w:val="300"/>
        </w:trPr>
        <w:tc>
          <w:tcPr>
            <w:tcW w:w="1153" w:type="dxa"/>
            <w:tcMar/>
          </w:tcPr>
          <w:p w:rsidR="2B7FFB25" w:rsidP="2B7FFB25" w:rsidRDefault="2B7FFB25" w14:paraId="256F89BF" w14:textId="38D62509">
            <w:pPr>
              <w:jc w:val="center"/>
              <w:rPr>
                <w:rFonts w:hint="eastAsia" w:cs="Calibri"/>
                <w:sz w:val="20"/>
                <w:szCs w:val="20"/>
                <w:lang w:eastAsia="zh-CN"/>
              </w:rPr>
            </w:pPr>
            <w:r w:rsidRPr="2B7FFB25">
              <w:rPr>
                <w:rFonts w:cs="Calibri"/>
                <w:sz w:val="20"/>
                <w:szCs w:val="20"/>
                <w:lang w:eastAsia="zh-CN"/>
              </w:rPr>
              <w:t>11</w:t>
            </w:r>
          </w:p>
        </w:tc>
        <w:tc>
          <w:tcPr>
            <w:tcW w:w="1155" w:type="dxa"/>
            <w:tcMar/>
          </w:tcPr>
          <w:p w:rsidRPr="2E56052F" w:rsidR="2E56052F" w:rsidP="2E56052F" w:rsidRDefault="2E56052F" w14:paraId="3CFE9941" w14:textId="543E076F">
            <w:pPr>
              <w:jc w:val="center"/>
              <w:rPr>
                <w:rFonts w:hint="eastAsia" w:cs="Calibri"/>
                <w:sz w:val="20"/>
                <w:szCs w:val="20"/>
                <w:lang w:eastAsia="zh-CN"/>
              </w:rPr>
            </w:pPr>
            <w:r w:rsidRPr="2E56052F">
              <w:rPr>
                <w:rFonts w:cs="Calibri"/>
                <w:sz w:val="20"/>
                <w:szCs w:val="20"/>
                <w:lang w:eastAsia="zh-CN"/>
              </w:rPr>
              <w:t>An, Chen, Liang &amp; Wu (2015)</w:t>
            </w:r>
          </w:p>
        </w:tc>
        <w:tc>
          <w:tcPr>
            <w:tcW w:w="1729" w:type="dxa"/>
            <w:tcMar/>
            <w:vAlign w:val="center"/>
          </w:tcPr>
          <w:p w:rsidR="2B7FFB25" w:rsidP="2B7FFB25" w:rsidRDefault="2B7FFB25" w14:paraId="19749071" w14:textId="5852C32E">
            <w:pPr>
              <w:spacing w:line="259" w:lineRule="auto"/>
              <w:jc w:val="center"/>
              <w:rPr>
                <w:rFonts w:hint="eastAsia" w:cs="Calibri"/>
                <w:sz w:val="20"/>
                <w:szCs w:val="20"/>
                <w:lang w:eastAsia="zh-CN"/>
              </w:rPr>
            </w:pPr>
            <w:r w:rsidRPr="2B7FFB25">
              <w:rPr>
                <w:rFonts w:cs="Calibri"/>
                <w:sz w:val="20"/>
                <w:szCs w:val="20"/>
                <w:lang w:eastAsia="zh-CN"/>
              </w:rPr>
              <w:t>16 (Chinese commercial banks, covering different types like state-owned, joint-stock, and city commercial banks) and China</w:t>
            </w:r>
          </w:p>
        </w:tc>
        <w:tc>
          <w:tcPr>
            <w:tcW w:w="1601" w:type="dxa"/>
            <w:tcMar/>
            <w:vAlign w:val="center"/>
          </w:tcPr>
          <w:p w:rsidR="2B7FFB25" w:rsidP="2B7FFB25" w:rsidRDefault="2B7FFB25" w14:paraId="605F910C" w14:textId="6EB27321">
            <w:pPr>
              <w:spacing w:line="259" w:lineRule="auto"/>
              <w:jc w:val="center"/>
              <w:rPr>
                <w:rFonts w:hint="eastAsia" w:cs="Calibri"/>
                <w:sz w:val="20"/>
                <w:szCs w:val="20"/>
                <w:lang w:eastAsia="zh-CN"/>
              </w:rPr>
            </w:pPr>
            <w:r w:rsidRPr="2B7FFB25">
              <w:rPr>
                <w:rFonts w:cs="Calibri"/>
                <w:sz w:val="20"/>
                <w:szCs w:val="20"/>
                <w:lang w:eastAsia="zh-CN"/>
              </w:rPr>
              <w:t>2008 - 2012</w:t>
            </w:r>
          </w:p>
        </w:tc>
        <w:tc>
          <w:tcPr>
            <w:tcW w:w="1680" w:type="dxa"/>
            <w:tcMar/>
          </w:tcPr>
          <w:p w:rsidR="2B7FFB25" w:rsidP="2B7FFB25" w:rsidRDefault="2B7FFB25" w14:paraId="62B00905" w14:textId="2A671618">
            <w:pPr>
              <w:spacing w:line="259" w:lineRule="auto"/>
              <w:jc w:val="center"/>
              <w:rPr>
                <w:rFonts w:hint="eastAsia" w:cs="Calibri"/>
                <w:sz w:val="20"/>
                <w:szCs w:val="20"/>
                <w:lang w:eastAsia="zh-CN"/>
              </w:rPr>
            </w:pPr>
            <w:r w:rsidRPr="2B7FFB25">
              <w:rPr>
                <w:rFonts w:cs="Calibri"/>
                <w:sz w:val="20"/>
                <w:szCs w:val="20"/>
                <w:lang w:eastAsia="zh-CN"/>
              </w:rPr>
              <w:t>80 sample size</w:t>
            </w:r>
          </w:p>
        </w:tc>
        <w:tc>
          <w:tcPr>
            <w:tcW w:w="1677" w:type="dxa"/>
            <w:tcMar/>
          </w:tcPr>
          <w:p w:rsidR="2B7FFB25" w:rsidP="2B7FFB25" w:rsidRDefault="2B7FFB25" w14:paraId="2A938743" w14:textId="5273CE6B">
            <w:pPr>
              <w:spacing w:line="259" w:lineRule="auto"/>
              <w:jc w:val="center"/>
              <w:rPr>
                <w:rFonts w:hint="eastAsia" w:cs="Calibri"/>
                <w:sz w:val="20"/>
                <w:szCs w:val="20"/>
                <w:lang w:eastAsia="zh-CN"/>
              </w:rPr>
            </w:pPr>
            <w:r w:rsidRPr="2B7FFB25">
              <w:rPr>
                <w:rFonts w:cs="Calibri"/>
                <w:sz w:val="20"/>
                <w:szCs w:val="20"/>
                <w:lang w:eastAsia="zh-CN"/>
              </w:rPr>
              <w:t>Annual reports, banking association data, and national credit system data</w:t>
            </w:r>
          </w:p>
        </w:tc>
      </w:tr>
      <w:tr w:rsidR="2B7FFB25" w:rsidTr="4F940BA9" w14:paraId="48A4785B" w14:textId="77777777">
        <w:trPr>
          <w:trHeight w:val="300"/>
        </w:trPr>
        <w:tc>
          <w:tcPr>
            <w:tcW w:w="1153" w:type="dxa"/>
            <w:tcMar/>
          </w:tcPr>
          <w:p w:rsidR="2B7FFB25" w:rsidP="2B7FFB25" w:rsidRDefault="2B7FFB25" w14:paraId="0D7862F1" w14:textId="38447D46">
            <w:pPr>
              <w:jc w:val="center"/>
              <w:rPr>
                <w:rFonts w:hint="eastAsia" w:cs="Calibri"/>
                <w:sz w:val="20"/>
                <w:szCs w:val="20"/>
                <w:lang w:eastAsia="zh-CN"/>
              </w:rPr>
            </w:pPr>
            <w:r w:rsidRPr="2B7FFB25">
              <w:rPr>
                <w:rFonts w:cs="Calibri"/>
                <w:sz w:val="20"/>
                <w:szCs w:val="20"/>
                <w:lang w:eastAsia="zh-CN"/>
              </w:rPr>
              <w:t>16</w:t>
            </w:r>
          </w:p>
        </w:tc>
        <w:tc>
          <w:tcPr>
            <w:tcW w:w="1155" w:type="dxa"/>
            <w:tcMar/>
          </w:tcPr>
          <w:p w:rsidR="2B7FFB25" w:rsidP="2B7FFB25" w:rsidRDefault="2B7FFB25" w14:paraId="75F9D358" w14:textId="6F661F7A">
            <w:pPr>
              <w:spacing w:line="259" w:lineRule="auto"/>
              <w:jc w:val="center"/>
              <w:rPr>
                <w:rFonts w:hint="eastAsia" w:cs="Calibri"/>
                <w:sz w:val="20"/>
                <w:szCs w:val="20"/>
                <w:lang w:eastAsia="zh-CN"/>
              </w:rPr>
            </w:pPr>
            <w:r w:rsidRPr="2B7FFB25">
              <w:rPr>
                <w:rFonts w:cs="Calibri"/>
                <w:sz w:val="20"/>
                <w:szCs w:val="20"/>
                <w:lang w:eastAsia="zh-CN"/>
              </w:rPr>
              <w:t>Hirofumi Fukuyamaa , Yong Tan (2022)</w:t>
            </w:r>
          </w:p>
        </w:tc>
        <w:tc>
          <w:tcPr>
            <w:tcW w:w="1729" w:type="dxa"/>
            <w:tcMar/>
            <w:vAlign w:val="center"/>
          </w:tcPr>
          <w:p w:rsidR="2B7FFB25" w:rsidP="2B7FFB25" w:rsidRDefault="2B7FFB25" w14:paraId="38570989" w14:textId="739A8CF7">
            <w:pPr>
              <w:spacing w:line="259" w:lineRule="auto"/>
              <w:jc w:val="center"/>
              <w:rPr>
                <w:rFonts w:hint="eastAsia" w:cs="Calibri"/>
                <w:sz w:val="20"/>
                <w:szCs w:val="20"/>
                <w:lang w:eastAsia="zh-CN"/>
              </w:rPr>
            </w:pPr>
            <w:r w:rsidRPr="2B7FFB25">
              <w:rPr>
                <w:rFonts w:cs="Calibri"/>
                <w:sz w:val="20"/>
                <w:szCs w:val="20"/>
                <w:lang w:eastAsia="zh-CN"/>
              </w:rPr>
              <w:t>71 (banks which are concerned t five types of performance, consisting of innovation, two kinds of stability, profitability and CSR) and China</w:t>
            </w:r>
          </w:p>
        </w:tc>
        <w:tc>
          <w:tcPr>
            <w:tcW w:w="1601" w:type="dxa"/>
            <w:tcMar/>
            <w:vAlign w:val="center"/>
          </w:tcPr>
          <w:p w:rsidR="2B7FFB25" w:rsidP="2B7FFB25" w:rsidRDefault="2B7FFB25" w14:paraId="48D811FC" w14:textId="4F0F7D27">
            <w:pPr>
              <w:spacing w:line="259" w:lineRule="auto"/>
              <w:jc w:val="center"/>
              <w:rPr>
                <w:rFonts w:hint="eastAsia" w:cs="Calibri"/>
                <w:sz w:val="20"/>
                <w:szCs w:val="20"/>
                <w:lang w:eastAsia="zh-CN"/>
              </w:rPr>
            </w:pPr>
            <w:r w:rsidRPr="2B7FFB25">
              <w:rPr>
                <w:rFonts w:cs="Calibri"/>
                <w:sz w:val="20"/>
                <w:szCs w:val="20"/>
                <w:lang w:eastAsia="zh-CN"/>
              </w:rPr>
              <w:t>2011-2019</w:t>
            </w:r>
          </w:p>
        </w:tc>
        <w:tc>
          <w:tcPr>
            <w:tcW w:w="1680" w:type="dxa"/>
            <w:tcMar/>
          </w:tcPr>
          <w:p w:rsidR="2B7FFB25" w:rsidP="2B7FFB25" w:rsidRDefault="2B7FFB25" w14:paraId="4DF55BF6" w14:textId="59909821">
            <w:pPr>
              <w:spacing w:line="259" w:lineRule="auto"/>
              <w:jc w:val="center"/>
              <w:rPr>
                <w:rFonts w:hint="eastAsia" w:cs="Calibri"/>
                <w:sz w:val="20"/>
                <w:szCs w:val="20"/>
                <w:lang w:eastAsia="zh-CN"/>
              </w:rPr>
            </w:pPr>
            <w:r w:rsidRPr="2B7FFB25">
              <w:rPr>
                <w:rFonts w:cs="Calibri"/>
                <w:sz w:val="20"/>
                <w:szCs w:val="20"/>
                <w:lang w:eastAsia="zh-CN"/>
              </w:rPr>
              <w:t>639 sample size</w:t>
            </w:r>
          </w:p>
        </w:tc>
        <w:tc>
          <w:tcPr>
            <w:tcW w:w="1677" w:type="dxa"/>
            <w:tcMar/>
          </w:tcPr>
          <w:p w:rsidR="2B7FFB25" w:rsidP="2B7FFB25" w:rsidRDefault="2B7FFB25" w14:paraId="2D9C539D" w14:textId="36C7F0A5">
            <w:pPr>
              <w:spacing w:line="259" w:lineRule="auto"/>
              <w:jc w:val="center"/>
              <w:rPr>
                <w:rFonts w:hint="eastAsia" w:cs="Calibri"/>
                <w:sz w:val="20"/>
                <w:szCs w:val="20"/>
                <w:lang w:eastAsia="zh-CN"/>
              </w:rPr>
            </w:pPr>
            <w:r w:rsidRPr="2B7FFB25">
              <w:rPr>
                <w:rFonts w:cs="Calibri"/>
                <w:sz w:val="20"/>
                <w:szCs w:val="20"/>
                <w:lang w:eastAsia="zh-CN"/>
              </w:rPr>
              <w:t>Collecting balanced panel dataset</w:t>
            </w:r>
          </w:p>
        </w:tc>
      </w:tr>
      <w:tr w:rsidR="2B7FFB25" w:rsidTr="4F940BA9" w14:paraId="4853383B" w14:textId="77777777">
        <w:trPr>
          <w:trHeight w:val="300"/>
        </w:trPr>
        <w:tc>
          <w:tcPr>
            <w:tcW w:w="1153" w:type="dxa"/>
            <w:tcMar/>
          </w:tcPr>
          <w:p w:rsidR="2B7FFB25" w:rsidP="2B7FFB25" w:rsidRDefault="2B7FFB25" w14:paraId="538A96BA" w14:textId="3E747C6B">
            <w:pPr>
              <w:jc w:val="center"/>
              <w:rPr>
                <w:rFonts w:hint="eastAsia" w:cs="Calibri"/>
                <w:sz w:val="20"/>
                <w:szCs w:val="20"/>
                <w:lang w:eastAsia="zh-CN"/>
              </w:rPr>
            </w:pPr>
            <w:r w:rsidRPr="2B7FFB25">
              <w:rPr>
                <w:rFonts w:cs="Calibri"/>
                <w:sz w:val="20"/>
                <w:szCs w:val="20"/>
                <w:lang w:eastAsia="zh-CN"/>
              </w:rPr>
              <w:t>21</w:t>
            </w:r>
          </w:p>
        </w:tc>
        <w:tc>
          <w:tcPr>
            <w:tcW w:w="1155" w:type="dxa"/>
            <w:tcMar/>
          </w:tcPr>
          <w:p w:rsidR="2B7FFB25" w:rsidP="2B7FFB25" w:rsidRDefault="2B7FFB25" w14:paraId="0985C6BB" w14:textId="035CB0F3">
            <w:pPr>
              <w:spacing w:line="259" w:lineRule="auto"/>
              <w:jc w:val="center"/>
              <w:rPr>
                <w:rFonts w:hint="eastAsia" w:cs="Calibri"/>
                <w:sz w:val="20"/>
                <w:szCs w:val="20"/>
                <w:lang w:eastAsia="zh-CN"/>
              </w:rPr>
            </w:pPr>
            <w:r w:rsidRPr="2B7FFB25">
              <w:rPr>
                <w:rFonts w:cs="Calibri"/>
                <w:sz w:val="20"/>
                <w:szCs w:val="20"/>
                <w:lang w:eastAsia="zh-CN"/>
              </w:rPr>
              <w:t>Hirofumi Fukuyamaa , Roman Matousek (2017)</w:t>
            </w:r>
          </w:p>
        </w:tc>
        <w:tc>
          <w:tcPr>
            <w:tcW w:w="1729" w:type="dxa"/>
            <w:tcMar/>
            <w:vAlign w:val="center"/>
          </w:tcPr>
          <w:p w:rsidR="2B7FFB25" w:rsidP="2B7FFB25" w:rsidRDefault="2B7FFB25" w14:paraId="58381560" w14:textId="2C1C3EB1">
            <w:pPr>
              <w:spacing w:line="259" w:lineRule="auto"/>
              <w:jc w:val="center"/>
              <w:rPr>
                <w:rFonts w:hint="eastAsia" w:cs="Calibri"/>
                <w:sz w:val="20"/>
                <w:szCs w:val="20"/>
                <w:lang w:eastAsia="zh-CN"/>
              </w:rPr>
            </w:pPr>
            <w:r w:rsidRPr="2B7FFB25">
              <w:rPr>
                <w:rFonts w:cs="Calibri"/>
                <w:sz w:val="20"/>
                <w:szCs w:val="20"/>
                <w:lang w:eastAsia="zh-CN"/>
              </w:rPr>
              <w:t>72 Regional Japanese Bank I and II</w:t>
            </w:r>
          </w:p>
        </w:tc>
        <w:tc>
          <w:tcPr>
            <w:tcW w:w="1601" w:type="dxa"/>
            <w:tcMar/>
            <w:vAlign w:val="center"/>
          </w:tcPr>
          <w:p w:rsidR="2B7FFB25" w:rsidP="2B7FFB25" w:rsidRDefault="2B7FFB25" w14:paraId="636563DC" w14:textId="683D26D3">
            <w:pPr>
              <w:spacing w:line="259" w:lineRule="auto"/>
              <w:jc w:val="center"/>
              <w:rPr>
                <w:rFonts w:hint="eastAsia" w:cs="Calibri"/>
                <w:sz w:val="20"/>
                <w:szCs w:val="20"/>
                <w:lang w:eastAsia="zh-CN"/>
              </w:rPr>
            </w:pPr>
            <w:r w:rsidRPr="2B7FFB25">
              <w:rPr>
                <w:rFonts w:cs="Calibri"/>
                <w:sz w:val="20"/>
                <w:szCs w:val="20"/>
                <w:lang w:eastAsia="zh-CN"/>
              </w:rPr>
              <w:t>September 2000 – march 2013</w:t>
            </w:r>
          </w:p>
        </w:tc>
        <w:tc>
          <w:tcPr>
            <w:tcW w:w="1680" w:type="dxa"/>
            <w:tcMar/>
          </w:tcPr>
          <w:p w:rsidR="2B7FFB25" w:rsidP="2B7FFB25" w:rsidRDefault="2B7FFB25" w14:paraId="74B8A770" w14:textId="40BF3AF1">
            <w:pPr>
              <w:spacing w:line="259" w:lineRule="auto"/>
              <w:jc w:val="center"/>
              <w:rPr>
                <w:rFonts w:hint="eastAsia" w:cs="Calibri"/>
                <w:sz w:val="20"/>
                <w:szCs w:val="20"/>
                <w:lang w:eastAsia="zh-CN"/>
              </w:rPr>
            </w:pPr>
            <w:r w:rsidRPr="2B7FFB25">
              <w:rPr>
                <w:rFonts w:cs="Calibri"/>
                <w:sz w:val="20"/>
                <w:szCs w:val="20"/>
                <w:lang w:eastAsia="zh-CN"/>
              </w:rPr>
              <w:t>172 Japanese Banks in regional 1 and 2</w:t>
            </w:r>
          </w:p>
        </w:tc>
        <w:tc>
          <w:tcPr>
            <w:tcW w:w="1677" w:type="dxa"/>
            <w:tcMar/>
          </w:tcPr>
          <w:p w:rsidR="2B7FFB25" w:rsidP="2B7FFB25" w:rsidRDefault="2B7FFB25" w14:paraId="4A7C2242" w14:textId="7BFEC7AF">
            <w:pPr>
              <w:spacing w:line="259" w:lineRule="auto"/>
              <w:jc w:val="center"/>
              <w:rPr>
                <w:rFonts w:hint="eastAsia" w:cs="Calibri"/>
                <w:sz w:val="20"/>
                <w:szCs w:val="20"/>
                <w:lang w:eastAsia="zh-CN"/>
              </w:rPr>
            </w:pPr>
            <w:r w:rsidRPr="2B7FFB25">
              <w:rPr>
                <w:rFonts w:cs="Calibri"/>
                <w:sz w:val="20"/>
                <w:szCs w:val="20"/>
                <w:lang w:eastAsia="zh-CN"/>
              </w:rPr>
              <w:t>Japanese regional bank report</w:t>
            </w:r>
          </w:p>
        </w:tc>
      </w:tr>
      <w:tr w:rsidR="2B7FFB25" w:rsidTr="4F940BA9" w14:paraId="5D287219" w14:textId="77777777">
        <w:trPr>
          <w:trHeight w:val="300"/>
        </w:trPr>
        <w:tc>
          <w:tcPr>
            <w:tcW w:w="1153" w:type="dxa"/>
            <w:tcMar/>
          </w:tcPr>
          <w:p w:rsidR="2B7FFB25" w:rsidP="2B7FFB25" w:rsidRDefault="2B7FFB25" w14:paraId="1E260BFD" w14:textId="5A37F5DF">
            <w:pPr>
              <w:jc w:val="center"/>
              <w:rPr>
                <w:rFonts w:hint="eastAsia" w:cs="Calibri"/>
                <w:sz w:val="20"/>
                <w:szCs w:val="20"/>
                <w:lang w:eastAsia="zh-CN"/>
              </w:rPr>
            </w:pPr>
            <w:r w:rsidRPr="2B7FFB25">
              <w:rPr>
                <w:rFonts w:cs="Calibri"/>
                <w:sz w:val="20"/>
                <w:szCs w:val="20"/>
                <w:lang w:eastAsia="zh-CN"/>
              </w:rPr>
              <w:t>26</w:t>
            </w:r>
          </w:p>
        </w:tc>
        <w:tc>
          <w:tcPr>
            <w:tcW w:w="1155" w:type="dxa"/>
            <w:tcMar/>
          </w:tcPr>
          <w:p w:rsidR="2B7FFB25" w:rsidP="2B7FFB25" w:rsidRDefault="2B7FFB25" w14:paraId="7E81262F" w14:textId="460FB9CC">
            <w:pPr>
              <w:spacing w:line="259" w:lineRule="auto"/>
              <w:jc w:val="center"/>
              <w:rPr>
                <w:rFonts w:hint="eastAsia" w:cs="Calibri"/>
                <w:sz w:val="20"/>
                <w:szCs w:val="20"/>
                <w:lang w:eastAsia="zh-CN"/>
              </w:rPr>
            </w:pPr>
            <w:r w:rsidRPr="2B7FFB25">
              <w:rPr>
                <w:rFonts w:cs="Calibri"/>
                <w:sz w:val="20"/>
                <w:szCs w:val="20"/>
                <w:lang w:eastAsia="zh-CN"/>
              </w:rPr>
              <w:t>Kent Matthews a , Zhiguo Xiao (2020)</w:t>
            </w:r>
          </w:p>
        </w:tc>
        <w:tc>
          <w:tcPr>
            <w:tcW w:w="1729" w:type="dxa"/>
            <w:tcMar/>
            <w:vAlign w:val="center"/>
          </w:tcPr>
          <w:p w:rsidR="2B7FFB25" w:rsidP="2B7FFB25" w:rsidRDefault="2B7FFB25" w14:paraId="1D8AECEE" w14:textId="4E951B72">
            <w:pPr>
              <w:spacing w:line="259" w:lineRule="auto"/>
              <w:jc w:val="center"/>
              <w:rPr>
                <w:rFonts w:hint="eastAsia" w:cs="Calibri"/>
                <w:sz w:val="20"/>
                <w:szCs w:val="20"/>
                <w:lang w:eastAsia="zh-CN"/>
              </w:rPr>
            </w:pPr>
            <w:r w:rsidRPr="2B7FFB25">
              <w:rPr>
                <w:rFonts w:cs="Calibri"/>
                <w:sz w:val="20"/>
                <w:szCs w:val="20"/>
                <w:lang w:eastAsia="zh-CN"/>
              </w:rPr>
              <w:t>14 DMUs Chinese bank</w:t>
            </w:r>
          </w:p>
        </w:tc>
        <w:tc>
          <w:tcPr>
            <w:tcW w:w="1601" w:type="dxa"/>
            <w:tcMar/>
            <w:vAlign w:val="center"/>
          </w:tcPr>
          <w:p w:rsidR="2B7FFB25" w:rsidP="2B7FFB25" w:rsidRDefault="2B7FFB25" w14:paraId="7704BA03" w14:textId="76DB1E2C">
            <w:pPr>
              <w:spacing w:line="259" w:lineRule="auto"/>
              <w:jc w:val="center"/>
              <w:rPr>
                <w:rFonts w:hint="eastAsia" w:cs="Calibri"/>
                <w:sz w:val="20"/>
                <w:szCs w:val="20"/>
                <w:lang w:eastAsia="zh-CN"/>
              </w:rPr>
            </w:pPr>
            <w:r w:rsidRPr="2B7FFB25">
              <w:rPr>
                <w:rFonts w:cs="Calibri"/>
                <w:sz w:val="20"/>
                <w:szCs w:val="20"/>
                <w:lang w:eastAsia="zh-CN"/>
              </w:rPr>
              <w:t>1997 - 2016</w:t>
            </w:r>
          </w:p>
        </w:tc>
        <w:tc>
          <w:tcPr>
            <w:tcW w:w="1680" w:type="dxa"/>
            <w:tcMar/>
          </w:tcPr>
          <w:p w:rsidR="2B7FFB25" w:rsidP="2B7FFB25" w:rsidRDefault="2B7FFB25" w14:paraId="50857AA4" w14:textId="515E936B">
            <w:pPr>
              <w:spacing w:line="259" w:lineRule="auto"/>
              <w:jc w:val="center"/>
              <w:rPr>
                <w:rFonts w:hint="eastAsia" w:cs="Calibri"/>
                <w:sz w:val="20"/>
                <w:szCs w:val="20"/>
                <w:lang w:eastAsia="zh-CN"/>
              </w:rPr>
            </w:pPr>
            <w:r w:rsidRPr="2B7FFB25">
              <w:rPr>
                <w:rFonts w:cs="Calibri"/>
                <w:sz w:val="20"/>
                <w:szCs w:val="20"/>
                <w:lang w:eastAsia="zh-CN"/>
              </w:rPr>
              <w:t>280 Bank Observation</w:t>
            </w:r>
          </w:p>
        </w:tc>
        <w:tc>
          <w:tcPr>
            <w:tcW w:w="1677" w:type="dxa"/>
            <w:tcMar/>
          </w:tcPr>
          <w:p w:rsidR="2B7FFB25" w:rsidP="2B7FFB25" w:rsidRDefault="2B7FFB25" w14:paraId="258EAC9C" w14:textId="45D735D5">
            <w:pPr>
              <w:spacing w:line="259" w:lineRule="auto"/>
              <w:jc w:val="center"/>
              <w:rPr>
                <w:rFonts w:hint="eastAsia" w:cs="Calibri"/>
                <w:sz w:val="20"/>
                <w:szCs w:val="20"/>
                <w:lang w:eastAsia="zh-CN"/>
              </w:rPr>
            </w:pPr>
            <w:r w:rsidRPr="2B7FFB25">
              <w:rPr>
                <w:rFonts w:cs="Calibri"/>
                <w:sz w:val="20"/>
                <w:szCs w:val="20"/>
                <w:lang w:eastAsia="zh-CN"/>
              </w:rPr>
              <w:t>Fitch/Bankscope, and individual annual reports of banks</w:t>
            </w:r>
          </w:p>
        </w:tc>
      </w:tr>
      <w:tr w:rsidR="2B7FFB25" w:rsidTr="4F940BA9" w14:paraId="44CEE2F2" w14:textId="77777777">
        <w:trPr>
          <w:trHeight w:val="300"/>
        </w:trPr>
        <w:tc>
          <w:tcPr>
            <w:tcW w:w="1153" w:type="dxa"/>
            <w:tcMar/>
          </w:tcPr>
          <w:p w:rsidR="2B7FFB25" w:rsidP="2B7FFB25" w:rsidRDefault="2B7FFB25" w14:paraId="36145BB2" w14:textId="0BF7029E">
            <w:pPr>
              <w:jc w:val="center"/>
              <w:rPr>
                <w:rFonts w:hint="eastAsia" w:cs="Calibri"/>
                <w:sz w:val="20"/>
                <w:szCs w:val="20"/>
                <w:lang w:eastAsia="zh-CN"/>
              </w:rPr>
            </w:pPr>
            <w:r w:rsidRPr="2B7FFB25">
              <w:rPr>
                <w:rFonts w:cs="Calibri"/>
                <w:sz w:val="20"/>
                <w:szCs w:val="20"/>
                <w:lang w:eastAsia="zh-CN"/>
              </w:rPr>
              <w:t>31</w:t>
            </w:r>
          </w:p>
        </w:tc>
        <w:tc>
          <w:tcPr>
            <w:tcW w:w="1155" w:type="dxa"/>
            <w:tcMar/>
          </w:tcPr>
          <w:p w:rsidR="2B7FFB25" w:rsidP="2B7FFB25" w:rsidRDefault="2B7FFB25" w14:paraId="58858B09" w14:textId="4F62D2B1">
            <w:pPr>
              <w:spacing w:line="259" w:lineRule="auto"/>
              <w:jc w:val="center"/>
              <w:rPr>
                <w:rFonts w:hint="eastAsia" w:cs="Calibri"/>
                <w:sz w:val="20"/>
                <w:szCs w:val="20"/>
                <w:lang w:eastAsia="zh-CN"/>
              </w:rPr>
            </w:pPr>
            <w:r w:rsidRPr="2B7FFB25">
              <w:rPr>
                <w:rFonts w:cs="Calibri"/>
                <w:sz w:val="20"/>
                <w:szCs w:val="20"/>
                <w:lang w:eastAsia="zh-CN"/>
              </w:rPr>
              <w:t>Fukuyama, Tsionas, Tan (2023)</w:t>
            </w:r>
          </w:p>
        </w:tc>
        <w:tc>
          <w:tcPr>
            <w:tcW w:w="1729" w:type="dxa"/>
            <w:tcMar/>
            <w:vAlign w:val="center"/>
          </w:tcPr>
          <w:p w:rsidR="2B7FFB25" w:rsidP="2B7FFB25" w:rsidRDefault="2B7FFB25" w14:paraId="5FC21894" w14:textId="74E7034B">
            <w:pPr>
              <w:spacing w:line="259" w:lineRule="auto"/>
              <w:jc w:val="center"/>
              <w:rPr>
                <w:rFonts w:hint="eastAsia" w:cs="Calibri"/>
                <w:sz w:val="20"/>
                <w:szCs w:val="20"/>
                <w:lang w:eastAsia="zh-CN"/>
              </w:rPr>
            </w:pPr>
            <w:r w:rsidRPr="2B7FFB25">
              <w:rPr>
                <w:rFonts w:cs="Calibri"/>
                <w:sz w:val="20"/>
                <w:szCs w:val="20"/>
                <w:lang w:eastAsia="zh-CN"/>
              </w:rPr>
              <w:t>25 DMUs</w:t>
            </w:r>
          </w:p>
        </w:tc>
        <w:tc>
          <w:tcPr>
            <w:tcW w:w="1601" w:type="dxa"/>
            <w:tcMar/>
            <w:vAlign w:val="center"/>
          </w:tcPr>
          <w:p w:rsidR="2B7FFB25" w:rsidP="2B7FFB25" w:rsidRDefault="2B7FFB25" w14:paraId="4B978F10" w14:textId="08BFCBB0">
            <w:pPr>
              <w:spacing w:line="259" w:lineRule="auto"/>
              <w:jc w:val="center"/>
              <w:rPr>
                <w:rFonts w:hint="eastAsia" w:cs="Calibri"/>
                <w:sz w:val="20"/>
                <w:szCs w:val="20"/>
                <w:lang w:eastAsia="zh-CN"/>
              </w:rPr>
            </w:pPr>
            <w:r w:rsidRPr="2B7FFB25">
              <w:rPr>
                <w:rFonts w:cs="Calibri"/>
                <w:sz w:val="20"/>
                <w:szCs w:val="20"/>
                <w:lang w:eastAsia="zh-CN"/>
              </w:rPr>
              <w:t>2013 - 2020</w:t>
            </w:r>
          </w:p>
        </w:tc>
        <w:tc>
          <w:tcPr>
            <w:tcW w:w="1680" w:type="dxa"/>
            <w:tcMar/>
          </w:tcPr>
          <w:p w:rsidR="2B7FFB25" w:rsidP="2B7FFB25" w:rsidRDefault="2B7FFB25" w14:paraId="6D8085F8" w14:textId="48074813">
            <w:pPr>
              <w:spacing w:line="259" w:lineRule="auto"/>
              <w:jc w:val="center"/>
              <w:rPr>
                <w:rFonts w:hint="eastAsia" w:cs="Calibri"/>
                <w:sz w:val="20"/>
                <w:szCs w:val="20"/>
                <w:lang w:eastAsia="zh-CN"/>
              </w:rPr>
            </w:pPr>
            <w:r w:rsidRPr="2B7FFB25">
              <w:rPr>
                <w:rFonts w:cs="Calibri"/>
                <w:sz w:val="20"/>
                <w:szCs w:val="20"/>
                <w:lang w:eastAsia="zh-CN"/>
              </w:rPr>
              <w:t>500 bank observation</w:t>
            </w:r>
          </w:p>
        </w:tc>
        <w:tc>
          <w:tcPr>
            <w:tcW w:w="1677" w:type="dxa"/>
            <w:tcMar/>
          </w:tcPr>
          <w:p w:rsidR="2B7FFB25" w:rsidP="2B7FFB25" w:rsidRDefault="2B7FFB25" w14:paraId="31ABA471" w14:textId="5643D77E">
            <w:pPr>
              <w:spacing w:line="259" w:lineRule="auto"/>
              <w:jc w:val="center"/>
              <w:rPr>
                <w:rFonts w:hint="eastAsia" w:cs="Calibri"/>
                <w:sz w:val="20"/>
                <w:szCs w:val="20"/>
                <w:lang w:eastAsia="zh-CN"/>
              </w:rPr>
            </w:pPr>
            <w:r w:rsidRPr="2B7FFB25">
              <w:rPr>
                <w:rFonts w:cs="Calibri"/>
                <w:sz w:val="20"/>
                <w:szCs w:val="20"/>
                <w:lang w:eastAsia="zh-CN"/>
              </w:rPr>
              <w:t>Financial statement</w:t>
            </w:r>
          </w:p>
        </w:tc>
      </w:tr>
      <w:tr w:rsidR="2B7FFB25" w:rsidTr="4F940BA9" w14:paraId="6285B3F3" w14:textId="77777777">
        <w:trPr>
          <w:trHeight w:val="300"/>
        </w:trPr>
        <w:tc>
          <w:tcPr>
            <w:tcW w:w="1153" w:type="dxa"/>
            <w:tcMar/>
          </w:tcPr>
          <w:p w:rsidR="2B7FFB25" w:rsidP="2B7FFB25" w:rsidRDefault="2B7FFB25" w14:paraId="16198D0A" w14:textId="3FFB19EA">
            <w:pPr>
              <w:jc w:val="center"/>
              <w:rPr>
                <w:rFonts w:hint="eastAsia" w:cs="Calibri"/>
                <w:sz w:val="20"/>
                <w:szCs w:val="20"/>
                <w:lang w:eastAsia="zh-CN"/>
              </w:rPr>
            </w:pPr>
            <w:r w:rsidRPr="2B7FFB25">
              <w:rPr>
                <w:rFonts w:cs="Calibri"/>
                <w:sz w:val="20"/>
                <w:szCs w:val="20"/>
                <w:lang w:eastAsia="zh-CN"/>
              </w:rPr>
              <w:t>36</w:t>
            </w:r>
          </w:p>
        </w:tc>
        <w:tc>
          <w:tcPr>
            <w:tcW w:w="1155" w:type="dxa"/>
            <w:tcMar/>
          </w:tcPr>
          <w:p w:rsidR="2B7FFB25" w:rsidP="2B7FFB25" w:rsidRDefault="2B7FFB25" w14:paraId="61D87296" w14:textId="3F9E4545">
            <w:pPr>
              <w:spacing w:line="259" w:lineRule="auto"/>
              <w:jc w:val="center"/>
              <w:rPr>
                <w:rFonts w:hint="eastAsia" w:cs="Calibri"/>
                <w:sz w:val="20"/>
                <w:szCs w:val="20"/>
                <w:lang w:eastAsia="zh-CN"/>
              </w:rPr>
            </w:pPr>
            <w:r w:rsidRPr="2B7FFB25">
              <w:rPr>
                <w:rFonts w:cs="Calibri"/>
                <w:sz w:val="20"/>
                <w:szCs w:val="20"/>
                <w:lang w:eastAsia="zh-CN"/>
              </w:rPr>
              <w:t>Necmi K. Avkiran, Hiroshi Morita (2010)</w:t>
            </w:r>
          </w:p>
        </w:tc>
        <w:tc>
          <w:tcPr>
            <w:tcW w:w="1729" w:type="dxa"/>
            <w:tcMar/>
            <w:vAlign w:val="center"/>
          </w:tcPr>
          <w:p w:rsidR="2B7FFB25" w:rsidP="2B7FFB25" w:rsidRDefault="2B7FFB25" w14:paraId="52006003" w14:textId="1169E151">
            <w:pPr>
              <w:spacing w:line="259" w:lineRule="auto"/>
              <w:jc w:val="center"/>
              <w:rPr>
                <w:rFonts w:hint="eastAsia" w:cs="Calibri"/>
                <w:sz w:val="20"/>
                <w:szCs w:val="20"/>
                <w:lang w:eastAsia="zh-CN"/>
              </w:rPr>
            </w:pPr>
            <w:r w:rsidRPr="2B7FFB25">
              <w:rPr>
                <w:rFonts w:cs="Calibri"/>
                <w:sz w:val="20"/>
                <w:szCs w:val="20"/>
                <w:lang w:eastAsia="zh-CN"/>
              </w:rPr>
              <w:t>20 listed Chinese banks</w:t>
            </w:r>
          </w:p>
        </w:tc>
        <w:tc>
          <w:tcPr>
            <w:tcW w:w="1601" w:type="dxa"/>
            <w:tcMar/>
            <w:vAlign w:val="center"/>
          </w:tcPr>
          <w:p w:rsidR="2B7FFB25" w:rsidP="2B7FFB25" w:rsidRDefault="2B7FFB25" w14:paraId="0A9055B5" w14:textId="678E41C1">
            <w:pPr>
              <w:spacing w:line="259" w:lineRule="auto"/>
              <w:jc w:val="center"/>
              <w:rPr>
                <w:rFonts w:hint="eastAsia" w:cs="Calibri"/>
                <w:sz w:val="20"/>
                <w:szCs w:val="20"/>
                <w:lang w:eastAsia="zh-CN"/>
              </w:rPr>
            </w:pPr>
            <w:r w:rsidRPr="2B7FFB25">
              <w:rPr>
                <w:rFonts w:cs="Calibri"/>
                <w:sz w:val="20"/>
                <w:szCs w:val="20"/>
                <w:lang w:eastAsia="zh-CN"/>
              </w:rPr>
              <w:t>Ending December 2007</w:t>
            </w:r>
          </w:p>
        </w:tc>
        <w:tc>
          <w:tcPr>
            <w:tcW w:w="1680" w:type="dxa"/>
            <w:tcMar/>
          </w:tcPr>
          <w:p w:rsidR="2B7FFB25" w:rsidP="2B7FFB25" w:rsidRDefault="2B7FFB25" w14:paraId="1CC71C8C" w14:textId="2A1418C2">
            <w:pPr>
              <w:spacing w:line="259" w:lineRule="auto"/>
              <w:jc w:val="center"/>
              <w:rPr>
                <w:rFonts w:hint="eastAsia" w:cs="Calibri"/>
                <w:sz w:val="20"/>
                <w:szCs w:val="20"/>
                <w:lang w:eastAsia="zh-CN"/>
              </w:rPr>
            </w:pPr>
            <w:r w:rsidRPr="2B7FFB25">
              <w:rPr>
                <w:rFonts w:cs="Calibri"/>
                <w:sz w:val="20"/>
                <w:szCs w:val="20"/>
                <w:lang w:eastAsia="zh-CN"/>
              </w:rPr>
              <w:t>20 banks observed</w:t>
            </w:r>
          </w:p>
        </w:tc>
        <w:tc>
          <w:tcPr>
            <w:tcW w:w="1677" w:type="dxa"/>
            <w:tcMar/>
          </w:tcPr>
          <w:p w:rsidR="2B7FFB25" w:rsidP="2B7FFB25" w:rsidRDefault="2B7FFB25" w14:paraId="2FF1F38E" w14:textId="14CF570B">
            <w:pPr>
              <w:spacing w:line="259" w:lineRule="auto"/>
              <w:jc w:val="center"/>
              <w:rPr>
                <w:rFonts w:hint="eastAsia" w:cs="Calibri"/>
                <w:sz w:val="20"/>
                <w:szCs w:val="20"/>
                <w:lang w:eastAsia="zh-CN"/>
              </w:rPr>
            </w:pPr>
            <w:r w:rsidRPr="2B7FFB25">
              <w:rPr>
                <w:rFonts w:cs="Calibri"/>
                <w:sz w:val="20"/>
                <w:szCs w:val="20"/>
                <w:lang w:eastAsia="zh-CN"/>
              </w:rPr>
              <w:t>OSIRIS Datastream</w:t>
            </w:r>
          </w:p>
        </w:tc>
      </w:tr>
      <w:tr w:rsidR="2B7FFB25" w:rsidTr="4F940BA9" w14:paraId="186A1CFA" w14:textId="77777777">
        <w:trPr>
          <w:trHeight w:val="300"/>
        </w:trPr>
        <w:tc>
          <w:tcPr>
            <w:tcW w:w="1153" w:type="dxa"/>
            <w:tcMar/>
          </w:tcPr>
          <w:p w:rsidR="2B7FFB25" w:rsidP="2B7FFB25" w:rsidRDefault="2B7FFB25" w14:paraId="4EF40461" w14:textId="0F960152">
            <w:pPr>
              <w:jc w:val="center"/>
              <w:rPr>
                <w:rFonts w:hint="eastAsia" w:cs="Calibri"/>
                <w:sz w:val="20"/>
                <w:szCs w:val="20"/>
                <w:lang w:eastAsia="zh-CN"/>
              </w:rPr>
            </w:pPr>
            <w:r w:rsidRPr="2B7FFB25">
              <w:rPr>
                <w:rFonts w:cs="Calibri"/>
                <w:sz w:val="20"/>
                <w:szCs w:val="20"/>
                <w:lang w:eastAsia="zh-CN"/>
              </w:rPr>
              <w:t>41</w:t>
            </w:r>
          </w:p>
        </w:tc>
        <w:tc>
          <w:tcPr>
            <w:tcW w:w="1155" w:type="dxa"/>
            <w:tcMar/>
          </w:tcPr>
          <w:p w:rsidR="2B7FFB25" w:rsidP="2B7FFB25" w:rsidRDefault="2B7FFB25" w14:paraId="127AFB21" w14:textId="4030E1BA">
            <w:pPr>
              <w:spacing w:line="259" w:lineRule="auto"/>
              <w:jc w:val="center"/>
              <w:rPr>
                <w:rFonts w:hint="eastAsia" w:cs="Calibri"/>
                <w:sz w:val="20"/>
                <w:szCs w:val="20"/>
                <w:lang w:eastAsia="zh-CN"/>
              </w:rPr>
            </w:pPr>
            <w:r w:rsidRPr="2B7FFB25">
              <w:rPr>
                <w:rFonts w:cs="Calibri"/>
                <w:sz w:val="20"/>
                <w:szCs w:val="20"/>
                <w:lang w:eastAsia="zh-CN"/>
              </w:rPr>
              <w:t>Guangcheng Xu and Zhixiang Zhou (2020)</w:t>
            </w:r>
          </w:p>
        </w:tc>
        <w:tc>
          <w:tcPr>
            <w:tcW w:w="1729" w:type="dxa"/>
            <w:tcMar/>
            <w:vAlign w:val="center"/>
          </w:tcPr>
          <w:p w:rsidR="2B7FFB25" w:rsidP="2B7FFB25" w:rsidRDefault="2B7FFB25" w14:paraId="18FD5679" w14:textId="746B9DCB">
            <w:pPr>
              <w:spacing w:line="259" w:lineRule="auto"/>
              <w:jc w:val="center"/>
              <w:rPr>
                <w:rFonts w:hint="eastAsia" w:cs="Calibri"/>
                <w:sz w:val="20"/>
                <w:szCs w:val="20"/>
                <w:lang w:eastAsia="zh-CN"/>
              </w:rPr>
            </w:pPr>
            <w:r w:rsidRPr="2B7FFB25">
              <w:rPr>
                <w:rFonts w:cs="Calibri"/>
                <w:sz w:val="20"/>
                <w:szCs w:val="20"/>
                <w:lang w:eastAsia="zh-CN"/>
              </w:rPr>
              <w:t>26 chinese commercial banks</w:t>
            </w:r>
          </w:p>
        </w:tc>
        <w:tc>
          <w:tcPr>
            <w:tcW w:w="1601" w:type="dxa"/>
            <w:tcMar/>
            <w:vAlign w:val="center"/>
          </w:tcPr>
          <w:p w:rsidR="2B7FFB25" w:rsidP="2B7FFB25" w:rsidRDefault="2B7FFB25" w14:paraId="1B0EA6F5" w14:textId="65FA7349">
            <w:pPr>
              <w:spacing w:line="259" w:lineRule="auto"/>
              <w:jc w:val="center"/>
              <w:rPr>
                <w:rFonts w:hint="eastAsia" w:cs="Calibri"/>
                <w:sz w:val="20"/>
                <w:szCs w:val="20"/>
                <w:lang w:eastAsia="zh-CN"/>
              </w:rPr>
            </w:pPr>
            <w:r w:rsidRPr="2B7FFB25">
              <w:rPr>
                <w:rFonts w:cs="Calibri"/>
                <w:sz w:val="20"/>
                <w:szCs w:val="20"/>
                <w:lang w:eastAsia="zh-CN"/>
              </w:rPr>
              <w:t>2013 - 2017</w:t>
            </w:r>
          </w:p>
        </w:tc>
        <w:tc>
          <w:tcPr>
            <w:tcW w:w="1680" w:type="dxa"/>
            <w:tcMar/>
          </w:tcPr>
          <w:p w:rsidR="2B7FFB25" w:rsidP="2B7FFB25" w:rsidRDefault="2B7FFB25" w14:paraId="6EED48E9" w14:textId="64EB133F">
            <w:pPr>
              <w:spacing w:line="259" w:lineRule="auto"/>
              <w:jc w:val="center"/>
              <w:rPr>
                <w:rFonts w:hint="eastAsia" w:cs="Calibri"/>
                <w:sz w:val="20"/>
                <w:szCs w:val="20"/>
                <w:lang w:eastAsia="zh-CN"/>
              </w:rPr>
            </w:pPr>
            <w:r w:rsidRPr="2B7FFB25">
              <w:rPr>
                <w:rFonts w:cs="Calibri"/>
                <w:sz w:val="20"/>
                <w:szCs w:val="20"/>
                <w:lang w:eastAsia="zh-CN"/>
              </w:rPr>
              <w:t>130  banks observed</w:t>
            </w:r>
          </w:p>
        </w:tc>
        <w:tc>
          <w:tcPr>
            <w:tcW w:w="1677" w:type="dxa"/>
            <w:tcMar/>
          </w:tcPr>
          <w:p w:rsidR="2B7FFB25" w:rsidP="2B7FFB25" w:rsidRDefault="2B7FFB25" w14:paraId="2D15E269" w14:textId="0F68F502">
            <w:pPr>
              <w:spacing w:line="259" w:lineRule="auto"/>
              <w:jc w:val="center"/>
              <w:rPr>
                <w:rFonts w:hint="eastAsia" w:cs="Calibri"/>
                <w:sz w:val="20"/>
                <w:szCs w:val="20"/>
                <w:lang w:eastAsia="zh-CN"/>
              </w:rPr>
            </w:pPr>
            <w:r w:rsidRPr="2B7FFB25">
              <w:rPr>
                <w:rFonts w:cs="Calibri"/>
                <w:sz w:val="20"/>
                <w:szCs w:val="20"/>
                <w:lang w:eastAsia="zh-CN"/>
              </w:rPr>
              <w:t>Wind database and the year book of each bank</w:t>
            </w:r>
          </w:p>
        </w:tc>
      </w:tr>
      <w:tr w:rsidR="2B7FFB25" w:rsidTr="4F940BA9" w14:paraId="4F9DFD8C" w14:textId="77777777">
        <w:trPr>
          <w:trHeight w:val="300"/>
        </w:trPr>
        <w:tc>
          <w:tcPr>
            <w:tcW w:w="1153" w:type="dxa"/>
            <w:tcMar/>
          </w:tcPr>
          <w:p w:rsidR="2B7FFB25" w:rsidP="2B7FFB25" w:rsidRDefault="2B7FFB25" w14:paraId="5AD48271" w14:textId="75483B72">
            <w:pPr>
              <w:jc w:val="center"/>
              <w:rPr>
                <w:rFonts w:hint="eastAsia" w:cs="Calibri"/>
                <w:sz w:val="20"/>
                <w:szCs w:val="20"/>
                <w:lang w:eastAsia="zh-CN"/>
              </w:rPr>
            </w:pPr>
            <w:r w:rsidRPr="2B7FFB25">
              <w:rPr>
                <w:rFonts w:cs="Calibri"/>
                <w:sz w:val="20"/>
                <w:szCs w:val="20"/>
                <w:lang w:eastAsia="zh-CN"/>
              </w:rPr>
              <w:t>7</w:t>
            </w:r>
          </w:p>
        </w:tc>
        <w:tc>
          <w:tcPr>
            <w:tcW w:w="1155" w:type="dxa"/>
            <w:tcMar/>
          </w:tcPr>
          <w:p w:rsidR="2B7FFB25" w:rsidP="2B7FFB25" w:rsidRDefault="2B7FFB25" w14:paraId="285B8744" w14:textId="26AA453C">
            <w:pPr>
              <w:jc w:val="center"/>
              <w:rPr>
                <w:rFonts w:hint="eastAsia"/>
              </w:rPr>
            </w:pPr>
            <w:r w:rsidRPr="2B7FFB25">
              <w:rPr>
                <w:rFonts w:ascii="Aptos" w:hAnsi="Aptos" w:eastAsia="Aptos" w:cs="Aptos"/>
                <w:sz w:val="20"/>
                <w:szCs w:val="20"/>
                <w:lang w:val="en-US"/>
              </w:rPr>
              <w:t>Matthews, et al. (2010)</w:t>
            </w:r>
          </w:p>
        </w:tc>
        <w:tc>
          <w:tcPr>
            <w:tcW w:w="1729" w:type="dxa"/>
            <w:tcMar/>
            <w:vAlign w:val="center"/>
          </w:tcPr>
          <w:p w:rsidR="2B7FFB25" w:rsidP="2B7FFB25" w:rsidRDefault="2B7FFB25" w14:paraId="084C41D7" w14:textId="53163C8E">
            <w:pPr>
              <w:jc w:val="center"/>
              <w:rPr>
                <w:rFonts w:hint="eastAsia"/>
              </w:rPr>
            </w:pPr>
            <w:r w:rsidRPr="2B7FFB25">
              <w:rPr>
                <w:rFonts w:ascii="Aptos" w:hAnsi="Aptos" w:eastAsia="Aptos" w:cs="Aptos"/>
                <w:color w:val="000000" w:themeColor="text1"/>
                <w:sz w:val="20"/>
                <w:szCs w:val="20"/>
              </w:rPr>
              <w:t>5 state-owned or state-controlled commercial</w:t>
            </w:r>
          </w:p>
          <w:p w:rsidR="2B7FFB25" w:rsidP="2B7FFB25" w:rsidRDefault="2B7FFB25" w14:paraId="1C899F46" w14:textId="768A5D27">
            <w:pPr>
              <w:jc w:val="center"/>
              <w:rPr>
                <w:rFonts w:hint="eastAsia"/>
              </w:rPr>
            </w:pPr>
            <w:r w:rsidRPr="2B7FFB25">
              <w:rPr>
                <w:rFonts w:ascii="Aptos" w:hAnsi="Aptos" w:eastAsia="Aptos" w:cs="Aptos"/>
                <w:color w:val="000000" w:themeColor="text1"/>
                <w:sz w:val="20"/>
                <w:szCs w:val="20"/>
              </w:rPr>
              <w:t>banks (SOCB), 9 joint-stock commercial banks (JSCB) and 47 city commercial banks (CCB)</w:t>
            </w:r>
          </w:p>
        </w:tc>
        <w:tc>
          <w:tcPr>
            <w:tcW w:w="1601" w:type="dxa"/>
            <w:tcMar/>
            <w:vAlign w:val="center"/>
          </w:tcPr>
          <w:p w:rsidR="2B7FFB25" w:rsidP="2B7FFB25" w:rsidRDefault="2B7FFB25" w14:paraId="766975AD" w14:textId="7F3B857C">
            <w:pPr>
              <w:jc w:val="center"/>
              <w:rPr>
                <w:rFonts w:hint="eastAsia"/>
              </w:rPr>
            </w:pPr>
            <w:r w:rsidRPr="2B7FFB25">
              <w:rPr>
                <w:rFonts w:ascii="Aptos" w:hAnsi="Aptos" w:eastAsia="Aptos" w:cs="Aptos"/>
                <w:color w:val="000000" w:themeColor="text1"/>
                <w:sz w:val="20"/>
                <w:szCs w:val="20"/>
              </w:rPr>
              <w:t>1997-2007</w:t>
            </w:r>
          </w:p>
        </w:tc>
        <w:tc>
          <w:tcPr>
            <w:tcW w:w="1680" w:type="dxa"/>
            <w:tcMar/>
          </w:tcPr>
          <w:p w:rsidR="2B7FFB25" w:rsidP="2B7FFB25" w:rsidRDefault="2B7FFB25" w14:paraId="650E90CA" w14:textId="36C01C0A">
            <w:pPr>
              <w:jc w:val="center"/>
              <w:rPr>
                <w:rFonts w:hint="eastAsia"/>
              </w:rPr>
            </w:pPr>
            <w:r w:rsidRPr="2B7FFB25">
              <w:rPr>
                <w:rFonts w:ascii="Aptos" w:hAnsi="Aptos" w:eastAsia="Aptos" w:cs="Aptos"/>
                <w:color w:val="000000" w:themeColor="text1"/>
                <w:sz w:val="20"/>
                <w:szCs w:val="20"/>
              </w:rPr>
              <w:t>314</w:t>
            </w:r>
          </w:p>
        </w:tc>
        <w:tc>
          <w:tcPr>
            <w:tcW w:w="1677" w:type="dxa"/>
            <w:tcMar/>
          </w:tcPr>
          <w:p w:rsidR="2B7FFB25" w:rsidP="2B7FFB25" w:rsidRDefault="2B7FFB25" w14:paraId="619D5D0F" w14:textId="66A51F58">
            <w:pPr>
              <w:jc w:val="center"/>
              <w:rPr>
                <w:rFonts w:hint="eastAsia"/>
              </w:rPr>
            </w:pPr>
            <w:r w:rsidRPr="2B7FFB25">
              <w:rPr>
                <w:rFonts w:ascii="Aptos" w:hAnsi="Aptos" w:eastAsia="Aptos" w:cs="Aptos"/>
                <w:color w:val="000000" w:themeColor="text1"/>
                <w:sz w:val="20"/>
                <w:szCs w:val="20"/>
              </w:rPr>
              <w:t>Fitch/Bankscope</w:t>
            </w:r>
          </w:p>
        </w:tc>
      </w:tr>
      <w:tr w:rsidR="2B7FFB25" w:rsidTr="4F940BA9" w14:paraId="56C8CC82" w14:textId="77777777">
        <w:trPr>
          <w:trHeight w:val="300"/>
        </w:trPr>
        <w:tc>
          <w:tcPr>
            <w:tcW w:w="1153" w:type="dxa"/>
            <w:tcMar/>
          </w:tcPr>
          <w:p w:rsidR="2B7FFB25" w:rsidP="2B7FFB25" w:rsidRDefault="2B7FFB25" w14:paraId="1B108C42" w14:textId="584F9138">
            <w:pPr>
              <w:jc w:val="center"/>
              <w:rPr>
                <w:rFonts w:hint="eastAsia" w:cs="Calibri"/>
                <w:sz w:val="20"/>
                <w:szCs w:val="20"/>
                <w:lang w:eastAsia="zh-CN"/>
              </w:rPr>
            </w:pPr>
            <w:r w:rsidRPr="2B7FFB25">
              <w:rPr>
                <w:rFonts w:cs="Calibri"/>
                <w:sz w:val="20"/>
                <w:szCs w:val="20"/>
                <w:lang w:eastAsia="zh-CN"/>
              </w:rPr>
              <w:t>27</w:t>
            </w:r>
          </w:p>
        </w:tc>
        <w:tc>
          <w:tcPr>
            <w:tcW w:w="1155" w:type="dxa"/>
            <w:tcMar/>
          </w:tcPr>
          <w:p w:rsidR="2B7FFB25" w:rsidP="2B7FFB25" w:rsidRDefault="2B7FFB25" w14:paraId="21D7525A" w14:textId="7DFD13CB">
            <w:pPr>
              <w:jc w:val="center"/>
              <w:rPr>
                <w:rFonts w:hint="eastAsia"/>
              </w:rPr>
            </w:pPr>
            <w:r w:rsidRPr="2B7FFB25">
              <w:rPr>
                <w:rFonts w:ascii="Aptos" w:hAnsi="Aptos" w:eastAsia="Aptos" w:cs="Aptos"/>
                <w:sz w:val="20"/>
                <w:szCs w:val="20"/>
                <w:lang w:val="en-US"/>
              </w:rPr>
              <w:t>Hou, et al. (2014)</w:t>
            </w:r>
          </w:p>
        </w:tc>
        <w:tc>
          <w:tcPr>
            <w:tcW w:w="1729" w:type="dxa"/>
            <w:tcMar/>
            <w:vAlign w:val="center"/>
          </w:tcPr>
          <w:p w:rsidR="2B7FFB25" w:rsidP="2B7FFB25" w:rsidRDefault="2B7FFB25" w14:paraId="6A01A235" w14:textId="501BD548">
            <w:pPr>
              <w:jc w:val="center"/>
              <w:rPr>
                <w:rFonts w:hint="eastAsia"/>
              </w:rPr>
            </w:pPr>
            <w:r w:rsidRPr="2B7FFB25">
              <w:rPr>
                <w:rFonts w:ascii="Aptos" w:hAnsi="Aptos" w:eastAsia="Aptos" w:cs="Aptos"/>
                <w:color w:val="000000" w:themeColor="text1"/>
                <w:sz w:val="20"/>
                <w:szCs w:val="20"/>
              </w:rPr>
              <w:t>44 major Chinese</w:t>
            </w:r>
          </w:p>
          <w:p w:rsidR="2B7FFB25" w:rsidP="2B7FFB25" w:rsidRDefault="2B7FFB25" w14:paraId="6F194DA1" w14:textId="08B7389F">
            <w:pPr>
              <w:jc w:val="center"/>
              <w:rPr>
                <w:rFonts w:hint="eastAsia"/>
              </w:rPr>
            </w:pPr>
            <w:r w:rsidRPr="2B7FFB25">
              <w:rPr>
                <w:rFonts w:ascii="Aptos" w:hAnsi="Aptos" w:eastAsia="Aptos" w:cs="Aptos"/>
                <w:color w:val="000000" w:themeColor="text1"/>
                <w:sz w:val="20"/>
                <w:szCs w:val="20"/>
              </w:rPr>
              <w:t>commercial banks</w:t>
            </w:r>
          </w:p>
        </w:tc>
        <w:tc>
          <w:tcPr>
            <w:tcW w:w="1601" w:type="dxa"/>
            <w:tcMar/>
            <w:vAlign w:val="center"/>
          </w:tcPr>
          <w:p w:rsidR="2B7FFB25" w:rsidP="2B7FFB25" w:rsidRDefault="2B7FFB25" w14:paraId="28BB3BE1" w14:textId="418F00A6">
            <w:pPr>
              <w:jc w:val="center"/>
              <w:rPr>
                <w:rFonts w:hint="eastAsia"/>
              </w:rPr>
            </w:pPr>
            <w:r w:rsidRPr="2B7FFB25">
              <w:rPr>
                <w:rFonts w:ascii="Aptos" w:hAnsi="Aptos" w:eastAsia="Aptos" w:cs="Aptos"/>
                <w:color w:val="000000" w:themeColor="text1"/>
                <w:sz w:val="20"/>
                <w:szCs w:val="20"/>
              </w:rPr>
              <w:t>2007-2011</w:t>
            </w:r>
          </w:p>
        </w:tc>
        <w:tc>
          <w:tcPr>
            <w:tcW w:w="1680" w:type="dxa"/>
            <w:tcMar/>
          </w:tcPr>
          <w:p w:rsidR="2B7FFB25" w:rsidP="2B7FFB25" w:rsidRDefault="2B7FFB25" w14:paraId="400595C4" w14:textId="61E1C7DF">
            <w:pPr>
              <w:jc w:val="center"/>
              <w:rPr>
                <w:rFonts w:hint="eastAsia"/>
              </w:rPr>
            </w:pPr>
            <w:r w:rsidRPr="2B7FFB25">
              <w:rPr>
                <w:rFonts w:ascii="Aptos" w:hAnsi="Aptos" w:eastAsia="Aptos" w:cs="Aptos"/>
                <w:color w:val="000000" w:themeColor="text1"/>
                <w:sz w:val="20"/>
                <w:szCs w:val="20"/>
              </w:rPr>
              <w:t>220</w:t>
            </w:r>
          </w:p>
        </w:tc>
        <w:tc>
          <w:tcPr>
            <w:tcW w:w="1677" w:type="dxa"/>
            <w:tcMar/>
          </w:tcPr>
          <w:p w:rsidR="2B7FFB25" w:rsidP="2B7FFB25" w:rsidRDefault="2B7FFB25" w14:paraId="400C71AD" w14:textId="7F4F0C5A">
            <w:pPr>
              <w:jc w:val="center"/>
              <w:rPr>
                <w:rFonts w:hint="eastAsia"/>
              </w:rPr>
            </w:pPr>
            <w:r w:rsidRPr="2B7FFB25">
              <w:rPr>
                <w:rFonts w:ascii="Aptos" w:hAnsi="Aptos" w:eastAsia="Aptos" w:cs="Aptos"/>
                <w:color w:val="000000" w:themeColor="text1"/>
                <w:sz w:val="20"/>
                <w:szCs w:val="20"/>
              </w:rPr>
              <w:t>BankScope database</w:t>
            </w:r>
          </w:p>
        </w:tc>
      </w:tr>
      <w:tr w:rsidR="2B7FFB25" w:rsidTr="4F940BA9" w14:paraId="34F01DB2" w14:textId="77777777">
        <w:trPr>
          <w:trHeight w:val="300"/>
        </w:trPr>
        <w:tc>
          <w:tcPr>
            <w:tcW w:w="1153" w:type="dxa"/>
            <w:tcMar/>
          </w:tcPr>
          <w:p w:rsidR="2B7FFB25" w:rsidP="2B7FFB25" w:rsidRDefault="2B7FFB25" w14:paraId="31A18FB1" w14:textId="0D5FEFEC">
            <w:pPr>
              <w:jc w:val="center"/>
              <w:rPr>
                <w:rFonts w:hint="eastAsia" w:cs="Calibri"/>
                <w:sz w:val="20"/>
                <w:szCs w:val="20"/>
                <w:lang w:eastAsia="zh-CN"/>
              </w:rPr>
            </w:pPr>
            <w:r w:rsidRPr="2B7FFB25">
              <w:rPr>
                <w:rFonts w:cs="Calibri"/>
                <w:sz w:val="20"/>
                <w:szCs w:val="20"/>
                <w:lang w:eastAsia="zh-CN"/>
              </w:rPr>
              <w:t>32</w:t>
            </w:r>
          </w:p>
        </w:tc>
        <w:tc>
          <w:tcPr>
            <w:tcW w:w="1155" w:type="dxa"/>
            <w:tcMar/>
          </w:tcPr>
          <w:p w:rsidR="2B7FFB25" w:rsidP="2B7FFB25" w:rsidRDefault="2B7FFB25" w14:paraId="7C4E515B" w14:textId="002A0D1F">
            <w:pPr>
              <w:jc w:val="center"/>
              <w:rPr>
                <w:rFonts w:hint="eastAsia"/>
              </w:rPr>
            </w:pPr>
            <w:r w:rsidRPr="2B7FFB25">
              <w:rPr>
                <w:rFonts w:ascii="Aptos" w:hAnsi="Aptos" w:eastAsia="Aptos" w:cs="Aptos"/>
                <w:sz w:val="20"/>
                <w:szCs w:val="20"/>
              </w:rPr>
              <w:t>Fukuyama, et al. (2021)</w:t>
            </w:r>
          </w:p>
        </w:tc>
        <w:tc>
          <w:tcPr>
            <w:tcW w:w="1729" w:type="dxa"/>
            <w:tcMar/>
            <w:vAlign w:val="center"/>
          </w:tcPr>
          <w:p w:rsidR="2B7FFB25" w:rsidP="2B7FFB25" w:rsidRDefault="2B7FFB25" w14:paraId="32EF8753" w14:textId="6C48C2E3">
            <w:pPr>
              <w:jc w:val="center"/>
              <w:rPr>
                <w:rFonts w:hint="eastAsia"/>
              </w:rPr>
            </w:pPr>
            <w:r w:rsidRPr="2B7FFB25">
              <w:rPr>
                <w:rFonts w:ascii="Aptos" w:hAnsi="Aptos" w:eastAsia="Aptos" w:cs="Aptos"/>
                <w:color w:val="000000" w:themeColor="text1"/>
                <w:sz w:val="20"/>
                <w:szCs w:val="20"/>
              </w:rPr>
              <w:t>43 Chinese banks</w:t>
            </w:r>
          </w:p>
        </w:tc>
        <w:tc>
          <w:tcPr>
            <w:tcW w:w="1601" w:type="dxa"/>
            <w:tcMar/>
            <w:vAlign w:val="center"/>
          </w:tcPr>
          <w:p w:rsidR="2B7FFB25" w:rsidP="2B7FFB25" w:rsidRDefault="2B7FFB25" w14:paraId="56888966" w14:textId="6C93CE78">
            <w:pPr>
              <w:jc w:val="center"/>
              <w:rPr>
                <w:rFonts w:hint="eastAsia"/>
              </w:rPr>
            </w:pPr>
            <w:r w:rsidRPr="2B7FFB25">
              <w:rPr>
                <w:rFonts w:ascii="Aptos" w:hAnsi="Aptos" w:eastAsia="Aptos" w:cs="Aptos"/>
                <w:color w:val="000000" w:themeColor="text1"/>
                <w:sz w:val="20"/>
                <w:szCs w:val="20"/>
              </w:rPr>
              <w:t>2010–2019</w:t>
            </w:r>
          </w:p>
        </w:tc>
        <w:tc>
          <w:tcPr>
            <w:tcW w:w="1680" w:type="dxa"/>
            <w:tcMar/>
          </w:tcPr>
          <w:p w:rsidR="2B7FFB25" w:rsidP="2B7FFB25" w:rsidRDefault="2B7FFB25" w14:paraId="5620B552" w14:textId="6FE097CF">
            <w:pPr>
              <w:jc w:val="center"/>
              <w:rPr>
                <w:rFonts w:hint="eastAsia"/>
              </w:rPr>
            </w:pPr>
            <w:r w:rsidRPr="2B7FFB25">
              <w:rPr>
                <w:rFonts w:ascii="Aptos" w:hAnsi="Aptos" w:eastAsia="Aptos" w:cs="Aptos"/>
                <w:color w:val="000000" w:themeColor="text1"/>
                <w:sz w:val="20"/>
                <w:szCs w:val="20"/>
              </w:rPr>
              <w:t>430</w:t>
            </w:r>
          </w:p>
        </w:tc>
        <w:tc>
          <w:tcPr>
            <w:tcW w:w="1677" w:type="dxa"/>
            <w:tcMar/>
          </w:tcPr>
          <w:p w:rsidR="2B7FFB25" w:rsidP="2B7FFB25" w:rsidRDefault="2B7FFB25" w14:paraId="004797CA" w14:textId="100B9A5D">
            <w:pPr>
              <w:jc w:val="center"/>
              <w:rPr>
                <w:rFonts w:hint="eastAsia"/>
              </w:rPr>
            </w:pPr>
            <w:r w:rsidRPr="2B7FFB25">
              <w:rPr>
                <w:rFonts w:ascii="Aptos" w:hAnsi="Aptos" w:eastAsia="Aptos" w:cs="Aptos"/>
                <w:color w:val="000000" w:themeColor="text1"/>
                <w:sz w:val="20"/>
                <w:szCs w:val="20"/>
              </w:rPr>
              <w:t>Not given</w:t>
            </w:r>
          </w:p>
        </w:tc>
      </w:tr>
      <w:tr w:rsidR="2B7FFB25" w:rsidTr="4F940BA9" w14:paraId="5A0DE1CC" w14:textId="77777777">
        <w:trPr>
          <w:trHeight w:val="300"/>
        </w:trPr>
        <w:tc>
          <w:tcPr>
            <w:tcW w:w="1153" w:type="dxa"/>
            <w:tcMar/>
          </w:tcPr>
          <w:p w:rsidR="2B7FFB25" w:rsidP="2B7FFB25" w:rsidRDefault="2B7FFB25" w14:paraId="1F2FB227" w14:textId="4C8A35F8">
            <w:pPr>
              <w:jc w:val="center"/>
              <w:rPr>
                <w:rFonts w:hint="eastAsia" w:cs="Calibri"/>
                <w:sz w:val="20"/>
                <w:szCs w:val="20"/>
                <w:lang w:eastAsia="zh-CN"/>
              </w:rPr>
            </w:pPr>
            <w:r w:rsidRPr="2B7FFB25">
              <w:rPr>
                <w:rFonts w:cs="Calibri"/>
                <w:sz w:val="20"/>
                <w:szCs w:val="20"/>
                <w:lang w:eastAsia="zh-CN"/>
              </w:rPr>
              <w:t>22</w:t>
            </w:r>
          </w:p>
        </w:tc>
        <w:tc>
          <w:tcPr>
            <w:tcW w:w="1155" w:type="dxa"/>
            <w:tcMar/>
          </w:tcPr>
          <w:p w:rsidR="2B7FFB25" w:rsidP="2B7FFB25" w:rsidRDefault="2B7FFB25" w14:paraId="542B6595" w14:textId="236DDBA2">
            <w:pPr>
              <w:jc w:val="center"/>
              <w:rPr>
                <w:rFonts w:hint="eastAsia"/>
              </w:rPr>
            </w:pPr>
            <w:r w:rsidRPr="2B7FFB25">
              <w:rPr>
                <w:rFonts w:ascii="Aptos" w:hAnsi="Aptos" w:eastAsia="Aptos" w:cs="Aptos"/>
                <w:sz w:val="20"/>
                <w:szCs w:val="20"/>
              </w:rPr>
              <w:t>Fukuyama, et al. (2021)</w:t>
            </w:r>
          </w:p>
        </w:tc>
        <w:tc>
          <w:tcPr>
            <w:tcW w:w="1729" w:type="dxa"/>
            <w:tcMar/>
            <w:vAlign w:val="center"/>
          </w:tcPr>
          <w:p w:rsidR="2B7FFB25" w:rsidP="2B7FFB25" w:rsidRDefault="2B7FFB25" w14:paraId="4B2C43A5" w14:textId="1A4A12E8">
            <w:pPr>
              <w:jc w:val="center"/>
              <w:rPr>
                <w:rFonts w:hint="eastAsia"/>
              </w:rPr>
            </w:pPr>
            <w:r w:rsidRPr="2B7FFB25">
              <w:rPr>
                <w:rFonts w:ascii="Aptos" w:hAnsi="Aptos" w:eastAsia="Aptos" w:cs="Aptos"/>
                <w:color w:val="000000" w:themeColor="text1"/>
                <w:sz w:val="20"/>
                <w:szCs w:val="20"/>
              </w:rPr>
              <w:t>72 Chinese commercial</w:t>
            </w:r>
          </w:p>
          <w:p w:rsidR="2B7FFB25" w:rsidP="2B7FFB25" w:rsidRDefault="2B7FFB25" w14:paraId="17E0C545" w14:textId="146DF00C">
            <w:pPr>
              <w:jc w:val="center"/>
              <w:rPr>
                <w:rFonts w:hint="eastAsia"/>
              </w:rPr>
            </w:pPr>
            <w:r w:rsidRPr="2B7FFB25">
              <w:rPr>
                <w:rFonts w:ascii="Aptos" w:hAnsi="Aptos" w:eastAsia="Aptos" w:cs="Aptos"/>
                <w:color w:val="000000" w:themeColor="text1"/>
                <w:sz w:val="20"/>
                <w:szCs w:val="20"/>
              </w:rPr>
              <w:t>banks</w:t>
            </w:r>
          </w:p>
        </w:tc>
        <w:tc>
          <w:tcPr>
            <w:tcW w:w="1601" w:type="dxa"/>
            <w:tcMar/>
            <w:vAlign w:val="center"/>
          </w:tcPr>
          <w:p w:rsidR="2B7FFB25" w:rsidP="2B7FFB25" w:rsidRDefault="2B7FFB25" w14:paraId="42A221AB" w14:textId="583DA64C">
            <w:pPr>
              <w:jc w:val="center"/>
              <w:rPr>
                <w:rFonts w:hint="eastAsia"/>
              </w:rPr>
            </w:pPr>
            <w:r w:rsidRPr="2B7FFB25">
              <w:rPr>
                <w:rFonts w:ascii="Aptos" w:hAnsi="Aptos" w:eastAsia="Aptos" w:cs="Aptos"/>
                <w:color w:val="000000" w:themeColor="text1"/>
                <w:sz w:val="20"/>
                <w:szCs w:val="20"/>
              </w:rPr>
              <w:t>2007–2017</w:t>
            </w:r>
          </w:p>
        </w:tc>
        <w:tc>
          <w:tcPr>
            <w:tcW w:w="1680" w:type="dxa"/>
            <w:tcMar/>
          </w:tcPr>
          <w:p w:rsidR="2B7FFB25" w:rsidP="2B7FFB25" w:rsidRDefault="2B7FFB25" w14:paraId="52DBB183" w14:textId="773D16A3">
            <w:pPr>
              <w:jc w:val="center"/>
              <w:rPr>
                <w:rFonts w:hint="eastAsia"/>
              </w:rPr>
            </w:pPr>
            <w:r w:rsidRPr="2B7FFB25">
              <w:rPr>
                <w:rFonts w:ascii="Aptos" w:hAnsi="Aptos" w:eastAsia="Aptos" w:cs="Aptos"/>
                <w:color w:val="000000" w:themeColor="text1"/>
                <w:sz w:val="20"/>
                <w:szCs w:val="20"/>
              </w:rPr>
              <w:t>792</w:t>
            </w:r>
          </w:p>
        </w:tc>
        <w:tc>
          <w:tcPr>
            <w:tcW w:w="1677" w:type="dxa"/>
            <w:tcMar/>
          </w:tcPr>
          <w:p w:rsidR="2B7FFB25" w:rsidP="2B7FFB25" w:rsidRDefault="2B7FFB25" w14:paraId="360B029F" w14:textId="065AE71E">
            <w:pPr>
              <w:jc w:val="center"/>
              <w:rPr>
                <w:rFonts w:hint="eastAsia"/>
              </w:rPr>
            </w:pPr>
            <w:r w:rsidRPr="2B7FFB25">
              <w:rPr>
                <w:rFonts w:ascii="Aptos" w:hAnsi="Aptos" w:eastAsia="Aptos" w:cs="Aptos"/>
                <w:color w:val="000000" w:themeColor="text1"/>
                <w:sz w:val="20"/>
                <w:szCs w:val="20"/>
              </w:rPr>
              <w:t>Fitch Connect</w:t>
            </w:r>
          </w:p>
        </w:tc>
      </w:tr>
      <w:tr w:rsidR="2B7FFB25" w:rsidTr="4F940BA9" w14:paraId="123F8695" w14:textId="77777777">
        <w:trPr>
          <w:trHeight w:val="300"/>
        </w:trPr>
        <w:tc>
          <w:tcPr>
            <w:tcW w:w="1153" w:type="dxa"/>
            <w:tcMar/>
          </w:tcPr>
          <w:p w:rsidR="2B7FFB25" w:rsidP="2B7FFB25" w:rsidRDefault="2B7FFB25" w14:paraId="649C9CD1" w14:textId="6D9A1F1B">
            <w:pPr>
              <w:jc w:val="center"/>
              <w:rPr>
                <w:rFonts w:hint="eastAsia" w:cs="Calibri"/>
                <w:sz w:val="20"/>
                <w:szCs w:val="20"/>
                <w:lang w:eastAsia="zh-CN"/>
              </w:rPr>
            </w:pPr>
            <w:r w:rsidRPr="2B7FFB25">
              <w:rPr>
                <w:rFonts w:cs="Calibri"/>
                <w:sz w:val="20"/>
                <w:szCs w:val="20"/>
                <w:lang w:eastAsia="zh-CN"/>
              </w:rPr>
              <w:t>17</w:t>
            </w:r>
          </w:p>
        </w:tc>
        <w:tc>
          <w:tcPr>
            <w:tcW w:w="1155" w:type="dxa"/>
            <w:tcMar/>
          </w:tcPr>
          <w:p w:rsidR="2B7FFB25" w:rsidP="2B7FFB25" w:rsidRDefault="2B7FFB25" w14:paraId="2FA147C1" w14:textId="7E6997AB">
            <w:pPr>
              <w:jc w:val="center"/>
              <w:rPr>
                <w:rFonts w:hint="eastAsia"/>
              </w:rPr>
            </w:pPr>
            <w:r w:rsidRPr="2B7FFB25">
              <w:rPr>
                <w:rFonts w:ascii="Aptos" w:hAnsi="Aptos" w:eastAsia="Aptos" w:cs="Aptos"/>
                <w:sz w:val="20"/>
                <w:szCs w:val="20"/>
              </w:rPr>
              <w:t>Dong et al. (2016)</w:t>
            </w:r>
          </w:p>
        </w:tc>
        <w:tc>
          <w:tcPr>
            <w:tcW w:w="1729" w:type="dxa"/>
            <w:tcMar/>
            <w:vAlign w:val="center"/>
          </w:tcPr>
          <w:p w:rsidR="2B7FFB25" w:rsidP="2B7FFB25" w:rsidRDefault="2B7FFB25" w14:paraId="290486DB" w14:textId="0E6E19C0">
            <w:pPr>
              <w:jc w:val="center"/>
              <w:rPr>
                <w:rFonts w:hint="eastAsia"/>
              </w:rPr>
            </w:pPr>
            <w:r w:rsidRPr="2B7FFB25">
              <w:rPr>
                <w:rFonts w:ascii="Aptos" w:hAnsi="Aptos" w:eastAsia="Aptos" w:cs="Aptos"/>
                <w:color w:val="000000" w:themeColor="text1"/>
                <w:sz w:val="20"/>
                <w:szCs w:val="20"/>
              </w:rPr>
              <w:t>142 Chinese banks</w:t>
            </w:r>
          </w:p>
        </w:tc>
        <w:tc>
          <w:tcPr>
            <w:tcW w:w="1601" w:type="dxa"/>
            <w:tcMar/>
            <w:vAlign w:val="center"/>
          </w:tcPr>
          <w:p w:rsidR="2B7FFB25" w:rsidP="2B7FFB25" w:rsidRDefault="2B7FFB25" w14:paraId="0039603E" w14:textId="5BC91956">
            <w:pPr>
              <w:jc w:val="center"/>
              <w:rPr>
                <w:rFonts w:hint="eastAsia"/>
              </w:rPr>
            </w:pPr>
            <w:r w:rsidRPr="2B7FFB25">
              <w:rPr>
                <w:rFonts w:ascii="Aptos" w:hAnsi="Aptos" w:eastAsia="Aptos" w:cs="Aptos"/>
                <w:color w:val="000000" w:themeColor="text1"/>
                <w:sz w:val="20"/>
                <w:szCs w:val="20"/>
              </w:rPr>
              <w:t>2002-2013</w:t>
            </w:r>
          </w:p>
        </w:tc>
        <w:tc>
          <w:tcPr>
            <w:tcW w:w="1680" w:type="dxa"/>
            <w:tcMar/>
          </w:tcPr>
          <w:p w:rsidR="2B7FFB25" w:rsidP="2B7FFB25" w:rsidRDefault="2B7FFB25" w14:paraId="1BBF5770" w14:textId="18468182">
            <w:pPr>
              <w:jc w:val="center"/>
              <w:rPr>
                <w:rFonts w:hint="eastAsia"/>
              </w:rPr>
            </w:pPr>
            <w:r w:rsidRPr="2B7FFB25">
              <w:rPr>
                <w:rFonts w:ascii="Aptos" w:hAnsi="Aptos" w:eastAsia="Aptos" w:cs="Aptos"/>
                <w:color w:val="000000" w:themeColor="text1"/>
                <w:sz w:val="20"/>
                <w:szCs w:val="20"/>
              </w:rPr>
              <w:t>1704</w:t>
            </w:r>
          </w:p>
        </w:tc>
        <w:tc>
          <w:tcPr>
            <w:tcW w:w="1677" w:type="dxa"/>
            <w:tcMar/>
          </w:tcPr>
          <w:p w:rsidR="2B7FFB25" w:rsidP="2B7FFB25" w:rsidRDefault="2B7FFB25" w14:paraId="17E0214D" w14:textId="41EB1FA7">
            <w:pPr>
              <w:jc w:val="center"/>
              <w:rPr>
                <w:rFonts w:hint="eastAsia"/>
              </w:rPr>
            </w:pPr>
            <w:r w:rsidRPr="2B7FFB25">
              <w:rPr>
                <w:rFonts w:ascii="Aptos" w:hAnsi="Aptos" w:eastAsia="Aptos" w:cs="Aptos"/>
                <w:color w:val="000000" w:themeColor="text1"/>
                <w:sz w:val="20"/>
                <w:szCs w:val="20"/>
              </w:rPr>
              <w:t>BankScope</w:t>
            </w:r>
          </w:p>
        </w:tc>
      </w:tr>
      <w:tr w:rsidR="2B7FFB25" w:rsidTr="4F940BA9" w14:paraId="3124A40F" w14:textId="77777777">
        <w:trPr>
          <w:trHeight w:val="300"/>
        </w:trPr>
        <w:tc>
          <w:tcPr>
            <w:tcW w:w="1153" w:type="dxa"/>
            <w:tcMar/>
          </w:tcPr>
          <w:p w:rsidR="2B7FFB25" w:rsidP="2B7FFB25" w:rsidRDefault="2B7FFB25" w14:paraId="6540FB35" w14:textId="350FF14F">
            <w:pPr>
              <w:jc w:val="center"/>
              <w:rPr>
                <w:rFonts w:hint="eastAsia" w:cs="Calibri"/>
                <w:sz w:val="20"/>
                <w:szCs w:val="20"/>
                <w:lang w:eastAsia="zh-CN"/>
              </w:rPr>
            </w:pPr>
            <w:r w:rsidRPr="2B7FFB25">
              <w:rPr>
                <w:rFonts w:cs="Calibri"/>
                <w:sz w:val="20"/>
                <w:szCs w:val="20"/>
                <w:lang w:eastAsia="zh-CN"/>
              </w:rPr>
              <w:t>12</w:t>
            </w:r>
          </w:p>
        </w:tc>
        <w:tc>
          <w:tcPr>
            <w:tcW w:w="1155" w:type="dxa"/>
            <w:tcMar/>
          </w:tcPr>
          <w:p w:rsidR="2B7FFB25" w:rsidP="2B7FFB25" w:rsidRDefault="2B7FFB25" w14:paraId="7727513E" w14:textId="26BE701F">
            <w:pPr>
              <w:jc w:val="center"/>
              <w:rPr>
                <w:rFonts w:hint="eastAsia"/>
              </w:rPr>
            </w:pPr>
            <w:r w:rsidRPr="2B7FFB25">
              <w:rPr>
                <w:rFonts w:ascii="Aptos" w:hAnsi="Aptos" w:eastAsia="Aptos" w:cs="Aptos"/>
                <w:sz w:val="20"/>
                <w:szCs w:val="20"/>
              </w:rPr>
              <w:t>Luo et al. (2011)</w:t>
            </w:r>
          </w:p>
        </w:tc>
        <w:tc>
          <w:tcPr>
            <w:tcW w:w="1729" w:type="dxa"/>
            <w:tcMar/>
            <w:vAlign w:val="center"/>
          </w:tcPr>
          <w:p w:rsidR="2B7FFB25" w:rsidP="2B7FFB25" w:rsidRDefault="2B7FFB25" w14:paraId="1BD9AD54" w14:textId="4886C68D">
            <w:pPr>
              <w:jc w:val="center"/>
              <w:rPr>
                <w:rFonts w:hint="eastAsia"/>
              </w:rPr>
            </w:pPr>
            <w:r w:rsidRPr="2B7FFB25">
              <w:rPr>
                <w:rFonts w:ascii="Aptos" w:hAnsi="Aptos" w:eastAsia="Aptos" w:cs="Aptos"/>
                <w:color w:val="000000" w:themeColor="text1"/>
                <w:sz w:val="20"/>
                <w:szCs w:val="20"/>
              </w:rPr>
              <w:t>14 listed Chinese</w:t>
            </w:r>
          </w:p>
          <w:p w:rsidR="2B7FFB25" w:rsidP="2B7FFB25" w:rsidRDefault="2B7FFB25" w14:paraId="5B6D9CAC" w14:textId="6B5E797F">
            <w:pPr>
              <w:jc w:val="center"/>
              <w:rPr>
                <w:rFonts w:hint="eastAsia"/>
              </w:rPr>
            </w:pPr>
            <w:r w:rsidRPr="2B7FFB25">
              <w:rPr>
                <w:rFonts w:ascii="Aptos" w:hAnsi="Aptos" w:eastAsia="Aptos" w:cs="Aptos"/>
                <w:color w:val="000000" w:themeColor="text1"/>
                <w:sz w:val="20"/>
                <w:szCs w:val="20"/>
              </w:rPr>
              <w:t>commercial banks</w:t>
            </w:r>
          </w:p>
        </w:tc>
        <w:tc>
          <w:tcPr>
            <w:tcW w:w="1601" w:type="dxa"/>
            <w:tcMar/>
            <w:vAlign w:val="center"/>
          </w:tcPr>
          <w:p w:rsidR="2B7FFB25" w:rsidP="2B7FFB25" w:rsidRDefault="2B7FFB25" w14:paraId="33F962A3" w14:textId="2E648D4A">
            <w:pPr>
              <w:jc w:val="center"/>
              <w:rPr>
                <w:rFonts w:hint="eastAsia"/>
              </w:rPr>
            </w:pPr>
            <w:r w:rsidRPr="2B7FFB25">
              <w:rPr>
                <w:rFonts w:ascii="Aptos" w:hAnsi="Aptos" w:eastAsia="Aptos" w:cs="Aptos"/>
                <w:color w:val="000000" w:themeColor="text1"/>
                <w:sz w:val="20"/>
                <w:szCs w:val="20"/>
              </w:rPr>
              <w:t>1999–2008</w:t>
            </w:r>
          </w:p>
        </w:tc>
        <w:tc>
          <w:tcPr>
            <w:tcW w:w="1680" w:type="dxa"/>
            <w:tcMar/>
          </w:tcPr>
          <w:p w:rsidR="2B7FFB25" w:rsidP="2B7FFB25" w:rsidRDefault="2B7FFB25" w14:paraId="000612EA" w14:textId="3D2D78CA">
            <w:pPr>
              <w:jc w:val="center"/>
              <w:rPr>
                <w:rFonts w:hint="eastAsia"/>
              </w:rPr>
            </w:pPr>
            <w:r w:rsidRPr="2B7FFB25">
              <w:rPr>
                <w:rFonts w:ascii="Aptos" w:hAnsi="Aptos" w:eastAsia="Aptos" w:cs="Aptos"/>
                <w:color w:val="000000" w:themeColor="text1"/>
                <w:sz w:val="20"/>
                <w:szCs w:val="20"/>
              </w:rPr>
              <w:t>140</w:t>
            </w:r>
          </w:p>
        </w:tc>
        <w:tc>
          <w:tcPr>
            <w:tcW w:w="1677" w:type="dxa"/>
            <w:tcMar/>
          </w:tcPr>
          <w:p w:rsidR="2B7FFB25" w:rsidP="2B7FFB25" w:rsidRDefault="2B7FFB25" w14:paraId="63078B1A" w14:textId="514A4714">
            <w:pPr>
              <w:jc w:val="center"/>
              <w:rPr>
                <w:rFonts w:hint="eastAsia"/>
              </w:rPr>
            </w:pPr>
            <w:r w:rsidRPr="2B7FFB25">
              <w:rPr>
                <w:rFonts w:ascii="Aptos" w:hAnsi="Aptos" w:eastAsia="Aptos" w:cs="Aptos"/>
                <w:color w:val="000000" w:themeColor="text1"/>
                <w:sz w:val="20"/>
                <w:szCs w:val="20"/>
              </w:rPr>
              <w:t>Thompson’s Bankscope</w:t>
            </w:r>
          </w:p>
        </w:tc>
      </w:tr>
      <w:tr w:rsidR="2B7FFB25" w:rsidTr="4F940BA9" w14:paraId="6588D040" w14:textId="77777777">
        <w:trPr>
          <w:trHeight w:val="300"/>
        </w:trPr>
        <w:tc>
          <w:tcPr>
            <w:tcW w:w="1153" w:type="dxa"/>
            <w:tcMar/>
          </w:tcPr>
          <w:p w:rsidR="2B7FFB25" w:rsidP="2B7FFB25" w:rsidRDefault="2B7FFB25" w14:paraId="1FC2C6AD" w14:textId="7FC87F23">
            <w:pPr>
              <w:jc w:val="center"/>
              <w:rPr>
                <w:rFonts w:hint="eastAsia" w:cs="Calibri"/>
                <w:sz w:val="20"/>
                <w:szCs w:val="20"/>
                <w:lang w:eastAsia="zh-CN"/>
              </w:rPr>
            </w:pPr>
            <w:r w:rsidRPr="2B7FFB25">
              <w:rPr>
                <w:rFonts w:cs="Calibri"/>
                <w:sz w:val="20"/>
                <w:szCs w:val="20"/>
                <w:lang w:eastAsia="zh-CN"/>
              </w:rPr>
              <w:t>2</w:t>
            </w:r>
          </w:p>
          <w:p w:rsidR="2B7FFB25" w:rsidP="2B7FFB25" w:rsidRDefault="2B7FFB25" w14:paraId="10347905" w14:textId="7C20EA47">
            <w:pPr>
              <w:jc w:val="center"/>
              <w:rPr>
                <w:rFonts w:hint="eastAsia" w:cs="Calibri"/>
                <w:sz w:val="20"/>
                <w:szCs w:val="20"/>
                <w:lang w:eastAsia="zh-CN"/>
              </w:rPr>
            </w:pPr>
          </w:p>
        </w:tc>
        <w:tc>
          <w:tcPr>
            <w:tcW w:w="1155" w:type="dxa"/>
            <w:tcMar/>
          </w:tcPr>
          <w:p w:rsidR="2B7FFB25" w:rsidP="2B7FFB25" w:rsidRDefault="2B7FFB25" w14:paraId="41AF38A7" w14:textId="3B92F6F4">
            <w:pPr>
              <w:jc w:val="center"/>
              <w:rPr>
                <w:rFonts w:hint="eastAsia"/>
              </w:rPr>
            </w:pPr>
            <w:r w:rsidRPr="2B7FFB25">
              <w:rPr>
                <w:rFonts w:ascii="Aptos" w:hAnsi="Aptos" w:eastAsia="Aptos" w:cs="Aptos"/>
                <w:sz w:val="20"/>
                <w:szCs w:val="20"/>
              </w:rPr>
              <w:t>Antunes et al. (2022)</w:t>
            </w:r>
          </w:p>
        </w:tc>
        <w:tc>
          <w:tcPr>
            <w:tcW w:w="1729" w:type="dxa"/>
            <w:tcMar/>
            <w:vAlign w:val="center"/>
          </w:tcPr>
          <w:p w:rsidR="2B7FFB25" w:rsidP="2B7FFB25" w:rsidRDefault="2B7FFB25" w14:paraId="5275915A" w14:textId="7A0CE27B">
            <w:pPr>
              <w:jc w:val="center"/>
              <w:rPr>
                <w:rFonts w:hint="eastAsia"/>
              </w:rPr>
            </w:pPr>
            <w:r w:rsidRPr="2B7FFB25">
              <w:rPr>
                <w:rFonts w:ascii="Aptos" w:hAnsi="Aptos" w:eastAsia="Aptos" w:cs="Aptos"/>
                <w:color w:val="000000" w:themeColor="text1"/>
                <w:sz w:val="20"/>
                <w:szCs w:val="20"/>
              </w:rPr>
              <w:t>39 Chinese commercial banks</w:t>
            </w:r>
          </w:p>
        </w:tc>
        <w:tc>
          <w:tcPr>
            <w:tcW w:w="1601" w:type="dxa"/>
            <w:tcMar/>
            <w:vAlign w:val="center"/>
          </w:tcPr>
          <w:p w:rsidR="2B7FFB25" w:rsidP="2B7FFB25" w:rsidRDefault="2B7FFB25" w14:paraId="40A692D3" w14:textId="51E2C119">
            <w:pPr>
              <w:jc w:val="center"/>
              <w:rPr>
                <w:rFonts w:hint="eastAsia"/>
              </w:rPr>
            </w:pPr>
            <w:r w:rsidRPr="2B7FFB25">
              <w:rPr>
                <w:rFonts w:ascii="Aptos" w:hAnsi="Aptos" w:eastAsia="Aptos" w:cs="Aptos"/>
                <w:color w:val="000000" w:themeColor="text1"/>
                <w:sz w:val="20"/>
                <w:szCs w:val="20"/>
              </w:rPr>
              <w:t>2010–2018</w:t>
            </w:r>
          </w:p>
        </w:tc>
        <w:tc>
          <w:tcPr>
            <w:tcW w:w="1680" w:type="dxa"/>
            <w:tcMar/>
          </w:tcPr>
          <w:p w:rsidR="2B7FFB25" w:rsidP="2B7FFB25" w:rsidRDefault="2B7FFB25" w14:paraId="50940355" w14:textId="06C9D7C8">
            <w:pPr>
              <w:jc w:val="center"/>
              <w:rPr>
                <w:rFonts w:hint="eastAsia"/>
              </w:rPr>
            </w:pPr>
            <w:r w:rsidRPr="2B7FFB25">
              <w:rPr>
                <w:rFonts w:ascii="Aptos" w:hAnsi="Aptos" w:eastAsia="Aptos" w:cs="Aptos"/>
                <w:color w:val="000000" w:themeColor="text1"/>
                <w:sz w:val="20"/>
                <w:szCs w:val="20"/>
              </w:rPr>
              <w:t>351</w:t>
            </w:r>
          </w:p>
        </w:tc>
        <w:tc>
          <w:tcPr>
            <w:tcW w:w="1677" w:type="dxa"/>
            <w:tcMar/>
          </w:tcPr>
          <w:p w:rsidR="2B7FFB25" w:rsidP="2B7FFB25" w:rsidRDefault="2B7FFB25" w14:paraId="6356A033" w14:textId="1BCF19B4">
            <w:pPr>
              <w:jc w:val="center"/>
              <w:rPr>
                <w:rFonts w:hint="eastAsia"/>
              </w:rPr>
            </w:pPr>
            <w:r w:rsidRPr="2B7FFB25">
              <w:rPr>
                <w:rFonts w:ascii="Aptos" w:hAnsi="Aptos" w:eastAsia="Aptos" w:cs="Aptos"/>
                <w:color w:val="000000" w:themeColor="text1"/>
                <w:sz w:val="20"/>
                <w:szCs w:val="20"/>
              </w:rPr>
              <w:t>Fitchconnect</w:t>
            </w:r>
          </w:p>
        </w:tc>
      </w:tr>
      <w:tr w:rsidR="2B7FFB25" w:rsidTr="4F940BA9" w14:paraId="3DDF2481" w14:textId="77777777">
        <w:trPr>
          <w:trHeight w:val="300"/>
        </w:trPr>
        <w:tc>
          <w:tcPr>
            <w:tcW w:w="1153" w:type="dxa"/>
            <w:tcMar/>
          </w:tcPr>
          <w:p w:rsidR="2B7FFB25" w:rsidP="2B7FFB25" w:rsidRDefault="2B7FFB25" w14:paraId="0E4E02C3" w14:textId="059C9C80">
            <w:pPr>
              <w:jc w:val="center"/>
              <w:rPr>
                <w:rFonts w:hint="eastAsia" w:cs="Calibri"/>
                <w:sz w:val="20"/>
                <w:szCs w:val="20"/>
                <w:lang w:eastAsia="zh-CN"/>
              </w:rPr>
            </w:pPr>
            <w:r w:rsidRPr="2B7FFB25">
              <w:rPr>
                <w:rFonts w:cs="Calibri"/>
                <w:sz w:val="20"/>
                <w:szCs w:val="20"/>
                <w:lang w:eastAsia="zh-CN"/>
              </w:rPr>
              <w:t>46</w:t>
            </w:r>
          </w:p>
        </w:tc>
        <w:tc>
          <w:tcPr>
            <w:tcW w:w="1155" w:type="dxa"/>
            <w:tcMar/>
          </w:tcPr>
          <w:p w:rsidR="2B7FFB25" w:rsidP="2B7FFB25" w:rsidRDefault="2B7FFB25" w14:paraId="1604F97F" w14:textId="0DD7EE33">
            <w:pPr>
              <w:jc w:val="center"/>
              <w:rPr>
                <w:rFonts w:hint="eastAsia"/>
              </w:rPr>
            </w:pPr>
            <w:r w:rsidRPr="2B7FFB25">
              <w:rPr>
                <w:rFonts w:ascii="Aptos" w:hAnsi="Aptos" w:eastAsia="Aptos" w:cs="Aptos"/>
                <w:sz w:val="20"/>
                <w:szCs w:val="20"/>
              </w:rPr>
              <w:t>Bingquan et al. (2019)</w:t>
            </w:r>
          </w:p>
        </w:tc>
        <w:tc>
          <w:tcPr>
            <w:tcW w:w="1729" w:type="dxa"/>
            <w:tcMar/>
            <w:vAlign w:val="center"/>
          </w:tcPr>
          <w:p w:rsidR="2B7FFB25" w:rsidP="2B7FFB25" w:rsidRDefault="2B7FFB25" w14:paraId="0EA29292" w14:textId="43062FF6">
            <w:pPr>
              <w:jc w:val="center"/>
              <w:rPr>
                <w:rFonts w:hint="eastAsia"/>
              </w:rPr>
            </w:pPr>
            <w:r w:rsidRPr="2B7FFB25">
              <w:rPr>
                <w:rFonts w:ascii="Aptos" w:hAnsi="Aptos" w:eastAsia="Aptos" w:cs="Aptos"/>
                <w:color w:val="000000" w:themeColor="text1"/>
                <w:sz w:val="20"/>
                <w:szCs w:val="20"/>
              </w:rPr>
              <w:t>65 Chinese urban commercial banks</w:t>
            </w:r>
          </w:p>
        </w:tc>
        <w:tc>
          <w:tcPr>
            <w:tcW w:w="1601" w:type="dxa"/>
            <w:tcMar/>
            <w:vAlign w:val="center"/>
          </w:tcPr>
          <w:p w:rsidR="2B7FFB25" w:rsidP="2B7FFB25" w:rsidRDefault="2B7FFB25" w14:paraId="39384A11" w14:textId="6D8F5849">
            <w:pPr>
              <w:jc w:val="center"/>
              <w:rPr>
                <w:rFonts w:hint="eastAsia"/>
              </w:rPr>
            </w:pPr>
            <w:r w:rsidRPr="2B7FFB25">
              <w:rPr>
                <w:rFonts w:ascii="Aptos" w:hAnsi="Aptos" w:eastAsia="Aptos" w:cs="Aptos"/>
                <w:color w:val="000000" w:themeColor="text1"/>
                <w:sz w:val="20"/>
                <w:szCs w:val="20"/>
              </w:rPr>
              <w:t>2013–2017</w:t>
            </w:r>
          </w:p>
        </w:tc>
        <w:tc>
          <w:tcPr>
            <w:tcW w:w="1680" w:type="dxa"/>
            <w:tcMar/>
          </w:tcPr>
          <w:p w:rsidR="2B7FFB25" w:rsidP="2B7FFB25" w:rsidRDefault="2B7FFB25" w14:paraId="621FF105" w14:textId="75BFFE45">
            <w:pPr>
              <w:jc w:val="center"/>
              <w:rPr>
                <w:rFonts w:hint="eastAsia"/>
              </w:rPr>
            </w:pPr>
            <w:r w:rsidRPr="2B7FFB25">
              <w:rPr>
                <w:rFonts w:ascii="Aptos" w:hAnsi="Aptos" w:eastAsia="Aptos" w:cs="Aptos"/>
                <w:color w:val="000000" w:themeColor="text1"/>
                <w:sz w:val="20"/>
                <w:szCs w:val="20"/>
              </w:rPr>
              <w:t>325</w:t>
            </w:r>
          </w:p>
        </w:tc>
        <w:tc>
          <w:tcPr>
            <w:tcW w:w="1677" w:type="dxa"/>
            <w:tcMar/>
          </w:tcPr>
          <w:p w:rsidR="2B7FFB25" w:rsidP="2B7FFB25" w:rsidRDefault="2B7FFB25" w14:paraId="1E81CE46" w14:textId="1635C245">
            <w:pPr>
              <w:jc w:val="center"/>
              <w:rPr>
                <w:rFonts w:hint="eastAsia"/>
              </w:rPr>
            </w:pPr>
            <w:r w:rsidRPr="2B7FFB25">
              <w:rPr>
                <w:rFonts w:ascii="Aptos" w:hAnsi="Aptos" w:eastAsia="Aptos" w:cs="Aptos"/>
                <w:color w:val="000000" w:themeColor="text1"/>
                <w:sz w:val="20"/>
                <w:szCs w:val="20"/>
              </w:rPr>
              <w:t>Orbis Bank Focus</w:t>
            </w:r>
          </w:p>
        </w:tc>
      </w:tr>
      <w:tr w:rsidR="2B7FFB25" w:rsidTr="4F940BA9" w14:paraId="780D5194" w14:textId="77777777">
        <w:trPr>
          <w:trHeight w:val="300"/>
        </w:trPr>
        <w:tc>
          <w:tcPr>
            <w:tcW w:w="1153" w:type="dxa"/>
            <w:tcMar/>
          </w:tcPr>
          <w:p w:rsidR="2B7FFB25" w:rsidP="2B7FFB25" w:rsidRDefault="2B7FFB25" w14:paraId="11D33AD1" w14:textId="682078A4">
            <w:pPr>
              <w:jc w:val="center"/>
              <w:rPr>
                <w:rFonts w:hint="eastAsia" w:cs="Calibri"/>
                <w:sz w:val="20"/>
                <w:szCs w:val="20"/>
                <w:lang w:eastAsia="zh-CN"/>
              </w:rPr>
            </w:pPr>
            <w:r w:rsidRPr="2B7FFB25">
              <w:rPr>
                <w:rFonts w:cs="Calibri"/>
                <w:sz w:val="20"/>
                <w:szCs w:val="20"/>
                <w:lang w:eastAsia="zh-CN"/>
              </w:rPr>
              <w:t>42</w:t>
            </w:r>
          </w:p>
        </w:tc>
        <w:tc>
          <w:tcPr>
            <w:tcW w:w="1155" w:type="dxa"/>
            <w:tcMar/>
          </w:tcPr>
          <w:p w:rsidR="2B7FFB25" w:rsidP="2B7FFB25" w:rsidRDefault="2B7FFB25" w14:paraId="5830F9AF" w14:textId="5F058728">
            <w:pPr>
              <w:jc w:val="center"/>
              <w:rPr>
                <w:rFonts w:hint="eastAsia"/>
              </w:rPr>
            </w:pPr>
            <w:r w:rsidRPr="2B7FFB25">
              <w:rPr>
                <w:rFonts w:ascii="Aptos" w:hAnsi="Aptos" w:eastAsia="Aptos" w:cs="Aptos"/>
                <w:sz w:val="20"/>
                <w:szCs w:val="20"/>
              </w:rPr>
              <w:t>Luo et al. (2010)</w:t>
            </w:r>
          </w:p>
        </w:tc>
        <w:tc>
          <w:tcPr>
            <w:tcW w:w="1729" w:type="dxa"/>
            <w:tcMar/>
            <w:vAlign w:val="center"/>
          </w:tcPr>
          <w:p w:rsidR="2B7FFB25" w:rsidP="2B7FFB25" w:rsidRDefault="2B7FFB25" w14:paraId="4E0EDEEF" w14:textId="75B8FCA3">
            <w:pPr>
              <w:jc w:val="center"/>
              <w:rPr>
                <w:rFonts w:hint="eastAsia"/>
              </w:rPr>
            </w:pPr>
            <w:r w:rsidRPr="2B7FFB25">
              <w:rPr>
                <w:rFonts w:ascii="Aptos" w:hAnsi="Aptos" w:eastAsia="Aptos" w:cs="Aptos"/>
                <w:color w:val="000000" w:themeColor="text1"/>
                <w:sz w:val="20"/>
                <w:szCs w:val="20"/>
              </w:rPr>
              <w:t>14 Chinese listed commercial banks</w:t>
            </w:r>
          </w:p>
        </w:tc>
        <w:tc>
          <w:tcPr>
            <w:tcW w:w="1601" w:type="dxa"/>
            <w:tcMar/>
            <w:vAlign w:val="center"/>
          </w:tcPr>
          <w:p w:rsidR="2B7FFB25" w:rsidP="2B7FFB25" w:rsidRDefault="2B7FFB25" w14:paraId="5B58E368" w14:textId="1B671FDB">
            <w:pPr>
              <w:jc w:val="center"/>
              <w:rPr>
                <w:rFonts w:hint="eastAsia"/>
              </w:rPr>
            </w:pPr>
            <w:r w:rsidRPr="2B7FFB25">
              <w:rPr>
                <w:rFonts w:ascii="Aptos" w:hAnsi="Aptos" w:eastAsia="Aptos" w:cs="Aptos"/>
                <w:color w:val="000000" w:themeColor="text1"/>
                <w:sz w:val="20"/>
                <w:szCs w:val="20"/>
              </w:rPr>
              <w:t>1999-2008</w:t>
            </w:r>
          </w:p>
        </w:tc>
        <w:tc>
          <w:tcPr>
            <w:tcW w:w="1680" w:type="dxa"/>
            <w:tcMar/>
          </w:tcPr>
          <w:p w:rsidR="2B7FFB25" w:rsidP="2B7FFB25" w:rsidRDefault="2B7FFB25" w14:paraId="2A35D2D7" w14:textId="4C5C20B4">
            <w:pPr>
              <w:jc w:val="center"/>
              <w:rPr>
                <w:rFonts w:hint="eastAsia"/>
              </w:rPr>
            </w:pPr>
            <w:r w:rsidRPr="2B7FFB25">
              <w:rPr>
                <w:rFonts w:ascii="Aptos" w:hAnsi="Aptos" w:eastAsia="Aptos" w:cs="Aptos"/>
                <w:color w:val="000000" w:themeColor="text1"/>
                <w:sz w:val="20"/>
                <w:szCs w:val="20"/>
              </w:rPr>
              <w:t>140</w:t>
            </w:r>
          </w:p>
        </w:tc>
        <w:tc>
          <w:tcPr>
            <w:tcW w:w="1677" w:type="dxa"/>
            <w:tcMar/>
          </w:tcPr>
          <w:p w:rsidR="2B7FFB25" w:rsidP="2B7FFB25" w:rsidRDefault="2B7FFB25" w14:paraId="0DEC02AA" w14:textId="584A2E9C">
            <w:pPr>
              <w:jc w:val="center"/>
              <w:rPr>
                <w:rFonts w:hint="eastAsia"/>
              </w:rPr>
            </w:pPr>
            <w:r w:rsidRPr="2B7FFB25">
              <w:rPr>
                <w:rFonts w:ascii="Aptos" w:hAnsi="Aptos" w:eastAsia="Aptos" w:cs="Aptos"/>
                <w:color w:val="000000" w:themeColor="text1"/>
                <w:sz w:val="20"/>
                <w:szCs w:val="20"/>
              </w:rPr>
              <w:t>Bankscope</w:t>
            </w:r>
          </w:p>
        </w:tc>
      </w:tr>
      <w:tr w:rsidR="4F940BA9" w:rsidTr="4F940BA9" w14:paraId="7FEB873A">
        <w:trPr>
          <w:trHeight w:val="300"/>
        </w:trPr>
        <w:tc>
          <w:tcPr>
            <w:tcW w:w="1126" w:type="dxa"/>
            <w:tcMar/>
          </w:tcPr>
          <w:p w:rsidR="6F5D353A" w:rsidP="4F940BA9" w:rsidRDefault="6F5D353A" w14:paraId="63B13514" w14:textId="6F7E0C0E">
            <w:pPr>
              <w:pStyle w:val="Normal"/>
              <w:jc w:val="center"/>
              <w:rPr>
                <w:rFonts w:cs="Calibri"/>
                <w:sz w:val="20"/>
                <w:szCs w:val="20"/>
                <w:lang w:eastAsia="zh-CN"/>
              </w:rPr>
            </w:pPr>
            <w:r w:rsidRPr="4F940BA9" w:rsidR="6F5D353A">
              <w:rPr>
                <w:rFonts w:cs="Calibri"/>
                <w:sz w:val="20"/>
                <w:szCs w:val="20"/>
                <w:lang w:eastAsia="zh-CN"/>
              </w:rPr>
              <w:t>4</w:t>
            </w:r>
          </w:p>
        </w:tc>
        <w:tc>
          <w:tcPr>
            <w:tcW w:w="1287" w:type="dxa"/>
            <w:tcMar/>
          </w:tcPr>
          <w:p w:rsidR="4F940BA9" w:rsidP="4F940BA9" w:rsidRDefault="4F940BA9" w14:paraId="72B92896" w14:textId="1D9A0E16">
            <w:pPr>
              <w:spacing w:before="0" w:beforeAutospacing="off" w:after="0" w:afterAutospacing="off"/>
              <w:ind w:left="-20" w:right="-20"/>
              <w:jc w:val="center"/>
            </w:pPr>
            <w:r w:rsidRPr="4F940BA9" w:rsidR="4F940BA9">
              <w:rPr>
                <w:rFonts w:ascii="Calibri" w:hAnsi="Calibri" w:eastAsia="Calibri" w:cs="Calibri"/>
                <w:sz w:val="20"/>
                <w:szCs w:val="20"/>
                <w:lang w:val="en-GB"/>
              </w:rPr>
              <w:t>Wang et al. (2014)</w:t>
            </w:r>
          </w:p>
        </w:tc>
        <w:tc>
          <w:tcPr>
            <w:tcW w:w="1702" w:type="dxa"/>
            <w:tcMar/>
            <w:vAlign w:val="center"/>
          </w:tcPr>
          <w:p w:rsidR="4F940BA9" w:rsidP="4F940BA9" w:rsidRDefault="4F940BA9" w14:paraId="3807B89C" w14:textId="1972BCAB">
            <w:pPr>
              <w:spacing w:before="0" w:beforeAutospacing="off" w:after="0" w:afterAutospacing="off"/>
              <w:ind w:left="-20" w:right="-20"/>
            </w:pPr>
            <w:r w:rsidRPr="4F940BA9" w:rsidR="4F940BA9">
              <w:rPr>
                <w:rFonts w:ascii="Calibri" w:hAnsi="Calibri" w:eastAsia="Calibri" w:cs="Calibri"/>
                <w:color w:val="000000" w:themeColor="text1" w:themeTint="FF" w:themeShade="FF"/>
                <w:sz w:val="20"/>
                <w:szCs w:val="20"/>
                <w:lang w:val="en-GB"/>
              </w:rPr>
              <w:t>16 Chinese banks</w:t>
            </w:r>
          </w:p>
          <w:p w:rsidR="4F940BA9" w:rsidP="4F940BA9" w:rsidRDefault="4F940BA9" w14:paraId="02EFB681" w14:textId="4688E2C9">
            <w:pPr>
              <w:spacing w:before="0" w:beforeAutospacing="off" w:after="0" w:afterAutospacing="off"/>
              <w:ind w:left="-20" w:right="-20"/>
            </w:pPr>
            <w:r w:rsidRPr="4F940BA9" w:rsidR="4F940BA9">
              <w:rPr>
                <w:rFonts w:ascii="Times New Roman" w:hAnsi="Times New Roman" w:eastAsia="Times New Roman" w:cs="Times New Roman"/>
                <w:sz w:val="16"/>
                <w:szCs w:val="16"/>
              </w:rPr>
              <w:t>divided into two groups of 4 SOBs and 12 JSBs</w:t>
            </w:r>
          </w:p>
        </w:tc>
        <w:tc>
          <w:tcPr>
            <w:tcW w:w="1575" w:type="dxa"/>
            <w:tcMar/>
            <w:vAlign w:val="center"/>
          </w:tcPr>
          <w:p w:rsidR="4F940BA9" w:rsidP="4F940BA9" w:rsidRDefault="4F940BA9" w14:paraId="0F1DAE62" w14:textId="3F6F5526">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2003-2011</w:t>
            </w:r>
          </w:p>
        </w:tc>
        <w:tc>
          <w:tcPr>
            <w:tcW w:w="1654" w:type="dxa"/>
            <w:tcMar/>
          </w:tcPr>
          <w:p w:rsidR="4F940BA9" w:rsidP="4F940BA9" w:rsidRDefault="4F940BA9" w14:paraId="3A69F015" w14:textId="42D8666C">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144</w:t>
            </w:r>
          </w:p>
        </w:tc>
        <w:tc>
          <w:tcPr>
            <w:tcW w:w="1651" w:type="dxa"/>
            <w:tcMar/>
          </w:tcPr>
          <w:p w:rsidR="4F940BA9" w:rsidP="4F940BA9" w:rsidRDefault="4F940BA9" w14:paraId="2189F3A3" w14:textId="2D73FABE">
            <w:pPr>
              <w:spacing w:before="0" w:beforeAutospacing="off" w:after="0" w:afterAutospacing="off"/>
              <w:ind w:left="-20" w:right="-20"/>
            </w:pPr>
            <w:r w:rsidRPr="4F940BA9" w:rsidR="4F940BA9">
              <w:rPr>
                <w:rFonts w:ascii="Calibri" w:hAnsi="Calibri" w:eastAsia="Calibri" w:cs="Calibri"/>
                <w:sz w:val="20"/>
                <w:szCs w:val="20"/>
              </w:rPr>
              <w:t>Fitch–Thompson Bankscope, official sources of bank annual reports, and the Yearly Statistics Book of China's Finance</w:t>
            </w:r>
          </w:p>
        </w:tc>
      </w:tr>
      <w:tr w:rsidR="4F940BA9" w:rsidTr="4F940BA9" w14:paraId="15B59D10">
        <w:trPr>
          <w:trHeight w:val="300"/>
        </w:trPr>
        <w:tc>
          <w:tcPr>
            <w:tcW w:w="1126" w:type="dxa"/>
            <w:tcMar/>
          </w:tcPr>
          <w:p w:rsidR="1DD030AA" w:rsidP="4F940BA9" w:rsidRDefault="1DD030AA" w14:paraId="4911EA43" w14:textId="1574E275">
            <w:pPr>
              <w:pStyle w:val="Normal"/>
              <w:jc w:val="center"/>
              <w:rPr>
                <w:rFonts w:cs="Calibri"/>
                <w:sz w:val="20"/>
                <w:szCs w:val="20"/>
                <w:lang w:eastAsia="zh-CN"/>
              </w:rPr>
            </w:pPr>
            <w:r w:rsidRPr="4F940BA9" w:rsidR="1DD030AA">
              <w:rPr>
                <w:rFonts w:cs="Calibri"/>
                <w:sz w:val="20"/>
                <w:szCs w:val="20"/>
                <w:lang w:eastAsia="zh-CN"/>
              </w:rPr>
              <w:t>1</w:t>
            </w:r>
            <w:r w:rsidRPr="4F940BA9" w:rsidR="57BE3ABA">
              <w:rPr>
                <w:rFonts w:cs="Calibri"/>
                <w:sz w:val="20"/>
                <w:szCs w:val="20"/>
                <w:lang w:eastAsia="zh-CN"/>
              </w:rPr>
              <w:t>4</w:t>
            </w:r>
          </w:p>
        </w:tc>
        <w:tc>
          <w:tcPr>
            <w:tcW w:w="1287" w:type="dxa"/>
            <w:tcMar/>
          </w:tcPr>
          <w:p w:rsidR="4F940BA9" w:rsidP="4F940BA9" w:rsidRDefault="4F940BA9" w14:paraId="6D3541BA" w14:textId="6ED9768B">
            <w:pPr>
              <w:spacing w:before="0" w:beforeAutospacing="off" w:after="0" w:afterAutospacing="off"/>
              <w:ind w:left="-20" w:right="-20"/>
              <w:jc w:val="center"/>
            </w:pPr>
            <w:r w:rsidRPr="4F940BA9" w:rsidR="4F940BA9">
              <w:rPr>
                <w:rFonts w:ascii="Arial" w:hAnsi="Arial" w:eastAsia="Arial" w:cs="Arial"/>
                <w:color w:val="222222"/>
                <w:sz w:val="20"/>
                <w:szCs w:val="20"/>
                <w:lang w:val="en-GB"/>
              </w:rPr>
              <w:t>Fukuyama, H., Tsionas, M. and Tan, Y.,</w:t>
            </w:r>
            <w:r w:rsidRPr="4F940BA9" w:rsidR="4F940BA9">
              <w:rPr>
                <w:rFonts w:ascii="Calibri" w:hAnsi="Calibri" w:eastAsia="Calibri" w:cs="Calibri"/>
                <w:sz w:val="20"/>
                <w:szCs w:val="20"/>
                <w:lang w:val="en-GB"/>
              </w:rPr>
              <w:t xml:space="preserve"> (2023) </w:t>
            </w:r>
          </w:p>
        </w:tc>
        <w:tc>
          <w:tcPr>
            <w:tcW w:w="1702" w:type="dxa"/>
            <w:tcMar/>
            <w:vAlign w:val="center"/>
          </w:tcPr>
          <w:p w:rsidR="4F940BA9" w:rsidP="4F940BA9" w:rsidRDefault="4F940BA9" w14:paraId="2A121BE5" w14:textId="3DB84B18">
            <w:pPr>
              <w:spacing w:before="0" w:beforeAutospacing="off" w:after="0" w:afterAutospacing="off"/>
              <w:ind w:left="-20" w:right="-20"/>
            </w:pPr>
            <w:r w:rsidRPr="4F940BA9" w:rsidR="4F940BA9">
              <w:rPr>
                <w:rFonts w:ascii="Calibri" w:hAnsi="Calibri" w:eastAsia="Calibri" w:cs="Calibri"/>
                <w:sz w:val="20"/>
                <w:szCs w:val="20"/>
                <w:lang w:val="en-GB"/>
              </w:rPr>
              <w:t>43 banks with 5 different ownership types: state-owned, joint-stock, city, rural and foreign banks</w:t>
            </w:r>
          </w:p>
        </w:tc>
        <w:tc>
          <w:tcPr>
            <w:tcW w:w="1575" w:type="dxa"/>
            <w:tcMar/>
            <w:vAlign w:val="center"/>
          </w:tcPr>
          <w:p w:rsidR="4F940BA9" w:rsidP="4F940BA9" w:rsidRDefault="4F940BA9" w14:paraId="2190044E" w14:textId="5DB4E57D">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2010-2018</w:t>
            </w:r>
          </w:p>
        </w:tc>
        <w:tc>
          <w:tcPr>
            <w:tcW w:w="1654" w:type="dxa"/>
            <w:tcMar/>
          </w:tcPr>
          <w:p w:rsidR="4F940BA9" w:rsidP="4F940BA9" w:rsidRDefault="4F940BA9" w14:paraId="3006C6D4" w14:textId="0ACE0FC5">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387</w:t>
            </w:r>
          </w:p>
        </w:tc>
        <w:tc>
          <w:tcPr>
            <w:tcW w:w="1651" w:type="dxa"/>
            <w:tcMar/>
          </w:tcPr>
          <w:p w:rsidR="4F940BA9" w:rsidP="4F940BA9" w:rsidRDefault="4F940BA9" w14:paraId="4C54868E" w14:textId="34063365">
            <w:pPr>
              <w:spacing w:before="0" w:beforeAutospacing="off" w:after="0" w:afterAutospacing="off"/>
              <w:ind w:left="-20" w:right="-20"/>
            </w:pPr>
            <w:r w:rsidRPr="4F940BA9" w:rsidR="4F940BA9">
              <w:rPr>
                <w:rFonts w:ascii="Calibri" w:hAnsi="Calibri" w:eastAsia="Calibri" w:cs="Calibri"/>
                <w:sz w:val="20"/>
                <w:szCs w:val="20"/>
                <w:lang w:val="en-GB"/>
              </w:rPr>
              <w:t>the Fitch Connect database</w:t>
            </w:r>
          </w:p>
        </w:tc>
      </w:tr>
      <w:tr w:rsidR="4F940BA9" w:rsidTr="4F940BA9" w14:paraId="773A5ECF">
        <w:trPr>
          <w:trHeight w:val="300"/>
        </w:trPr>
        <w:tc>
          <w:tcPr>
            <w:tcW w:w="1126" w:type="dxa"/>
            <w:tcMar/>
          </w:tcPr>
          <w:p w:rsidR="1556F522" w:rsidP="4F940BA9" w:rsidRDefault="1556F522" w14:paraId="107EB9BC" w14:textId="5AEFA147">
            <w:pPr>
              <w:pStyle w:val="Normal"/>
              <w:jc w:val="center"/>
              <w:rPr>
                <w:rFonts w:cs="Calibri"/>
                <w:sz w:val="20"/>
                <w:szCs w:val="20"/>
                <w:lang w:eastAsia="zh-CN"/>
              </w:rPr>
            </w:pPr>
            <w:r w:rsidRPr="4F940BA9" w:rsidR="1556F522">
              <w:rPr>
                <w:rFonts w:cs="Calibri"/>
                <w:sz w:val="20"/>
                <w:szCs w:val="20"/>
                <w:lang w:eastAsia="zh-CN"/>
              </w:rPr>
              <w:t>19</w:t>
            </w:r>
          </w:p>
        </w:tc>
        <w:tc>
          <w:tcPr>
            <w:tcW w:w="1287" w:type="dxa"/>
            <w:tcMar/>
          </w:tcPr>
          <w:p w:rsidR="4F940BA9" w:rsidP="4F940BA9" w:rsidRDefault="4F940BA9" w14:paraId="72F1F20B" w14:textId="3A54579A">
            <w:pPr>
              <w:spacing w:before="0" w:beforeAutospacing="off" w:after="0" w:afterAutospacing="off"/>
              <w:ind w:left="-20" w:right="-20"/>
              <w:jc w:val="center"/>
            </w:pPr>
            <w:r w:rsidRPr="4F940BA9" w:rsidR="4F940BA9">
              <w:rPr>
                <w:rFonts w:ascii="Arial" w:hAnsi="Arial" w:eastAsia="Arial" w:cs="Arial"/>
                <w:color w:val="222222"/>
                <w:sz w:val="20"/>
                <w:szCs w:val="20"/>
                <w:lang w:val="en-GB"/>
              </w:rPr>
              <w:t xml:space="preserve">Zhou, X.,(2019) </w:t>
            </w:r>
          </w:p>
        </w:tc>
        <w:tc>
          <w:tcPr>
            <w:tcW w:w="1702" w:type="dxa"/>
            <w:tcMar/>
            <w:vAlign w:val="center"/>
          </w:tcPr>
          <w:p w:rsidR="4F940BA9" w:rsidP="4F940BA9" w:rsidRDefault="4F940BA9" w14:paraId="5F1D132B" w14:textId="5D4855F6">
            <w:pPr>
              <w:spacing w:before="0" w:beforeAutospacing="off" w:after="0" w:afterAutospacing="off"/>
              <w:ind w:left="-20" w:right="-20"/>
            </w:pPr>
            <w:r w:rsidRPr="4F940BA9" w:rsidR="4F940BA9">
              <w:rPr>
                <w:rFonts w:ascii="Calibri" w:hAnsi="Calibri" w:eastAsia="Calibri" w:cs="Calibri"/>
                <w:color w:val="000000" w:themeColor="text1" w:themeTint="FF" w:themeShade="FF"/>
                <w:sz w:val="20"/>
                <w:szCs w:val="20"/>
                <w:lang w:val="en-GB"/>
              </w:rPr>
              <w:t xml:space="preserve">16 Chinese listed commercial banks </w:t>
            </w:r>
          </w:p>
        </w:tc>
        <w:tc>
          <w:tcPr>
            <w:tcW w:w="1575" w:type="dxa"/>
            <w:tcMar/>
            <w:vAlign w:val="center"/>
          </w:tcPr>
          <w:p w:rsidR="4F940BA9" w:rsidP="4F940BA9" w:rsidRDefault="4F940BA9" w14:paraId="713BC278" w14:textId="6ED151DC">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2014-2016</w:t>
            </w:r>
          </w:p>
        </w:tc>
        <w:tc>
          <w:tcPr>
            <w:tcW w:w="1654" w:type="dxa"/>
            <w:tcMar/>
          </w:tcPr>
          <w:p w:rsidR="4F940BA9" w:rsidP="4F940BA9" w:rsidRDefault="4F940BA9" w14:paraId="6490D63E" w14:textId="4D31B7A7">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48</w:t>
            </w:r>
          </w:p>
        </w:tc>
        <w:tc>
          <w:tcPr>
            <w:tcW w:w="1651" w:type="dxa"/>
            <w:tcMar/>
          </w:tcPr>
          <w:p w:rsidR="4F940BA9" w:rsidP="4F940BA9" w:rsidRDefault="4F940BA9" w14:paraId="59588716" w14:textId="6F567962">
            <w:pPr>
              <w:spacing w:before="0" w:beforeAutospacing="off" w:after="0" w:afterAutospacing="off"/>
              <w:ind w:left="-20" w:right="-20"/>
            </w:pPr>
            <w:r w:rsidRPr="4F940BA9" w:rsidR="4F940BA9">
              <w:rPr>
                <w:rFonts w:ascii="Calibri" w:hAnsi="Calibri" w:eastAsia="Calibri" w:cs="Calibri"/>
                <w:sz w:val="20"/>
                <w:szCs w:val="20"/>
              </w:rPr>
              <w:t>From WIND</w:t>
            </w:r>
          </w:p>
        </w:tc>
      </w:tr>
      <w:tr w:rsidR="4F940BA9" w:rsidTr="4F940BA9" w14:paraId="38C68A82">
        <w:trPr>
          <w:trHeight w:val="300"/>
        </w:trPr>
        <w:tc>
          <w:tcPr>
            <w:tcW w:w="1126" w:type="dxa"/>
            <w:tcMar/>
          </w:tcPr>
          <w:p w:rsidR="5F357443" w:rsidP="4F940BA9" w:rsidRDefault="5F357443" w14:paraId="13632B21" w14:textId="3BE4D287">
            <w:pPr>
              <w:pStyle w:val="Normal"/>
              <w:jc w:val="center"/>
              <w:rPr>
                <w:rFonts w:cs="Calibri"/>
                <w:sz w:val="20"/>
                <w:szCs w:val="20"/>
                <w:lang w:eastAsia="zh-CN"/>
              </w:rPr>
            </w:pPr>
            <w:r w:rsidRPr="4F940BA9" w:rsidR="5F357443">
              <w:rPr>
                <w:rFonts w:cs="Calibri"/>
                <w:sz w:val="20"/>
                <w:szCs w:val="20"/>
                <w:lang w:eastAsia="zh-CN"/>
              </w:rPr>
              <w:t>29</w:t>
            </w:r>
          </w:p>
        </w:tc>
        <w:tc>
          <w:tcPr>
            <w:tcW w:w="1287" w:type="dxa"/>
            <w:tcMar/>
          </w:tcPr>
          <w:p w:rsidR="4F940BA9" w:rsidP="4F940BA9" w:rsidRDefault="4F940BA9" w14:paraId="21214F12" w14:textId="480B2635">
            <w:pPr>
              <w:spacing w:before="0" w:beforeAutospacing="off" w:after="0" w:afterAutospacing="off"/>
              <w:ind w:left="-20" w:right="-20"/>
              <w:jc w:val="center"/>
            </w:pPr>
            <w:r w:rsidRPr="4F940BA9" w:rsidR="4F940BA9">
              <w:rPr>
                <w:rFonts w:ascii="Arial" w:hAnsi="Arial" w:eastAsia="Arial" w:cs="Arial"/>
                <w:color w:val="222222"/>
                <w:sz w:val="20"/>
                <w:szCs w:val="20"/>
                <w:lang w:val="en-GB"/>
              </w:rPr>
              <w:t xml:space="preserve">Boussemart, J.P. (2019) </w:t>
            </w:r>
          </w:p>
        </w:tc>
        <w:tc>
          <w:tcPr>
            <w:tcW w:w="1702" w:type="dxa"/>
            <w:tcMar/>
            <w:vAlign w:val="center"/>
          </w:tcPr>
          <w:p w:rsidR="4F940BA9" w:rsidP="4F940BA9" w:rsidRDefault="4F940BA9" w14:paraId="2A53E639" w14:textId="7F212AD8">
            <w:pPr>
              <w:spacing w:before="0" w:beforeAutospacing="off" w:after="0" w:afterAutospacing="off"/>
              <w:ind w:left="-20" w:right="-20"/>
            </w:pPr>
            <w:r w:rsidRPr="4F940BA9" w:rsidR="4F940BA9">
              <w:rPr>
                <w:rFonts w:ascii="Calibri" w:hAnsi="Calibri" w:eastAsia="Calibri" w:cs="Calibri"/>
                <w:sz w:val="22"/>
                <w:szCs w:val="22"/>
                <w:lang w:val="en-GB"/>
              </w:rPr>
              <w:t>30 Chinese commercial banks</w:t>
            </w:r>
          </w:p>
        </w:tc>
        <w:tc>
          <w:tcPr>
            <w:tcW w:w="1575" w:type="dxa"/>
            <w:tcMar/>
            <w:vAlign w:val="center"/>
          </w:tcPr>
          <w:p w:rsidR="4F940BA9" w:rsidP="4F940BA9" w:rsidRDefault="4F940BA9" w14:paraId="471C68BD" w14:textId="451E224F">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2005-2012</w:t>
            </w:r>
          </w:p>
        </w:tc>
        <w:tc>
          <w:tcPr>
            <w:tcW w:w="1654" w:type="dxa"/>
            <w:tcMar/>
          </w:tcPr>
          <w:p w:rsidR="4F940BA9" w:rsidP="4F940BA9" w:rsidRDefault="4F940BA9" w14:paraId="24B45C5B" w14:textId="51217FF5">
            <w:pPr>
              <w:spacing w:before="0" w:beforeAutospacing="off" w:after="0" w:afterAutospacing="off"/>
              <w:ind w:left="-20" w:right="-20"/>
              <w:jc w:val="center"/>
            </w:pPr>
            <w:r w:rsidRPr="4F940BA9" w:rsidR="4F940BA9">
              <w:rPr>
                <w:rFonts w:ascii="Calibri" w:hAnsi="Calibri" w:eastAsia="Calibri" w:cs="Calibri"/>
                <w:sz w:val="20"/>
                <w:szCs w:val="20"/>
              </w:rPr>
              <w:t>240</w:t>
            </w:r>
          </w:p>
        </w:tc>
        <w:tc>
          <w:tcPr>
            <w:tcW w:w="1651" w:type="dxa"/>
            <w:tcMar/>
          </w:tcPr>
          <w:p w:rsidR="4F940BA9" w:rsidP="4F940BA9" w:rsidRDefault="4F940BA9" w14:paraId="313487B4" w14:textId="66C98458">
            <w:pPr>
              <w:spacing w:before="0" w:beforeAutospacing="off" w:after="0" w:afterAutospacing="off"/>
              <w:ind w:left="-20" w:right="-20"/>
            </w:pPr>
            <w:r w:rsidRPr="4F940BA9" w:rsidR="4F940BA9">
              <w:rPr>
                <w:rFonts w:ascii="Calibri" w:hAnsi="Calibri" w:eastAsia="Calibri" w:cs="Calibri"/>
                <w:sz w:val="22"/>
                <w:szCs w:val="22"/>
                <w:lang w:val="en-GB"/>
              </w:rPr>
              <w:t>the Bankscope database, with variables expressed in Chinese yuan with 2004 as the base year (CNY 2004)</w:t>
            </w:r>
          </w:p>
          <w:p w:rsidR="4F940BA9" w:rsidP="4F940BA9" w:rsidRDefault="4F940BA9" w14:paraId="78F30339" w14:textId="7409ABFF">
            <w:pPr>
              <w:spacing w:before="0" w:beforeAutospacing="off" w:after="0" w:afterAutospacing="off"/>
              <w:ind w:left="-20" w:right="-20"/>
            </w:pPr>
            <w:r w:rsidRPr="4F940BA9" w:rsidR="4F940BA9">
              <w:rPr>
                <w:rFonts w:ascii="Calibri" w:hAnsi="Calibri" w:eastAsia="Calibri" w:cs="Calibri"/>
                <w:sz w:val="13"/>
                <w:szCs w:val="13"/>
                <w:lang w:val="en-GB"/>
              </w:rPr>
              <w:t xml:space="preserve"> </w:t>
            </w:r>
          </w:p>
          <w:p w:rsidR="4F940BA9" w:rsidP="4F940BA9" w:rsidRDefault="4F940BA9" w14:paraId="3DE4590F" w14:textId="5C543320">
            <w:pPr>
              <w:spacing w:before="0" w:beforeAutospacing="off" w:after="0" w:afterAutospacing="off"/>
              <w:ind w:left="-20" w:right="-20"/>
            </w:pPr>
            <w:r w:rsidRPr="4F940BA9" w:rsidR="4F940BA9">
              <w:rPr>
                <w:rFonts w:ascii="Calibri" w:hAnsi="Calibri" w:eastAsia="Calibri" w:cs="Calibri"/>
                <w:sz w:val="20"/>
                <w:szCs w:val="20"/>
                <w:lang w:val="en-GB"/>
              </w:rPr>
              <w:t xml:space="preserve"> </w:t>
            </w:r>
          </w:p>
          <w:p w:rsidR="4F940BA9" w:rsidP="4F940BA9" w:rsidRDefault="4F940BA9" w14:paraId="0254DABB" w14:textId="4834AECA">
            <w:pPr>
              <w:spacing w:before="0" w:beforeAutospacing="off" w:after="0" w:afterAutospacing="off"/>
              <w:ind w:left="-20" w:right="-20"/>
              <w:rPr>
                <w:rFonts w:ascii="Calibri" w:hAnsi="Calibri" w:eastAsia="Calibri" w:cs="Calibri"/>
                <w:sz w:val="20"/>
                <w:szCs w:val="20"/>
              </w:rPr>
            </w:pPr>
          </w:p>
        </w:tc>
      </w:tr>
      <w:tr w:rsidR="4F940BA9" w:rsidTr="4F940BA9" w14:paraId="3BCF610E">
        <w:trPr>
          <w:trHeight w:val="300"/>
        </w:trPr>
        <w:tc>
          <w:tcPr>
            <w:tcW w:w="1126" w:type="dxa"/>
            <w:tcMar/>
          </w:tcPr>
          <w:p w:rsidR="32EA7B26" w:rsidP="4F940BA9" w:rsidRDefault="32EA7B26" w14:paraId="148CD324" w14:textId="192BFC7B">
            <w:pPr>
              <w:pStyle w:val="Normal"/>
              <w:jc w:val="center"/>
              <w:rPr>
                <w:rFonts w:cs="Calibri"/>
                <w:sz w:val="20"/>
                <w:szCs w:val="20"/>
                <w:lang w:eastAsia="zh-CN"/>
              </w:rPr>
            </w:pPr>
            <w:r w:rsidRPr="4F940BA9" w:rsidR="32EA7B26">
              <w:rPr>
                <w:rFonts w:cs="Calibri"/>
                <w:sz w:val="20"/>
                <w:szCs w:val="20"/>
                <w:lang w:eastAsia="zh-CN"/>
              </w:rPr>
              <w:t>48</w:t>
            </w:r>
          </w:p>
        </w:tc>
        <w:tc>
          <w:tcPr>
            <w:tcW w:w="1287" w:type="dxa"/>
            <w:tcMar/>
          </w:tcPr>
          <w:p w:rsidR="4F940BA9" w:rsidP="4F940BA9" w:rsidRDefault="4F940BA9" w14:paraId="75525FA1" w14:textId="53C0A2C8">
            <w:pPr>
              <w:spacing w:before="0" w:beforeAutospacing="off" w:after="0" w:afterAutospacing="off"/>
              <w:ind w:left="-20" w:right="-20"/>
              <w:jc w:val="center"/>
            </w:pPr>
            <w:r w:rsidRPr="4F940BA9" w:rsidR="4F940BA9">
              <w:rPr>
                <w:rFonts w:ascii="Calibri" w:hAnsi="Calibri" w:eastAsia="Calibri" w:cs="Calibri"/>
                <w:sz w:val="22"/>
                <w:szCs w:val="22"/>
                <w:lang w:val="en-GB"/>
              </w:rPr>
              <w:t xml:space="preserve">Yan Luo, Gongbing Bi, Liang Liang (2012) </w:t>
            </w:r>
          </w:p>
        </w:tc>
        <w:tc>
          <w:tcPr>
            <w:tcW w:w="1702" w:type="dxa"/>
            <w:tcMar/>
            <w:vAlign w:val="center"/>
          </w:tcPr>
          <w:p w:rsidR="4F940BA9" w:rsidP="4F940BA9" w:rsidRDefault="4F940BA9" w14:paraId="71E0EAAD" w14:textId="7BAE053B">
            <w:pPr>
              <w:spacing w:before="0" w:beforeAutospacing="off" w:after="0" w:afterAutospacing="off"/>
              <w:ind w:left="-20" w:right="-20"/>
            </w:pPr>
            <w:r w:rsidRPr="4F940BA9" w:rsidR="4F940BA9">
              <w:rPr>
                <w:rFonts w:ascii="Calibri" w:hAnsi="Calibri" w:eastAsia="Calibri" w:cs="Calibri"/>
                <w:sz w:val="22"/>
                <w:szCs w:val="22"/>
                <w:lang w:val="en-GB"/>
              </w:rPr>
              <w:t>14 Chinese commercial banks</w:t>
            </w:r>
          </w:p>
        </w:tc>
        <w:tc>
          <w:tcPr>
            <w:tcW w:w="1575" w:type="dxa"/>
            <w:tcMar/>
            <w:vAlign w:val="center"/>
          </w:tcPr>
          <w:p w:rsidR="4F940BA9" w:rsidP="4F940BA9" w:rsidRDefault="4F940BA9" w14:paraId="1614EF6E" w14:textId="3A3FA982">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2008</w:t>
            </w:r>
          </w:p>
        </w:tc>
        <w:tc>
          <w:tcPr>
            <w:tcW w:w="1654" w:type="dxa"/>
            <w:tcMar/>
          </w:tcPr>
          <w:p w:rsidR="4F940BA9" w:rsidP="4F940BA9" w:rsidRDefault="4F940BA9" w14:paraId="54C1372C" w14:textId="58948BED">
            <w:pPr>
              <w:spacing w:before="0" w:beforeAutospacing="off" w:after="0" w:afterAutospacing="off"/>
              <w:ind w:left="-20" w:right="-20"/>
              <w:jc w:val="center"/>
            </w:pPr>
            <w:r w:rsidRPr="4F940BA9" w:rsidR="4F940BA9">
              <w:rPr>
                <w:rFonts w:ascii="Calibri" w:hAnsi="Calibri" w:eastAsia="Calibri" w:cs="Calibri"/>
                <w:sz w:val="22"/>
                <w:szCs w:val="22"/>
                <w:lang w:val="en-GB"/>
              </w:rPr>
              <w:t>not explicitly mentioned, but but it is implied that the study includes 14 commercial banks</w:t>
            </w:r>
          </w:p>
        </w:tc>
        <w:tc>
          <w:tcPr>
            <w:tcW w:w="1651" w:type="dxa"/>
            <w:tcMar/>
          </w:tcPr>
          <w:p w:rsidR="4F940BA9" w:rsidP="4F940BA9" w:rsidRDefault="4F940BA9" w14:paraId="2D817A4C" w14:textId="5D95ACB1">
            <w:pPr>
              <w:spacing w:before="0" w:beforeAutospacing="off" w:after="0" w:afterAutospacing="off"/>
              <w:ind w:left="-20" w:right="-20"/>
            </w:pPr>
            <w:r w:rsidRPr="4F940BA9" w:rsidR="4F940BA9">
              <w:rPr>
                <w:rFonts w:ascii="Calibri" w:hAnsi="Calibri" w:eastAsia="Calibri" w:cs="Calibri"/>
                <w:sz w:val="22"/>
                <w:szCs w:val="22"/>
                <w:lang w:val="en-GB"/>
              </w:rPr>
              <w:t>the annual reports of the 14 Chinese commercial banks</w:t>
            </w:r>
          </w:p>
        </w:tc>
      </w:tr>
      <w:tr w:rsidR="4F940BA9" w:rsidTr="4F940BA9" w14:paraId="43F7DEAC">
        <w:trPr>
          <w:trHeight w:val="300"/>
        </w:trPr>
        <w:tc>
          <w:tcPr>
            <w:tcW w:w="1126" w:type="dxa"/>
            <w:tcMar/>
          </w:tcPr>
          <w:p w:rsidR="06BC08FF" w:rsidP="4F940BA9" w:rsidRDefault="06BC08FF" w14:paraId="0BC265A9" w14:textId="7B7B1A15">
            <w:pPr>
              <w:pStyle w:val="Normal"/>
              <w:jc w:val="center"/>
              <w:rPr>
                <w:rFonts w:cs="Calibri"/>
                <w:sz w:val="20"/>
                <w:szCs w:val="20"/>
                <w:highlight w:val="yellow"/>
                <w:lang w:eastAsia="zh-CN"/>
              </w:rPr>
            </w:pPr>
            <w:r w:rsidRPr="4F940BA9" w:rsidR="06BC08FF">
              <w:rPr>
                <w:rFonts w:cs="Calibri"/>
                <w:sz w:val="20"/>
                <w:szCs w:val="20"/>
                <w:highlight w:val="yellow"/>
                <w:lang w:eastAsia="zh-CN"/>
              </w:rPr>
              <w:t>50</w:t>
            </w:r>
          </w:p>
        </w:tc>
        <w:tc>
          <w:tcPr>
            <w:tcW w:w="1287" w:type="dxa"/>
            <w:tcMar/>
          </w:tcPr>
          <w:p w:rsidR="4F940BA9" w:rsidP="4F940BA9" w:rsidRDefault="4F940BA9" w14:paraId="1BAB117A" w14:textId="6276FF2C">
            <w:pPr>
              <w:spacing w:before="0" w:beforeAutospacing="off" w:after="0" w:afterAutospacing="off"/>
              <w:ind w:left="-20" w:right="-20"/>
              <w:jc w:val="center"/>
              <w:rPr>
                <w:rFonts w:ascii="Calibri" w:hAnsi="Calibri" w:eastAsia="Calibri" w:cs="Calibri"/>
                <w:sz w:val="22"/>
                <w:szCs w:val="22"/>
                <w:highlight w:val="yellow"/>
                <w:lang w:val="en-GB"/>
              </w:rPr>
            </w:pPr>
            <w:r w:rsidRPr="4F940BA9" w:rsidR="4F940BA9">
              <w:rPr>
                <w:rFonts w:ascii="Calibri" w:hAnsi="Calibri" w:eastAsia="Calibri" w:cs="Calibri"/>
                <w:sz w:val="22"/>
                <w:szCs w:val="22"/>
                <w:highlight w:val="yellow"/>
                <w:lang w:val="en-GB"/>
              </w:rPr>
              <w:t xml:space="preserve">Iago Cotrim </w:t>
            </w:r>
            <w:r w:rsidRPr="4F940BA9" w:rsidR="4F940BA9">
              <w:rPr>
                <w:rFonts w:ascii="Calibri" w:hAnsi="Calibri" w:eastAsia="Calibri" w:cs="Calibri"/>
                <w:sz w:val="22"/>
                <w:szCs w:val="22"/>
                <w:highlight w:val="yellow"/>
                <w:lang w:val="en-GB"/>
              </w:rPr>
              <w:t>Henriques(</w:t>
            </w:r>
            <w:r w:rsidRPr="4F940BA9" w:rsidR="4F940BA9">
              <w:rPr>
                <w:rFonts w:ascii="Calibri" w:hAnsi="Calibri" w:eastAsia="Calibri" w:cs="Calibri"/>
                <w:sz w:val="22"/>
                <w:szCs w:val="22"/>
                <w:highlight w:val="yellow"/>
                <w:lang w:val="en-GB"/>
              </w:rPr>
              <w:t>2020)</w:t>
            </w:r>
          </w:p>
        </w:tc>
        <w:tc>
          <w:tcPr>
            <w:tcW w:w="1702" w:type="dxa"/>
            <w:tcMar/>
            <w:vAlign w:val="center"/>
          </w:tcPr>
          <w:p w:rsidR="4F940BA9" w:rsidP="4F940BA9" w:rsidRDefault="4F940BA9" w14:paraId="51400EC8" w14:textId="59E962EC">
            <w:pPr>
              <w:spacing w:before="0" w:beforeAutospacing="off" w:after="0" w:afterAutospacing="off"/>
              <w:ind w:left="-20" w:right="-20"/>
              <w:rPr>
                <w:rFonts w:ascii="Calibri" w:hAnsi="Calibri" w:eastAsia="Calibri" w:cs="Calibri"/>
                <w:color w:val="000000" w:themeColor="text1" w:themeTint="FF" w:themeShade="FF"/>
                <w:sz w:val="20"/>
                <w:szCs w:val="20"/>
                <w:highlight w:val="yellow"/>
                <w:lang w:val="en-GB"/>
              </w:rPr>
            </w:pPr>
            <w:r w:rsidRPr="4F940BA9" w:rsidR="4F940BA9">
              <w:rPr>
                <w:rFonts w:ascii="Calibri" w:hAnsi="Calibri" w:eastAsia="Calibri" w:cs="Calibri"/>
                <w:color w:val="000000" w:themeColor="text1" w:themeTint="FF" w:themeShade="FF"/>
                <w:sz w:val="20"/>
                <w:szCs w:val="20"/>
                <w:highlight w:val="yellow"/>
                <w:lang w:val="en-GB"/>
              </w:rPr>
              <w:t>n\a</w:t>
            </w:r>
            <w:r w:rsidRPr="4F940BA9" w:rsidR="2D8518A8">
              <w:rPr>
                <w:rFonts w:ascii="Calibri" w:hAnsi="Calibri" w:eastAsia="Calibri" w:cs="Calibri"/>
                <w:color w:val="000000" w:themeColor="text1" w:themeTint="FF" w:themeShade="FF"/>
                <w:sz w:val="20"/>
                <w:szCs w:val="20"/>
                <w:highlight w:val="yellow"/>
                <w:lang w:val="en-GB"/>
              </w:rPr>
              <w:t xml:space="preserve"> (literature review)</w:t>
            </w:r>
          </w:p>
        </w:tc>
        <w:tc>
          <w:tcPr>
            <w:tcW w:w="1575" w:type="dxa"/>
            <w:tcMar/>
            <w:vAlign w:val="center"/>
          </w:tcPr>
          <w:p w:rsidR="2D8518A8" w:rsidP="4F940BA9" w:rsidRDefault="2D8518A8" w14:paraId="76E4D27C" w14:textId="59E962EC">
            <w:pPr>
              <w:spacing w:before="0" w:beforeAutospacing="off" w:after="0" w:afterAutospacing="off"/>
              <w:ind w:left="-20" w:right="-20"/>
              <w:rPr>
                <w:rFonts w:ascii="Calibri" w:hAnsi="Calibri" w:eastAsia="Calibri" w:cs="Calibri"/>
                <w:color w:val="000000" w:themeColor="text1" w:themeTint="FF" w:themeShade="FF"/>
                <w:sz w:val="20"/>
                <w:szCs w:val="20"/>
                <w:highlight w:val="yellow"/>
                <w:lang w:val="en-GB"/>
              </w:rPr>
            </w:pPr>
            <w:r w:rsidRPr="4F940BA9" w:rsidR="2D8518A8">
              <w:rPr>
                <w:rFonts w:ascii="Calibri" w:hAnsi="Calibri" w:eastAsia="Calibri" w:cs="Calibri"/>
                <w:color w:val="000000" w:themeColor="text1" w:themeTint="FF" w:themeShade="FF"/>
                <w:sz w:val="20"/>
                <w:szCs w:val="20"/>
                <w:highlight w:val="yellow"/>
                <w:lang w:val="en-GB"/>
              </w:rPr>
              <w:t>n\a (literature review)</w:t>
            </w:r>
          </w:p>
          <w:p w:rsidR="4F940BA9" w:rsidP="4F940BA9" w:rsidRDefault="4F940BA9" w14:paraId="7590A2C0" w14:textId="58CD0472">
            <w:pPr>
              <w:pStyle w:val="Normal"/>
              <w:spacing w:before="0" w:beforeAutospacing="off" w:after="0" w:afterAutospacing="off"/>
              <w:ind w:left="-20" w:right="-20"/>
              <w:jc w:val="center"/>
              <w:rPr>
                <w:rFonts w:ascii="Calibri" w:hAnsi="Calibri" w:eastAsia="Calibri" w:cs="Calibri"/>
                <w:color w:val="000000" w:themeColor="text1" w:themeTint="FF" w:themeShade="FF"/>
                <w:sz w:val="20"/>
                <w:szCs w:val="20"/>
                <w:highlight w:val="yellow"/>
                <w:lang w:val="en-GB"/>
              </w:rPr>
            </w:pPr>
          </w:p>
        </w:tc>
        <w:tc>
          <w:tcPr>
            <w:tcW w:w="1654" w:type="dxa"/>
            <w:tcMar/>
          </w:tcPr>
          <w:p w:rsidR="2D8518A8" w:rsidP="4F940BA9" w:rsidRDefault="2D8518A8" w14:paraId="39724EDB" w14:textId="59E962EC">
            <w:pPr>
              <w:spacing w:before="0" w:beforeAutospacing="off" w:after="0" w:afterAutospacing="off"/>
              <w:ind w:left="-20" w:right="-20"/>
              <w:rPr>
                <w:rFonts w:ascii="Calibri" w:hAnsi="Calibri" w:eastAsia="Calibri" w:cs="Calibri"/>
                <w:color w:val="000000" w:themeColor="text1" w:themeTint="FF" w:themeShade="FF"/>
                <w:sz w:val="20"/>
                <w:szCs w:val="20"/>
                <w:highlight w:val="yellow"/>
                <w:lang w:val="en-GB"/>
              </w:rPr>
            </w:pPr>
            <w:r w:rsidRPr="4F940BA9" w:rsidR="2D8518A8">
              <w:rPr>
                <w:rFonts w:ascii="Calibri" w:hAnsi="Calibri" w:eastAsia="Calibri" w:cs="Calibri"/>
                <w:color w:val="000000" w:themeColor="text1" w:themeTint="FF" w:themeShade="FF"/>
                <w:sz w:val="20"/>
                <w:szCs w:val="20"/>
                <w:highlight w:val="yellow"/>
                <w:lang w:val="en-GB"/>
              </w:rPr>
              <w:t>n\a (literature review)</w:t>
            </w:r>
          </w:p>
          <w:p w:rsidR="4F940BA9" w:rsidP="4F940BA9" w:rsidRDefault="4F940BA9" w14:paraId="7038D0FD" w14:textId="27969070">
            <w:pPr>
              <w:pStyle w:val="Normal"/>
              <w:spacing w:before="0" w:beforeAutospacing="off" w:after="0" w:afterAutospacing="off"/>
              <w:ind w:left="-20" w:right="-20"/>
              <w:jc w:val="center"/>
              <w:rPr>
                <w:rFonts w:ascii="Calibri" w:hAnsi="Calibri" w:eastAsia="Calibri" w:cs="Calibri"/>
                <w:color w:val="000000" w:themeColor="text1" w:themeTint="FF" w:themeShade="FF"/>
                <w:sz w:val="20"/>
                <w:szCs w:val="20"/>
                <w:highlight w:val="yellow"/>
                <w:lang w:val="en-GB"/>
              </w:rPr>
            </w:pPr>
          </w:p>
        </w:tc>
        <w:tc>
          <w:tcPr>
            <w:tcW w:w="1651" w:type="dxa"/>
            <w:tcMar/>
          </w:tcPr>
          <w:p w:rsidR="2D8518A8" w:rsidP="4F940BA9" w:rsidRDefault="2D8518A8" w14:paraId="59848FC6" w14:textId="59E962EC">
            <w:pPr>
              <w:spacing w:before="0" w:beforeAutospacing="off" w:after="0" w:afterAutospacing="off"/>
              <w:ind w:left="-20" w:right="-20"/>
              <w:rPr>
                <w:rFonts w:ascii="Calibri" w:hAnsi="Calibri" w:eastAsia="Calibri" w:cs="Calibri"/>
                <w:color w:val="000000" w:themeColor="text1" w:themeTint="FF" w:themeShade="FF"/>
                <w:sz w:val="20"/>
                <w:szCs w:val="20"/>
                <w:highlight w:val="yellow"/>
                <w:lang w:val="en-GB"/>
              </w:rPr>
            </w:pPr>
            <w:r w:rsidRPr="4F940BA9" w:rsidR="2D8518A8">
              <w:rPr>
                <w:rFonts w:ascii="Calibri" w:hAnsi="Calibri" w:eastAsia="Calibri" w:cs="Calibri"/>
                <w:color w:val="000000" w:themeColor="text1" w:themeTint="FF" w:themeShade="FF"/>
                <w:sz w:val="20"/>
                <w:szCs w:val="20"/>
                <w:highlight w:val="yellow"/>
                <w:lang w:val="en-GB"/>
              </w:rPr>
              <w:t>n\a (literature review)</w:t>
            </w:r>
          </w:p>
          <w:p w:rsidR="4F940BA9" w:rsidP="4F940BA9" w:rsidRDefault="4F940BA9" w14:paraId="46CA6EDF" w14:textId="1506C5F3">
            <w:pPr>
              <w:pStyle w:val="Normal"/>
              <w:spacing w:before="0" w:beforeAutospacing="off" w:after="0" w:afterAutospacing="off"/>
              <w:ind w:left="-20" w:right="-20"/>
              <w:rPr>
                <w:rFonts w:ascii="Calibri" w:hAnsi="Calibri" w:eastAsia="Calibri" w:cs="Calibri"/>
                <w:sz w:val="20"/>
                <w:szCs w:val="20"/>
                <w:highlight w:val="yellow"/>
              </w:rPr>
            </w:pPr>
          </w:p>
        </w:tc>
      </w:tr>
      <w:tr w:rsidR="4F940BA9" w:rsidTr="4F940BA9" w14:paraId="7EE199DC">
        <w:trPr>
          <w:trHeight w:val="300"/>
        </w:trPr>
        <w:tc>
          <w:tcPr>
            <w:tcW w:w="1126" w:type="dxa"/>
            <w:tcMar/>
          </w:tcPr>
          <w:p w:rsidR="3E0D5BFA" w:rsidP="4F940BA9" w:rsidRDefault="3E0D5BFA" w14:paraId="7B66F5F2" w14:textId="47CDE1A2">
            <w:pPr>
              <w:pStyle w:val="Normal"/>
              <w:jc w:val="center"/>
              <w:rPr>
                <w:rFonts w:cs="Calibri"/>
                <w:sz w:val="20"/>
                <w:szCs w:val="20"/>
                <w:lang w:eastAsia="zh-CN"/>
              </w:rPr>
            </w:pPr>
            <w:r w:rsidRPr="4F940BA9" w:rsidR="3E0D5BFA">
              <w:rPr>
                <w:rFonts w:cs="Calibri"/>
                <w:sz w:val="20"/>
                <w:szCs w:val="20"/>
                <w:lang w:eastAsia="zh-CN"/>
              </w:rPr>
              <w:t>47</w:t>
            </w:r>
          </w:p>
        </w:tc>
        <w:tc>
          <w:tcPr>
            <w:tcW w:w="1287" w:type="dxa"/>
            <w:tcMar/>
          </w:tcPr>
          <w:p w:rsidR="4F940BA9" w:rsidP="4F940BA9" w:rsidRDefault="4F940BA9" w14:paraId="176D482D" w14:textId="000551F5">
            <w:pPr>
              <w:spacing w:before="0" w:beforeAutospacing="off" w:after="0" w:afterAutospacing="off"/>
              <w:ind w:left="-20" w:right="-20"/>
              <w:jc w:val="center"/>
            </w:pPr>
            <w:r w:rsidRPr="4F940BA9" w:rsidR="4F940BA9">
              <w:rPr>
                <w:rFonts w:ascii="Calibri" w:hAnsi="Calibri" w:eastAsia="Calibri" w:cs="Calibri"/>
                <w:sz w:val="21"/>
                <w:szCs w:val="21"/>
                <w:lang w:val="en-GB"/>
              </w:rPr>
              <w:t xml:space="preserve">Jorge Antunes(2024) </w:t>
            </w:r>
          </w:p>
        </w:tc>
        <w:tc>
          <w:tcPr>
            <w:tcW w:w="1702" w:type="dxa"/>
            <w:tcMar/>
            <w:vAlign w:val="center"/>
          </w:tcPr>
          <w:p w:rsidR="4F940BA9" w:rsidP="4F940BA9" w:rsidRDefault="4F940BA9" w14:paraId="3361A897" w14:textId="103FC2D2">
            <w:pPr>
              <w:spacing w:before="0" w:beforeAutospacing="off" w:after="0" w:afterAutospacing="off"/>
              <w:ind w:left="-20" w:right="-20"/>
            </w:pPr>
            <w:r w:rsidRPr="4F940BA9" w:rsidR="4F940BA9">
              <w:rPr>
                <w:rFonts w:ascii="Calibri" w:hAnsi="Calibri" w:eastAsia="Calibri" w:cs="Calibri"/>
                <w:sz w:val="22"/>
                <w:szCs w:val="22"/>
                <w:lang w:val="en-GB"/>
              </w:rPr>
              <w:t xml:space="preserve">39 commercial banks </w:t>
            </w:r>
          </w:p>
        </w:tc>
        <w:tc>
          <w:tcPr>
            <w:tcW w:w="1575" w:type="dxa"/>
            <w:tcMar/>
            <w:vAlign w:val="center"/>
          </w:tcPr>
          <w:p w:rsidR="4F940BA9" w:rsidP="4F940BA9" w:rsidRDefault="4F940BA9" w14:paraId="770A96CD" w14:textId="39A79B8D">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2010-2018</w:t>
            </w:r>
          </w:p>
        </w:tc>
        <w:tc>
          <w:tcPr>
            <w:tcW w:w="1654" w:type="dxa"/>
            <w:tcMar/>
          </w:tcPr>
          <w:p w:rsidR="4F940BA9" w:rsidP="4F940BA9" w:rsidRDefault="4F940BA9" w14:paraId="64DEACD3" w14:textId="626FEC82">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highlight w:val="yellow"/>
                <w:lang w:val="en-GB"/>
              </w:rPr>
              <w:t>Make sure</w:t>
            </w:r>
          </w:p>
          <w:p w:rsidR="4F940BA9" w:rsidP="4F940BA9" w:rsidRDefault="4F940BA9" w14:paraId="603F75C0" w14:textId="0DD4955C">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39*9</w:t>
            </w:r>
          </w:p>
        </w:tc>
        <w:tc>
          <w:tcPr>
            <w:tcW w:w="1651" w:type="dxa"/>
            <w:tcMar/>
          </w:tcPr>
          <w:p w:rsidR="4F940BA9" w:rsidP="4F940BA9" w:rsidRDefault="4F940BA9" w14:paraId="02FC416A" w14:textId="06A3BCC5">
            <w:pPr>
              <w:spacing w:before="0" w:beforeAutospacing="off" w:after="0" w:afterAutospacing="off"/>
              <w:ind w:left="-20" w:right="-20"/>
            </w:pPr>
            <w:r w:rsidRPr="4F940BA9" w:rsidR="4F940BA9">
              <w:rPr>
                <w:rFonts w:ascii="Calibri" w:hAnsi="Calibri" w:eastAsia="Calibri" w:cs="Calibri"/>
                <w:sz w:val="22"/>
                <w:szCs w:val="22"/>
                <w:lang w:val="en-GB"/>
              </w:rPr>
              <w:t>The Fithconnect database</w:t>
            </w:r>
          </w:p>
        </w:tc>
      </w:tr>
      <w:tr w:rsidR="4F940BA9" w:rsidTr="4F940BA9" w14:paraId="6B315CA1">
        <w:trPr>
          <w:trHeight w:val="300"/>
        </w:trPr>
        <w:tc>
          <w:tcPr>
            <w:tcW w:w="1126" w:type="dxa"/>
            <w:tcMar/>
          </w:tcPr>
          <w:p w:rsidR="2FBA8B00" w:rsidP="4F940BA9" w:rsidRDefault="2FBA8B00" w14:paraId="26D35512" w14:textId="52449711">
            <w:pPr>
              <w:pStyle w:val="Normal"/>
              <w:jc w:val="center"/>
              <w:rPr>
                <w:rFonts w:cs="Calibri"/>
                <w:sz w:val="20"/>
                <w:szCs w:val="20"/>
                <w:lang w:eastAsia="zh-CN"/>
              </w:rPr>
            </w:pPr>
            <w:r w:rsidRPr="4F940BA9" w:rsidR="2FBA8B00">
              <w:rPr>
                <w:rFonts w:cs="Calibri"/>
                <w:sz w:val="20"/>
                <w:szCs w:val="20"/>
                <w:lang w:eastAsia="zh-CN"/>
              </w:rPr>
              <w:t>34</w:t>
            </w:r>
          </w:p>
        </w:tc>
        <w:tc>
          <w:tcPr>
            <w:tcW w:w="1287" w:type="dxa"/>
            <w:tcMar/>
          </w:tcPr>
          <w:p w:rsidR="4F940BA9" w:rsidP="4F940BA9" w:rsidRDefault="4F940BA9" w14:paraId="192A0DD3" w14:textId="757AE920">
            <w:pPr>
              <w:spacing w:before="0" w:beforeAutospacing="off" w:after="0" w:afterAutospacing="off"/>
              <w:ind w:left="-20" w:right="-20"/>
              <w:jc w:val="center"/>
            </w:pPr>
            <w:r w:rsidRPr="4F940BA9" w:rsidR="4F940BA9">
              <w:rPr>
                <w:rFonts w:ascii="Calibri" w:hAnsi="Calibri" w:eastAsia="Calibri" w:cs="Calibri"/>
                <w:sz w:val="24"/>
                <w:szCs w:val="24"/>
              </w:rPr>
              <w:t>Yongjun Li(2019)</w:t>
            </w:r>
          </w:p>
        </w:tc>
        <w:tc>
          <w:tcPr>
            <w:tcW w:w="1702" w:type="dxa"/>
            <w:tcMar/>
            <w:vAlign w:val="center"/>
          </w:tcPr>
          <w:p w:rsidR="4F940BA9" w:rsidP="4F940BA9" w:rsidRDefault="4F940BA9" w14:paraId="4542FC08" w14:textId="767BCA6C">
            <w:pPr>
              <w:spacing w:before="0" w:beforeAutospacing="off" w:after="0" w:afterAutospacing="off"/>
              <w:ind w:left="-20" w:right="-20"/>
            </w:pPr>
            <w:r w:rsidRPr="4F940BA9" w:rsidR="4F940BA9">
              <w:rPr>
                <w:rFonts w:ascii="Calibri" w:hAnsi="Calibri" w:eastAsia="Calibri" w:cs="Calibri"/>
                <w:sz w:val="22"/>
                <w:szCs w:val="22"/>
                <w:lang w:val="en-GB"/>
              </w:rPr>
              <w:t>16 stock-listed commercial banks in China</w:t>
            </w:r>
          </w:p>
        </w:tc>
        <w:tc>
          <w:tcPr>
            <w:tcW w:w="1575" w:type="dxa"/>
            <w:tcMar/>
            <w:vAlign w:val="center"/>
          </w:tcPr>
          <w:p w:rsidR="4F940BA9" w:rsidP="4F940BA9" w:rsidRDefault="4F940BA9" w14:paraId="2F895F0B" w14:textId="6C611E08">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Not mentioned</w:t>
            </w:r>
          </w:p>
        </w:tc>
        <w:tc>
          <w:tcPr>
            <w:tcW w:w="1654" w:type="dxa"/>
            <w:tcMar/>
          </w:tcPr>
          <w:p w:rsidR="4F940BA9" w:rsidP="4F940BA9" w:rsidRDefault="4F940BA9" w14:paraId="5C289B7A" w14:textId="2F0737FE">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highlight w:val="yellow"/>
                <w:lang w:val="en-GB"/>
              </w:rPr>
              <w:t>?</w:t>
            </w:r>
          </w:p>
        </w:tc>
        <w:tc>
          <w:tcPr>
            <w:tcW w:w="1651" w:type="dxa"/>
            <w:tcMar/>
          </w:tcPr>
          <w:p w:rsidR="4F940BA9" w:rsidP="4F940BA9" w:rsidRDefault="4F940BA9" w14:paraId="3D722005" w14:textId="247FB06F">
            <w:pPr>
              <w:spacing w:before="0" w:beforeAutospacing="off" w:after="0" w:afterAutospacing="off"/>
              <w:ind w:left="-20" w:right="-20"/>
            </w:pPr>
            <w:r w:rsidRPr="4F940BA9" w:rsidR="4F940BA9">
              <w:rPr>
                <w:rFonts w:ascii="Times New Roman" w:hAnsi="Times New Roman" w:eastAsia="Times New Roman" w:cs="Times New Roman"/>
                <w:sz w:val="21"/>
                <w:szCs w:val="21"/>
              </w:rPr>
              <w:t>from Bank-scope resource package</w:t>
            </w:r>
          </w:p>
          <w:p w:rsidR="4F940BA9" w:rsidP="4F940BA9" w:rsidRDefault="4F940BA9" w14:paraId="34C6A448" w14:textId="56261CE4">
            <w:pPr>
              <w:spacing w:before="0" w:beforeAutospacing="off" w:after="0" w:afterAutospacing="off"/>
              <w:ind w:left="-20" w:right="-20"/>
            </w:pPr>
            <w:r w:rsidRPr="4F940BA9" w:rsidR="4F940BA9">
              <w:rPr>
                <w:rFonts w:ascii="Times New Roman" w:hAnsi="Times New Roman" w:eastAsia="Times New Roman" w:cs="Times New Roman"/>
                <w:sz w:val="21"/>
                <w:szCs w:val="21"/>
              </w:rPr>
              <w:t>produced by Bureau Van Dijk (BVD), Yearly</w:t>
            </w:r>
          </w:p>
          <w:p w:rsidR="4F940BA9" w:rsidP="4F940BA9" w:rsidRDefault="4F940BA9" w14:paraId="7E4590D4" w14:textId="0F19BF1D">
            <w:pPr>
              <w:spacing w:before="0" w:beforeAutospacing="off" w:after="0" w:afterAutospacing="off"/>
              <w:ind w:left="-20" w:right="-20"/>
            </w:pPr>
            <w:r w:rsidRPr="4F940BA9" w:rsidR="4F940BA9">
              <w:rPr>
                <w:rFonts w:ascii="Times New Roman" w:hAnsi="Times New Roman" w:eastAsia="Times New Roman" w:cs="Times New Roman"/>
                <w:sz w:val="21"/>
                <w:szCs w:val="21"/>
              </w:rPr>
              <w:t>Statistics Book of China’s Finance and the annual</w:t>
            </w:r>
          </w:p>
          <w:p w:rsidR="4F940BA9" w:rsidP="4F940BA9" w:rsidRDefault="4F940BA9" w14:paraId="5AAF8568" w14:textId="76003C0B">
            <w:pPr>
              <w:spacing w:before="0" w:beforeAutospacing="off" w:after="0" w:afterAutospacing="off"/>
              <w:ind w:left="-20" w:right="-20"/>
            </w:pPr>
            <w:r w:rsidRPr="4F940BA9" w:rsidR="4F940BA9">
              <w:rPr>
                <w:rFonts w:ascii="Times New Roman" w:hAnsi="Times New Roman" w:eastAsia="Times New Roman" w:cs="Times New Roman"/>
                <w:sz w:val="21"/>
                <w:szCs w:val="21"/>
              </w:rPr>
              <w:t>reports of the banks.</w:t>
            </w:r>
          </w:p>
        </w:tc>
      </w:tr>
      <w:tr w:rsidR="4F940BA9" w:rsidTr="4F940BA9" w14:paraId="7BF765E5">
        <w:trPr>
          <w:trHeight w:val="300"/>
        </w:trPr>
        <w:tc>
          <w:tcPr>
            <w:tcW w:w="1126" w:type="dxa"/>
            <w:tcMar/>
          </w:tcPr>
          <w:p w:rsidR="4FD5B298" w:rsidP="4F940BA9" w:rsidRDefault="4FD5B298" w14:paraId="74A99094" w14:textId="602BAC24">
            <w:pPr>
              <w:pStyle w:val="Normal"/>
              <w:jc w:val="center"/>
              <w:rPr>
                <w:rFonts w:cs="Calibri"/>
                <w:sz w:val="20"/>
                <w:szCs w:val="20"/>
                <w:lang w:eastAsia="zh-CN"/>
              </w:rPr>
            </w:pPr>
            <w:r w:rsidRPr="4F940BA9" w:rsidR="4FD5B298">
              <w:rPr>
                <w:rFonts w:cs="Calibri"/>
                <w:sz w:val="20"/>
                <w:szCs w:val="20"/>
                <w:lang w:eastAsia="zh-CN"/>
              </w:rPr>
              <w:t>39</w:t>
            </w:r>
          </w:p>
        </w:tc>
        <w:tc>
          <w:tcPr>
            <w:tcW w:w="1287" w:type="dxa"/>
            <w:tcMar/>
          </w:tcPr>
          <w:p w:rsidR="4F940BA9" w:rsidP="4F940BA9" w:rsidRDefault="4F940BA9" w14:paraId="5531E926" w14:textId="61E25801">
            <w:pPr>
              <w:spacing w:before="0" w:beforeAutospacing="off" w:after="0" w:afterAutospacing="off"/>
              <w:ind w:left="-20" w:right="-20"/>
            </w:pPr>
            <w:r w:rsidRPr="4F940BA9" w:rsidR="4F940BA9">
              <w:rPr>
                <w:rFonts w:ascii="Calibri" w:hAnsi="Calibri" w:eastAsia="Calibri" w:cs="Calibri"/>
                <w:sz w:val="22"/>
                <w:szCs w:val="22"/>
                <w:lang w:val="en-GB"/>
              </w:rPr>
              <w:t>Tai-Hsin Huang a, Chung-I Lin b,</w:t>
            </w:r>
            <w:r w:rsidRPr="4F940BA9" w:rsidR="4F940BA9">
              <w:rPr>
                <w:rFonts w:ascii="Segoe UI Symbol" w:hAnsi="Segoe UI Symbol" w:eastAsia="Segoe UI Symbol" w:cs="Segoe UI Symbol"/>
                <w:sz w:val="22"/>
                <w:szCs w:val="22"/>
                <w:lang w:val="en-GB"/>
              </w:rPr>
              <w:t>⁎</w:t>
            </w:r>
            <w:r w:rsidRPr="4F940BA9" w:rsidR="4F940BA9">
              <w:rPr>
                <w:rFonts w:ascii="Calibri" w:hAnsi="Calibri" w:eastAsia="Calibri" w:cs="Calibri"/>
                <w:sz w:val="22"/>
                <w:szCs w:val="22"/>
                <w:lang w:val="en-GB"/>
              </w:rPr>
              <w:t>, Kuan-Chen Chenc(2017)</w:t>
            </w:r>
          </w:p>
        </w:tc>
        <w:tc>
          <w:tcPr>
            <w:tcW w:w="1702" w:type="dxa"/>
            <w:tcMar/>
            <w:vAlign w:val="center"/>
          </w:tcPr>
          <w:p w:rsidR="4F940BA9" w:rsidP="4F940BA9" w:rsidRDefault="4F940BA9" w14:paraId="130A8C14" w14:textId="0D1F85DE">
            <w:pPr>
              <w:spacing w:before="0" w:beforeAutospacing="off" w:after="0" w:afterAutospacing="off"/>
              <w:ind w:left="-20" w:right="-20"/>
            </w:pPr>
            <w:r w:rsidRPr="4F940BA9" w:rsidR="4F940BA9">
              <w:rPr>
                <w:rFonts w:ascii="Calibri" w:hAnsi="Calibri" w:eastAsia="Calibri" w:cs="Calibri"/>
                <w:sz w:val="22"/>
                <w:szCs w:val="22"/>
                <w:lang w:val="en-GB"/>
              </w:rPr>
              <w:t>172 Chinese commercial banks</w:t>
            </w:r>
          </w:p>
        </w:tc>
        <w:tc>
          <w:tcPr>
            <w:tcW w:w="1575" w:type="dxa"/>
            <w:tcMar/>
            <w:vAlign w:val="center"/>
          </w:tcPr>
          <w:p w:rsidR="4F940BA9" w:rsidP="4F940BA9" w:rsidRDefault="4F940BA9" w14:paraId="41744528" w14:textId="0CEF3A43">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2002-2015</w:t>
            </w:r>
          </w:p>
        </w:tc>
        <w:tc>
          <w:tcPr>
            <w:tcW w:w="1654" w:type="dxa"/>
            <w:tcMar/>
          </w:tcPr>
          <w:p w:rsidR="4F940BA9" w:rsidP="4F940BA9" w:rsidRDefault="4F940BA9" w14:paraId="1F69CC70" w14:textId="3F0FDF5A">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lang w:val="en-GB"/>
              </w:rPr>
              <w:t>2408</w:t>
            </w:r>
          </w:p>
        </w:tc>
        <w:tc>
          <w:tcPr>
            <w:tcW w:w="1651" w:type="dxa"/>
            <w:tcMar/>
          </w:tcPr>
          <w:p w:rsidR="4F940BA9" w:rsidP="4F940BA9" w:rsidRDefault="4F940BA9" w14:paraId="3910B36D" w14:textId="7877E333">
            <w:pPr>
              <w:spacing w:before="0" w:beforeAutospacing="off" w:after="0" w:afterAutospacing="off"/>
              <w:ind w:left="-20" w:right="-20"/>
            </w:pPr>
            <w:r w:rsidRPr="4F940BA9" w:rsidR="4F940BA9">
              <w:rPr>
                <w:rFonts w:ascii="Calibri" w:hAnsi="Calibri" w:eastAsia="Calibri" w:cs="Calibri"/>
                <w:sz w:val="22"/>
                <w:szCs w:val="22"/>
                <w:lang w:val="en-GB"/>
              </w:rPr>
              <w:t>compiled from unconsolidated financial statements of BankScope, which is Fitch's International Bank Database.</w:t>
            </w:r>
          </w:p>
        </w:tc>
      </w:tr>
      <w:tr w:rsidR="4F940BA9" w:rsidTr="4F940BA9" w14:paraId="40500CDB">
        <w:trPr>
          <w:trHeight w:val="300"/>
        </w:trPr>
        <w:tc>
          <w:tcPr>
            <w:tcW w:w="1126" w:type="dxa"/>
            <w:tcMar/>
          </w:tcPr>
          <w:p w:rsidR="5398088D" w:rsidP="4F940BA9" w:rsidRDefault="5398088D" w14:paraId="0EA3D7B7" w14:textId="6CD54357">
            <w:pPr>
              <w:pStyle w:val="Normal"/>
              <w:jc w:val="center"/>
              <w:rPr>
                <w:rFonts w:cs="Calibri"/>
                <w:sz w:val="20"/>
                <w:szCs w:val="20"/>
                <w:lang w:eastAsia="zh-CN"/>
              </w:rPr>
            </w:pPr>
            <w:r w:rsidRPr="4F940BA9" w:rsidR="5398088D">
              <w:rPr>
                <w:rFonts w:cs="Calibri"/>
                <w:sz w:val="20"/>
                <w:szCs w:val="20"/>
                <w:lang w:eastAsia="zh-CN"/>
              </w:rPr>
              <w:t>24</w:t>
            </w:r>
          </w:p>
        </w:tc>
        <w:tc>
          <w:tcPr>
            <w:tcW w:w="1287" w:type="dxa"/>
            <w:tcMar/>
          </w:tcPr>
          <w:p w:rsidR="4F940BA9" w:rsidP="4F940BA9" w:rsidRDefault="4F940BA9" w14:paraId="7FEDB4A8" w14:textId="7A90CBA9">
            <w:pPr>
              <w:spacing w:before="0" w:beforeAutospacing="off" w:after="0" w:afterAutospacing="off"/>
              <w:ind w:left="-20" w:right="-20"/>
              <w:jc w:val="center"/>
            </w:pPr>
            <w:r w:rsidRPr="4F940BA9" w:rsidR="4F940BA9">
              <w:rPr>
                <w:rFonts w:ascii="Arial" w:hAnsi="Arial" w:eastAsia="Arial" w:cs="Arial"/>
                <w:color w:val="222222"/>
                <w:sz w:val="20"/>
                <w:szCs w:val="20"/>
                <w:highlight w:val="green"/>
                <w:lang w:val="en-GB"/>
              </w:rPr>
              <w:t xml:space="preserve">Shabani, P. and Akbarpour Shirazi, M., (2023) </w:t>
            </w:r>
          </w:p>
        </w:tc>
        <w:tc>
          <w:tcPr>
            <w:tcW w:w="1702" w:type="dxa"/>
            <w:tcMar/>
            <w:vAlign w:val="center"/>
          </w:tcPr>
          <w:p w:rsidR="4F940BA9" w:rsidP="4F940BA9" w:rsidRDefault="4F940BA9" w14:paraId="6BFC4F69" w14:textId="16A2EDF5">
            <w:pPr>
              <w:spacing w:before="0" w:beforeAutospacing="off" w:after="0" w:afterAutospacing="off"/>
              <w:ind w:left="-20" w:right="-20"/>
            </w:pPr>
            <w:r w:rsidRPr="4F940BA9" w:rsidR="4F940BA9">
              <w:rPr>
                <w:rFonts w:ascii="Times New Roman" w:hAnsi="Times New Roman" w:eastAsia="Times New Roman" w:cs="Times New Roman"/>
                <w:sz w:val="19"/>
                <w:szCs w:val="19"/>
                <w:highlight w:val="green"/>
              </w:rPr>
              <w:t>38 branches of an Iranian commercial banks</w:t>
            </w:r>
          </w:p>
        </w:tc>
        <w:tc>
          <w:tcPr>
            <w:tcW w:w="1575" w:type="dxa"/>
            <w:tcMar/>
            <w:vAlign w:val="center"/>
          </w:tcPr>
          <w:p w:rsidR="4F940BA9" w:rsidP="4F940BA9" w:rsidRDefault="4F940BA9" w14:paraId="1FC6FEB7" w14:textId="665BF154">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highlight w:val="green"/>
                <w:lang w:val="en-GB"/>
              </w:rPr>
              <w:t>2016-2020</w:t>
            </w:r>
          </w:p>
        </w:tc>
        <w:tc>
          <w:tcPr>
            <w:tcW w:w="1654" w:type="dxa"/>
            <w:tcMar/>
          </w:tcPr>
          <w:p w:rsidR="4F940BA9" w:rsidP="4F940BA9" w:rsidRDefault="4F940BA9" w14:paraId="4F182D2B" w14:textId="2CD7EBCC">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highlight w:val="green"/>
                <w:lang w:val="en-GB"/>
              </w:rPr>
              <w:t>190</w:t>
            </w:r>
          </w:p>
        </w:tc>
        <w:tc>
          <w:tcPr>
            <w:tcW w:w="1651" w:type="dxa"/>
            <w:tcMar/>
          </w:tcPr>
          <w:p w:rsidR="4F940BA9" w:rsidP="4F940BA9" w:rsidRDefault="4F940BA9" w14:paraId="31C7E51D" w14:textId="0DFD3FF4">
            <w:pPr>
              <w:spacing w:before="0" w:beforeAutospacing="off" w:after="0" w:afterAutospacing="off"/>
              <w:ind w:left="-20" w:right="-20"/>
              <w:rPr>
                <w:rFonts w:ascii="Calibri" w:hAnsi="Calibri" w:eastAsia="Calibri" w:cs="Calibri"/>
                <w:sz w:val="20"/>
                <w:szCs w:val="20"/>
                <w:highlight w:val="green"/>
              </w:rPr>
            </w:pPr>
          </w:p>
        </w:tc>
      </w:tr>
      <w:tr w:rsidR="4F940BA9" w:rsidTr="4F940BA9" w14:paraId="53F09225">
        <w:trPr>
          <w:trHeight w:val="300"/>
        </w:trPr>
        <w:tc>
          <w:tcPr>
            <w:tcW w:w="1126" w:type="dxa"/>
            <w:tcMar/>
          </w:tcPr>
          <w:p w:rsidR="44392807" w:rsidP="4F940BA9" w:rsidRDefault="44392807" w14:paraId="380BBC96" w14:textId="44F0E540">
            <w:pPr>
              <w:pStyle w:val="Normal"/>
              <w:jc w:val="center"/>
              <w:rPr>
                <w:rFonts w:cs="Calibri"/>
                <w:sz w:val="20"/>
                <w:szCs w:val="20"/>
                <w:lang w:eastAsia="zh-CN"/>
              </w:rPr>
            </w:pPr>
            <w:r w:rsidRPr="4F940BA9" w:rsidR="44392807">
              <w:rPr>
                <w:rFonts w:cs="Calibri"/>
                <w:sz w:val="20"/>
                <w:szCs w:val="20"/>
                <w:lang w:eastAsia="zh-CN"/>
              </w:rPr>
              <w:t>49</w:t>
            </w:r>
          </w:p>
        </w:tc>
        <w:tc>
          <w:tcPr>
            <w:tcW w:w="1287" w:type="dxa"/>
            <w:tcMar/>
          </w:tcPr>
          <w:p w:rsidR="4F940BA9" w:rsidP="4F940BA9" w:rsidRDefault="4F940BA9" w14:paraId="74108ED4" w14:textId="1E84CDCA">
            <w:pPr>
              <w:spacing w:before="0" w:beforeAutospacing="off" w:after="0" w:afterAutospacing="off"/>
              <w:ind w:left="-20" w:right="-20"/>
              <w:jc w:val="center"/>
            </w:pPr>
            <w:r w:rsidRPr="4F940BA9" w:rsidR="4F940BA9">
              <w:rPr>
                <w:rFonts w:ascii="Arial" w:hAnsi="Arial" w:eastAsia="Arial" w:cs="Arial"/>
                <w:color w:val="222222"/>
                <w:sz w:val="20"/>
                <w:szCs w:val="20"/>
                <w:highlight w:val="green"/>
                <w:lang w:val="en-GB"/>
              </w:rPr>
              <w:t>Lin, T.T., Lee, C.C. and Chiu, T.F., (2009)</w:t>
            </w:r>
            <w:r w:rsidRPr="4F940BA9" w:rsidR="4F940BA9">
              <w:rPr>
                <w:rFonts w:ascii="Arial" w:hAnsi="Arial" w:eastAsia="Arial" w:cs="Arial"/>
                <w:color w:val="222222"/>
                <w:sz w:val="20"/>
                <w:szCs w:val="20"/>
                <w:lang w:val="en-GB"/>
              </w:rPr>
              <w:t xml:space="preserve"> </w:t>
            </w:r>
          </w:p>
        </w:tc>
        <w:tc>
          <w:tcPr>
            <w:tcW w:w="1702" w:type="dxa"/>
            <w:tcMar/>
            <w:vAlign w:val="center"/>
          </w:tcPr>
          <w:p w:rsidR="4F940BA9" w:rsidP="4F940BA9" w:rsidRDefault="4F940BA9" w14:paraId="1A6CD5EF" w14:textId="434D499F">
            <w:pPr>
              <w:spacing w:before="0" w:beforeAutospacing="off" w:after="0" w:afterAutospacing="off"/>
              <w:ind w:left="-20" w:right="-20"/>
            </w:pPr>
            <w:r w:rsidRPr="4F940BA9" w:rsidR="4F940BA9">
              <w:rPr>
                <w:rFonts w:ascii="Calibri" w:hAnsi="Calibri" w:eastAsia="Calibri" w:cs="Calibri"/>
                <w:color w:val="000000" w:themeColor="text1" w:themeTint="FF" w:themeShade="FF"/>
                <w:sz w:val="20"/>
                <w:szCs w:val="20"/>
                <w:highlight w:val="green"/>
                <w:lang w:val="en-GB"/>
              </w:rPr>
              <w:t>117</w:t>
            </w:r>
          </w:p>
        </w:tc>
        <w:tc>
          <w:tcPr>
            <w:tcW w:w="1575" w:type="dxa"/>
            <w:tcMar/>
            <w:vAlign w:val="center"/>
          </w:tcPr>
          <w:p w:rsidR="4F940BA9" w:rsidP="4F940BA9" w:rsidRDefault="4F940BA9" w14:paraId="496A7536" w14:textId="11C61EF2">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highlight w:val="green"/>
                <w:lang w:val="en-GB"/>
              </w:rPr>
              <w:t>2006</w:t>
            </w:r>
          </w:p>
        </w:tc>
        <w:tc>
          <w:tcPr>
            <w:tcW w:w="1654" w:type="dxa"/>
            <w:tcMar/>
          </w:tcPr>
          <w:p w:rsidR="4F940BA9" w:rsidP="4F940BA9" w:rsidRDefault="4F940BA9" w14:paraId="638B295D" w14:textId="3250AFF1">
            <w:pPr>
              <w:spacing w:before="0" w:beforeAutospacing="off" w:after="0" w:afterAutospacing="off"/>
              <w:ind w:left="-20" w:right="-20"/>
              <w:jc w:val="center"/>
            </w:pPr>
            <w:r w:rsidRPr="4F940BA9" w:rsidR="4F940BA9">
              <w:rPr>
                <w:rFonts w:ascii="Calibri" w:hAnsi="Calibri" w:eastAsia="Calibri" w:cs="Calibri"/>
                <w:color w:val="000000" w:themeColor="text1" w:themeTint="FF" w:themeShade="FF"/>
                <w:sz w:val="20"/>
                <w:szCs w:val="20"/>
                <w:highlight w:val="green"/>
                <w:lang w:val="en-GB"/>
              </w:rPr>
              <w:t>117</w:t>
            </w:r>
          </w:p>
        </w:tc>
        <w:tc>
          <w:tcPr>
            <w:tcW w:w="1651" w:type="dxa"/>
            <w:tcMar/>
          </w:tcPr>
          <w:p w:rsidR="4F940BA9" w:rsidP="4F940BA9" w:rsidRDefault="4F940BA9" w14:paraId="14A37B0C" w14:textId="1E3CBF3E">
            <w:pPr>
              <w:spacing w:before="0" w:beforeAutospacing="off" w:after="0" w:afterAutospacing="off"/>
              <w:ind w:left="-20" w:right="-20"/>
            </w:pPr>
            <w:r w:rsidRPr="4F940BA9" w:rsidR="4F940BA9">
              <w:rPr>
                <w:rFonts w:ascii="Times New Roman" w:hAnsi="Times New Roman" w:eastAsia="Times New Roman" w:cs="Times New Roman"/>
                <w:sz w:val="16"/>
                <w:szCs w:val="16"/>
                <w:highlight w:val="green"/>
              </w:rPr>
              <w:t>the internal operation management</w:t>
            </w:r>
          </w:p>
          <w:p w:rsidR="4F940BA9" w:rsidP="4F940BA9" w:rsidRDefault="4F940BA9" w14:paraId="7C0C251D" w14:textId="52AAFBF9">
            <w:pPr>
              <w:spacing w:before="0" w:beforeAutospacing="off" w:after="0" w:afterAutospacing="off"/>
              <w:ind w:left="-20" w:right="-20"/>
            </w:pPr>
            <w:r w:rsidRPr="4F940BA9" w:rsidR="4F940BA9">
              <w:rPr>
                <w:rFonts w:ascii="Times New Roman" w:hAnsi="Times New Roman" w:eastAsia="Times New Roman" w:cs="Times New Roman"/>
                <w:sz w:val="16"/>
                <w:szCs w:val="16"/>
                <w:highlight w:val="green"/>
              </w:rPr>
              <w:t>statistic form</w:t>
            </w:r>
          </w:p>
        </w:tc>
      </w:tr>
    </w:tbl>
    <w:p w:rsidR="4F940BA9" w:rsidRDefault="4F940BA9" w14:paraId="180B96BF" w14:textId="5C85ED2D"/>
    <w:p w:rsidR="002101FF" w:rsidP="002101FF" w:rsidRDefault="002101FF" w14:paraId="2383821D" w14:textId="77777777">
      <w:pPr>
        <w:pStyle w:val="ListParagraph"/>
        <w:ind w:left="360"/>
        <w:jc w:val="both"/>
        <w:rPr>
          <w:rFonts w:ascii="Times New Roman" w:hAnsi="Times New Roman" w:cs="Times New Roman"/>
          <w:sz w:val="24"/>
          <w:szCs w:val="24"/>
        </w:rPr>
      </w:pPr>
    </w:p>
    <w:p w:rsidR="002101FF" w:rsidP="002101FF" w:rsidRDefault="002101FF" w14:paraId="07235813" w14:textId="7777777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ADVICE: Once you have completed reading the papers you selected for your literature survey and filled the above tables (Tables 1-7), </w:t>
      </w:r>
      <w:r w:rsidRPr="00410D01">
        <w:rPr>
          <w:rFonts w:ascii="Times New Roman" w:hAnsi="Times New Roman" w:cs="Times New Roman"/>
          <w:sz w:val="24"/>
          <w:szCs w:val="24"/>
          <w:u w:val="single"/>
        </w:rPr>
        <w:t>analyse each table separately and write a paragraph or several on each table including a classification of the literature related to each of these tables. Then, craft a story to tell the reader based on these analyses of the tables. Remember, writing papers / reports / dissertations is all about crafting interesting stories to tell the reader based on facts / empirical evidence!</w:t>
      </w:r>
    </w:p>
    <w:p w:rsidR="002101FF" w:rsidP="002101FF" w:rsidRDefault="002101FF" w14:paraId="71F67397" w14:textId="77777777">
      <w:pPr>
        <w:rPr>
          <w:rFonts w:hint="eastAsia"/>
        </w:rPr>
      </w:pPr>
    </w:p>
    <w:p w:rsidRPr="002101FF" w:rsidR="003007ED" w:rsidP="002101FF" w:rsidRDefault="003007ED" w14:paraId="415E1A5B" w14:textId="77777777">
      <w:pPr>
        <w:rPr>
          <w:rFonts w:hint="eastAsia"/>
        </w:rPr>
      </w:pPr>
    </w:p>
    <w:p w:rsidR="2B7FFB25" w:rsidP="2B7FFB25" w:rsidRDefault="2B7FFB25" w14:paraId="4DE8C4E8" w14:textId="2FF0EA61">
      <w:pPr>
        <w:rPr>
          <w:rFonts w:hint="eastAsia"/>
        </w:rPr>
      </w:pPr>
    </w:p>
    <w:sectPr w:rsidR="2B7FFB25" w:rsidSect="001E5D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328735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BF"/>
    <w:rsid w:val="0000262B"/>
    <w:rsid w:val="00004F5B"/>
    <w:rsid w:val="00005981"/>
    <w:rsid w:val="00005D83"/>
    <w:rsid w:val="0004144A"/>
    <w:rsid w:val="000676E4"/>
    <w:rsid w:val="00083C23"/>
    <w:rsid w:val="00086A32"/>
    <w:rsid w:val="000C6C61"/>
    <w:rsid w:val="000C7AF8"/>
    <w:rsid w:val="00134D53"/>
    <w:rsid w:val="00136C8B"/>
    <w:rsid w:val="00144610"/>
    <w:rsid w:val="00180871"/>
    <w:rsid w:val="00182984"/>
    <w:rsid w:val="00183AFE"/>
    <w:rsid w:val="001A788A"/>
    <w:rsid w:val="001B3025"/>
    <w:rsid w:val="001B7D3C"/>
    <w:rsid w:val="001C0C06"/>
    <w:rsid w:val="001C4F47"/>
    <w:rsid w:val="001D78CE"/>
    <w:rsid w:val="001E5681"/>
    <w:rsid w:val="001E5D91"/>
    <w:rsid w:val="001E7163"/>
    <w:rsid w:val="001F15A1"/>
    <w:rsid w:val="002101FF"/>
    <w:rsid w:val="00222F02"/>
    <w:rsid w:val="00225A9D"/>
    <w:rsid w:val="00236108"/>
    <w:rsid w:val="0024115A"/>
    <w:rsid w:val="0024630E"/>
    <w:rsid w:val="002651B2"/>
    <w:rsid w:val="00282F55"/>
    <w:rsid w:val="002B0152"/>
    <w:rsid w:val="002B219F"/>
    <w:rsid w:val="002C63B6"/>
    <w:rsid w:val="003007ED"/>
    <w:rsid w:val="00303581"/>
    <w:rsid w:val="003113FE"/>
    <w:rsid w:val="00322EC5"/>
    <w:rsid w:val="0032393D"/>
    <w:rsid w:val="00327E99"/>
    <w:rsid w:val="00330A32"/>
    <w:rsid w:val="00331E11"/>
    <w:rsid w:val="00334404"/>
    <w:rsid w:val="00347D72"/>
    <w:rsid w:val="003706E1"/>
    <w:rsid w:val="00370C78"/>
    <w:rsid w:val="0038AC52"/>
    <w:rsid w:val="00397496"/>
    <w:rsid w:val="003A3503"/>
    <w:rsid w:val="003A7BC6"/>
    <w:rsid w:val="003D0A8B"/>
    <w:rsid w:val="00427885"/>
    <w:rsid w:val="00430AAD"/>
    <w:rsid w:val="00442CD4"/>
    <w:rsid w:val="004633A4"/>
    <w:rsid w:val="004734FB"/>
    <w:rsid w:val="00494BCB"/>
    <w:rsid w:val="004A5E8C"/>
    <w:rsid w:val="004D2102"/>
    <w:rsid w:val="00507FE8"/>
    <w:rsid w:val="00512A29"/>
    <w:rsid w:val="00564F24"/>
    <w:rsid w:val="00575731"/>
    <w:rsid w:val="005A6CF4"/>
    <w:rsid w:val="005B0EB9"/>
    <w:rsid w:val="005C2A59"/>
    <w:rsid w:val="005C7EAE"/>
    <w:rsid w:val="005E0A88"/>
    <w:rsid w:val="005E32D3"/>
    <w:rsid w:val="005E5EE7"/>
    <w:rsid w:val="00613029"/>
    <w:rsid w:val="00613ED7"/>
    <w:rsid w:val="00615A05"/>
    <w:rsid w:val="006335BD"/>
    <w:rsid w:val="00642EBD"/>
    <w:rsid w:val="0067000C"/>
    <w:rsid w:val="006718E3"/>
    <w:rsid w:val="006B00D9"/>
    <w:rsid w:val="006C3FFF"/>
    <w:rsid w:val="006F1731"/>
    <w:rsid w:val="006F5AE9"/>
    <w:rsid w:val="00700809"/>
    <w:rsid w:val="0072567C"/>
    <w:rsid w:val="00740713"/>
    <w:rsid w:val="00746F7E"/>
    <w:rsid w:val="00747990"/>
    <w:rsid w:val="00751319"/>
    <w:rsid w:val="007513A6"/>
    <w:rsid w:val="00780F1E"/>
    <w:rsid w:val="00790ABD"/>
    <w:rsid w:val="00796C00"/>
    <w:rsid w:val="007D1B98"/>
    <w:rsid w:val="007F5E8C"/>
    <w:rsid w:val="00805292"/>
    <w:rsid w:val="0080768B"/>
    <w:rsid w:val="00810F44"/>
    <w:rsid w:val="008120F9"/>
    <w:rsid w:val="00812F80"/>
    <w:rsid w:val="008166F8"/>
    <w:rsid w:val="00820A40"/>
    <w:rsid w:val="00824518"/>
    <w:rsid w:val="0083327C"/>
    <w:rsid w:val="008356EC"/>
    <w:rsid w:val="0084601B"/>
    <w:rsid w:val="00865556"/>
    <w:rsid w:val="00866575"/>
    <w:rsid w:val="008740AD"/>
    <w:rsid w:val="00880F21"/>
    <w:rsid w:val="00881816"/>
    <w:rsid w:val="0088564A"/>
    <w:rsid w:val="008922B6"/>
    <w:rsid w:val="008A1598"/>
    <w:rsid w:val="008C1BA3"/>
    <w:rsid w:val="008D7698"/>
    <w:rsid w:val="008F05A4"/>
    <w:rsid w:val="0090572F"/>
    <w:rsid w:val="009119E9"/>
    <w:rsid w:val="00915296"/>
    <w:rsid w:val="00917597"/>
    <w:rsid w:val="00942647"/>
    <w:rsid w:val="00963042"/>
    <w:rsid w:val="00967383"/>
    <w:rsid w:val="00967B52"/>
    <w:rsid w:val="00980FBF"/>
    <w:rsid w:val="0099163F"/>
    <w:rsid w:val="00997DA6"/>
    <w:rsid w:val="009A2891"/>
    <w:rsid w:val="009A5F3E"/>
    <w:rsid w:val="009A6DB0"/>
    <w:rsid w:val="009D26CA"/>
    <w:rsid w:val="009D2A72"/>
    <w:rsid w:val="009E57B4"/>
    <w:rsid w:val="00A05994"/>
    <w:rsid w:val="00A1399C"/>
    <w:rsid w:val="00A56AB5"/>
    <w:rsid w:val="00A772AD"/>
    <w:rsid w:val="00A85C64"/>
    <w:rsid w:val="00A91E23"/>
    <w:rsid w:val="00AA5837"/>
    <w:rsid w:val="00AC0873"/>
    <w:rsid w:val="00AE0A72"/>
    <w:rsid w:val="00AF6188"/>
    <w:rsid w:val="00B0631C"/>
    <w:rsid w:val="00B14820"/>
    <w:rsid w:val="00B1755E"/>
    <w:rsid w:val="00B27C6A"/>
    <w:rsid w:val="00B3127B"/>
    <w:rsid w:val="00B4256C"/>
    <w:rsid w:val="00B43248"/>
    <w:rsid w:val="00B4759E"/>
    <w:rsid w:val="00B53354"/>
    <w:rsid w:val="00B6465F"/>
    <w:rsid w:val="00B75080"/>
    <w:rsid w:val="00B811EF"/>
    <w:rsid w:val="00BC3584"/>
    <w:rsid w:val="00BD1418"/>
    <w:rsid w:val="00C06FE3"/>
    <w:rsid w:val="00C073BD"/>
    <w:rsid w:val="00C13813"/>
    <w:rsid w:val="00C16B29"/>
    <w:rsid w:val="00C20002"/>
    <w:rsid w:val="00C32907"/>
    <w:rsid w:val="00C33A0D"/>
    <w:rsid w:val="00C50708"/>
    <w:rsid w:val="00C53B05"/>
    <w:rsid w:val="00C53CEA"/>
    <w:rsid w:val="00C5614F"/>
    <w:rsid w:val="00C76A41"/>
    <w:rsid w:val="00C806A0"/>
    <w:rsid w:val="00CB7009"/>
    <w:rsid w:val="00CC003A"/>
    <w:rsid w:val="00CD058D"/>
    <w:rsid w:val="00D20DC2"/>
    <w:rsid w:val="00D33B65"/>
    <w:rsid w:val="00D6054A"/>
    <w:rsid w:val="00D82FE0"/>
    <w:rsid w:val="00D90168"/>
    <w:rsid w:val="00DA215C"/>
    <w:rsid w:val="00DA73E9"/>
    <w:rsid w:val="00DA7F12"/>
    <w:rsid w:val="00DB6564"/>
    <w:rsid w:val="00DD2773"/>
    <w:rsid w:val="00DF57F8"/>
    <w:rsid w:val="00E37629"/>
    <w:rsid w:val="00E37BF6"/>
    <w:rsid w:val="00E507C8"/>
    <w:rsid w:val="00E57662"/>
    <w:rsid w:val="00E70756"/>
    <w:rsid w:val="00E810C4"/>
    <w:rsid w:val="00E91D73"/>
    <w:rsid w:val="00E94A48"/>
    <w:rsid w:val="00EB41FA"/>
    <w:rsid w:val="00EE060B"/>
    <w:rsid w:val="00EE4C0A"/>
    <w:rsid w:val="00EF76F7"/>
    <w:rsid w:val="00F12BF9"/>
    <w:rsid w:val="00F14608"/>
    <w:rsid w:val="00F16AFA"/>
    <w:rsid w:val="00F20AF8"/>
    <w:rsid w:val="00F266EE"/>
    <w:rsid w:val="00F654DD"/>
    <w:rsid w:val="00F77331"/>
    <w:rsid w:val="00F85E91"/>
    <w:rsid w:val="00FA0785"/>
    <w:rsid w:val="00FD14FD"/>
    <w:rsid w:val="00FF1BC3"/>
    <w:rsid w:val="011CDE0D"/>
    <w:rsid w:val="0164464A"/>
    <w:rsid w:val="017A715D"/>
    <w:rsid w:val="01D0163D"/>
    <w:rsid w:val="0206382D"/>
    <w:rsid w:val="0206F771"/>
    <w:rsid w:val="020AACB3"/>
    <w:rsid w:val="023BA728"/>
    <w:rsid w:val="02D581A1"/>
    <w:rsid w:val="03F04039"/>
    <w:rsid w:val="0449B155"/>
    <w:rsid w:val="046C8EED"/>
    <w:rsid w:val="04D403DA"/>
    <w:rsid w:val="05397976"/>
    <w:rsid w:val="05B648CB"/>
    <w:rsid w:val="05F04593"/>
    <w:rsid w:val="062A52A2"/>
    <w:rsid w:val="064569CD"/>
    <w:rsid w:val="06BB1986"/>
    <w:rsid w:val="06BC08FF"/>
    <w:rsid w:val="0720E9B6"/>
    <w:rsid w:val="0763E93E"/>
    <w:rsid w:val="0778CDE2"/>
    <w:rsid w:val="077D0BF1"/>
    <w:rsid w:val="07D57B36"/>
    <w:rsid w:val="0848DF72"/>
    <w:rsid w:val="086F512A"/>
    <w:rsid w:val="08B13172"/>
    <w:rsid w:val="08B98756"/>
    <w:rsid w:val="08DBA5D2"/>
    <w:rsid w:val="090FB76A"/>
    <w:rsid w:val="09C41F63"/>
    <w:rsid w:val="09DCA0F0"/>
    <w:rsid w:val="0A06DE46"/>
    <w:rsid w:val="0A372457"/>
    <w:rsid w:val="0A7DE992"/>
    <w:rsid w:val="0AC3B6B6"/>
    <w:rsid w:val="0BD0C70B"/>
    <w:rsid w:val="0BE65A9E"/>
    <w:rsid w:val="0C1C41C5"/>
    <w:rsid w:val="0C2A102A"/>
    <w:rsid w:val="0C32EB49"/>
    <w:rsid w:val="0D3ADDB4"/>
    <w:rsid w:val="0D5353A7"/>
    <w:rsid w:val="0D75131F"/>
    <w:rsid w:val="0D7702DD"/>
    <w:rsid w:val="0DAFA1F3"/>
    <w:rsid w:val="0DD502C6"/>
    <w:rsid w:val="0E2B1B85"/>
    <w:rsid w:val="0E2DAA48"/>
    <w:rsid w:val="0E58F465"/>
    <w:rsid w:val="0EEDC928"/>
    <w:rsid w:val="0F4B7254"/>
    <w:rsid w:val="0F9727D9"/>
    <w:rsid w:val="105CC69F"/>
    <w:rsid w:val="105D9A71"/>
    <w:rsid w:val="10A4382E"/>
    <w:rsid w:val="10D156B6"/>
    <w:rsid w:val="10F77597"/>
    <w:rsid w:val="10F918C8"/>
    <w:rsid w:val="1120274B"/>
    <w:rsid w:val="112C227E"/>
    <w:rsid w:val="115F471E"/>
    <w:rsid w:val="118A8988"/>
    <w:rsid w:val="11909527"/>
    <w:rsid w:val="11B0C9C4"/>
    <w:rsid w:val="11B608EB"/>
    <w:rsid w:val="11C6F37F"/>
    <w:rsid w:val="11CC50F4"/>
    <w:rsid w:val="11DBA47B"/>
    <w:rsid w:val="11E525F4"/>
    <w:rsid w:val="11EBE86B"/>
    <w:rsid w:val="11F8ABC6"/>
    <w:rsid w:val="120BDFD6"/>
    <w:rsid w:val="126D2717"/>
    <w:rsid w:val="127BA938"/>
    <w:rsid w:val="12CAF52A"/>
    <w:rsid w:val="12CEC89B"/>
    <w:rsid w:val="12D96DF5"/>
    <w:rsid w:val="139B3724"/>
    <w:rsid w:val="140D7FC7"/>
    <w:rsid w:val="141BF9B2"/>
    <w:rsid w:val="146A98FC"/>
    <w:rsid w:val="1512A66A"/>
    <w:rsid w:val="152E1987"/>
    <w:rsid w:val="1556F522"/>
    <w:rsid w:val="1562619B"/>
    <w:rsid w:val="15A2D07F"/>
    <w:rsid w:val="1606695D"/>
    <w:rsid w:val="1691EB12"/>
    <w:rsid w:val="1719015E"/>
    <w:rsid w:val="175AA7D0"/>
    <w:rsid w:val="18787A99"/>
    <w:rsid w:val="18A3F1C3"/>
    <w:rsid w:val="18B0F152"/>
    <w:rsid w:val="192BBFB9"/>
    <w:rsid w:val="195BFDDD"/>
    <w:rsid w:val="19C823AD"/>
    <w:rsid w:val="19FD4FAE"/>
    <w:rsid w:val="19FE1D23"/>
    <w:rsid w:val="1AA5D7C7"/>
    <w:rsid w:val="1AC8F568"/>
    <w:rsid w:val="1AF8707C"/>
    <w:rsid w:val="1B60C27C"/>
    <w:rsid w:val="1B877F2F"/>
    <w:rsid w:val="1B96F25C"/>
    <w:rsid w:val="1BA56B13"/>
    <w:rsid w:val="1BC93A84"/>
    <w:rsid w:val="1C0B1889"/>
    <w:rsid w:val="1C64C7E0"/>
    <w:rsid w:val="1C6D76BA"/>
    <w:rsid w:val="1CCF5578"/>
    <w:rsid w:val="1D413B74"/>
    <w:rsid w:val="1DB26FB0"/>
    <w:rsid w:val="1DC13E34"/>
    <w:rsid w:val="1DD030AA"/>
    <w:rsid w:val="1E708C7A"/>
    <w:rsid w:val="1E8B0731"/>
    <w:rsid w:val="1E9C7979"/>
    <w:rsid w:val="1EFC5B50"/>
    <w:rsid w:val="1F7D3AF8"/>
    <w:rsid w:val="1FC7B428"/>
    <w:rsid w:val="209CABA7"/>
    <w:rsid w:val="20FC3106"/>
    <w:rsid w:val="212F5A6D"/>
    <w:rsid w:val="21D80115"/>
    <w:rsid w:val="2236093B"/>
    <w:rsid w:val="2252C18F"/>
    <w:rsid w:val="227FC449"/>
    <w:rsid w:val="22815387"/>
    <w:rsid w:val="22BAD838"/>
    <w:rsid w:val="22F0A9C9"/>
    <w:rsid w:val="233B3260"/>
    <w:rsid w:val="24598E87"/>
    <w:rsid w:val="2474EDCE"/>
    <w:rsid w:val="24946CFE"/>
    <w:rsid w:val="24BFAA9D"/>
    <w:rsid w:val="254C4D59"/>
    <w:rsid w:val="25543ADF"/>
    <w:rsid w:val="2559E9C5"/>
    <w:rsid w:val="255B575C"/>
    <w:rsid w:val="255FC045"/>
    <w:rsid w:val="257025AC"/>
    <w:rsid w:val="2593EC3F"/>
    <w:rsid w:val="26F4EFF6"/>
    <w:rsid w:val="276D9AEA"/>
    <w:rsid w:val="28043812"/>
    <w:rsid w:val="28918A87"/>
    <w:rsid w:val="29AF073B"/>
    <w:rsid w:val="29E8BAEE"/>
    <w:rsid w:val="2A2D5AE8"/>
    <w:rsid w:val="2A635580"/>
    <w:rsid w:val="2A80B9FD"/>
    <w:rsid w:val="2A86B67A"/>
    <w:rsid w:val="2AC16060"/>
    <w:rsid w:val="2B3750E0"/>
    <w:rsid w:val="2B4F3966"/>
    <w:rsid w:val="2B59F92D"/>
    <w:rsid w:val="2B7FFB25"/>
    <w:rsid w:val="2BB17083"/>
    <w:rsid w:val="2BF9A3D5"/>
    <w:rsid w:val="2C344C7C"/>
    <w:rsid w:val="2C415E2A"/>
    <w:rsid w:val="2C81D72D"/>
    <w:rsid w:val="2D5F4CC4"/>
    <w:rsid w:val="2D613F7C"/>
    <w:rsid w:val="2D64FBAA"/>
    <w:rsid w:val="2D8518A8"/>
    <w:rsid w:val="2DDE7DC2"/>
    <w:rsid w:val="2E431229"/>
    <w:rsid w:val="2E56052F"/>
    <w:rsid w:val="2EB39A58"/>
    <w:rsid w:val="2ED1B2E1"/>
    <w:rsid w:val="2EEB141B"/>
    <w:rsid w:val="2EF12609"/>
    <w:rsid w:val="2F3A0512"/>
    <w:rsid w:val="2F6796DB"/>
    <w:rsid w:val="2FBA8B00"/>
    <w:rsid w:val="2FBE24CB"/>
    <w:rsid w:val="2FBE3734"/>
    <w:rsid w:val="3009C5E4"/>
    <w:rsid w:val="307AF880"/>
    <w:rsid w:val="30B3EC9B"/>
    <w:rsid w:val="30EA6C19"/>
    <w:rsid w:val="30F59B51"/>
    <w:rsid w:val="32119245"/>
    <w:rsid w:val="3214DDA7"/>
    <w:rsid w:val="3219958A"/>
    <w:rsid w:val="321C6F57"/>
    <w:rsid w:val="3239DA64"/>
    <w:rsid w:val="329BC9FD"/>
    <w:rsid w:val="32D5905E"/>
    <w:rsid w:val="32EA7B26"/>
    <w:rsid w:val="3437834D"/>
    <w:rsid w:val="343B3538"/>
    <w:rsid w:val="346E7479"/>
    <w:rsid w:val="353F677F"/>
    <w:rsid w:val="35440432"/>
    <w:rsid w:val="35CD5A98"/>
    <w:rsid w:val="35D70599"/>
    <w:rsid w:val="367E0B7D"/>
    <w:rsid w:val="369FFAB9"/>
    <w:rsid w:val="36CABDAA"/>
    <w:rsid w:val="36E84ECA"/>
    <w:rsid w:val="373D4CAD"/>
    <w:rsid w:val="386B6DF5"/>
    <w:rsid w:val="38A7AE51"/>
    <w:rsid w:val="38C5CEDC"/>
    <w:rsid w:val="3902C67F"/>
    <w:rsid w:val="3919FB57"/>
    <w:rsid w:val="3929532C"/>
    <w:rsid w:val="39512956"/>
    <w:rsid w:val="39BAC7DF"/>
    <w:rsid w:val="39BE6D9A"/>
    <w:rsid w:val="3A293412"/>
    <w:rsid w:val="3A8A7029"/>
    <w:rsid w:val="3A9722F5"/>
    <w:rsid w:val="3AA098EA"/>
    <w:rsid w:val="3B696131"/>
    <w:rsid w:val="3BDD312B"/>
    <w:rsid w:val="3C27F0DB"/>
    <w:rsid w:val="3C6BB3F3"/>
    <w:rsid w:val="3C825EFB"/>
    <w:rsid w:val="3D0025F6"/>
    <w:rsid w:val="3D287189"/>
    <w:rsid w:val="3DC3519A"/>
    <w:rsid w:val="3DC8EF21"/>
    <w:rsid w:val="3DDA6F53"/>
    <w:rsid w:val="3E0D5BFA"/>
    <w:rsid w:val="3EB4C48E"/>
    <w:rsid w:val="3EF06E5B"/>
    <w:rsid w:val="3F1DC1DC"/>
    <w:rsid w:val="3F5752BE"/>
    <w:rsid w:val="3FF2F802"/>
    <w:rsid w:val="402D5B47"/>
    <w:rsid w:val="403A69DC"/>
    <w:rsid w:val="40E6AE43"/>
    <w:rsid w:val="40FDB959"/>
    <w:rsid w:val="4113ACA1"/>
    <w:rsid w:val="41426C07"/>
    <w:rsid w:val="416F7DDB"/>
    <w:rsid w:val="420E766E"/>
    <w:rsid w:val="426D399D"/>
    <w:rsid w:val="42AF7D02"/>
    <w:rsid w:val="43A80690"/>
    <w:rsid w:val="43CB89B5"/>
    <w:rsid w:val="43F9139A"/>
    <w:rsid w:val="4403E694"/>
    <w:rsid w:val="440741AC"/>
    <w:rsid w:val="44392807"/>
    <w:rsid w:val="443BC3A3"/>
    <w:rsid w:val="444B4D63"/>
    <w:rsid w:val="449DF716"/>
    <w:rsid w:val="44E2E39A"/>
    <w:rsid w:val="454B5B07"/>
    <w:rsid w:val="4564308A"/>
    <w:rsid w:val="46DAAF4D"/>
    <w:rsid w:val="4722F5DF"/>
    <w:rsid w:val="473CE90A"/>
    <w:rsid w:val="478F62A4"/>
    <w:rsid w:val="47EA92CA"/>
    <w:rsid w:val="47F6ED6A"/>
    <w:rsid w:val="47FC9C50"/>
    <w:rsid w:val="4847277F"/>
    <w:rsid w:val="484A6BFD"/>
    <w:rsid w:val="485BA6D4"/>
    <w:rsid w:val="4890A1C8"/>
    <w:rsid w:val="4898F853"/>
    <w:rsid w:val="48AC5D0F"/>
    <w:rsid w:val="48F66785"/>
    <w:rsid w:val="492B3305"/>
    <w:rsid w:val="4988A90E"/>
    <w:rsid w:val="49EF1891"/>
    <w:rsid w:val="4A284C41"/>
    <w:rsid w:val="4A4924AC"/>
    <w:rsid w:val="4A5B1C12"/>
    <w:rsid w:val="4A7BA2A4"/>
    <w:rsid w:val="4A7D3745"/>
    <w:rsid w:val="4A9B6A43"/>
    <w:rsid w:val="4AC70366"/>
    <w:rsid w:val="4ACB62DC"/>
    <w:rsid w:val="4B24796F"/>
    <w:rsid w:val="4B37F163"/>
    <w:rsid w:val="4BDD0303"/>
    <w:rsid w:val="4BED9CC0"/>
    <w:rsid w:val="4C001755"/>
    <w:rsid w:val="4CC55613"/>
    <w:rsid w:val="4CCA5E8D"/>
    <w:rsid w:val="4CD00D73"/>
    <w:rsid w:val="4D141FAC"/>
    <w:rsid w:val="4D45F35B"/>
    <w:rsid w:val="4D706265"/>
    <w:rsid w:val="4DB61178"/>
    <w:rsid w:val="4DF48494"/>
    <w:rsid w:val="4DF83B48"/>
    <w:rsid w:val="4E4D0691"/>
    <w:rsid w:val="4E5C1A31"/>
    <w:rsid w:val="4F940BA9"/>
    <w:rsid w:val="4FACB05A"/>
    <w:rsid w:val="4FBEAB4B"/>
    <w:rsid w:val="4FD5B298"/>
    <w:rsid w:val="4FE8D6F2"/>
    <w:rsid w:val="4FF77B4E"/>
    <w:rsid w:val="5001FF4F"/>
    <w:rsid w:val="5007AE35"/>
    <w:rsid w:val="501D612B"/>
    <w:rsid w:val="50443BB4"/>
    <w:rsid w:val="5048A11B"/>
    <w:rsid w:val="5072E2A4"/>
    <w:rsid w:val="508F886D"/>
    <w:rsid w:val="50BD957C"/>
    <w:rsid w:val="51127969"/>
    <w:rsid w:val="513B351E"/>
    <w:rsid w:val="513E66DE"/>
    <w:rsid w:val="5155E557"/>
    <w:rsid w:val="51F14E43"/>
    <w:rsid w:val="520647D7"/>
    <w:rsid w:val="520A76A0"/>
    <w:rsid w:val="520B6FD9"/>
    <w:rsid w:val="5266ADB9"/>
    <w:rsid w:val="52B264F8"/>
    <w:rsid w:val="53569F26"/>
    <w:rsid w:val="5398088D"/>
    <w:rsid w:val="53B60A02"/>
    <w:rsid w:val="542CDF39"/>
    <w:rsid w:val="544C7283"/>
    <w:rsid w:val="5455BA69"/>
    <w:rsid w:val="545ADC73"/>
    <w:rsid w:val="54E30CDE"/>
    <w:rsid w:val="54E497EA"/>
    <w:rsid w:val="562A64FE"/>
    <w:rsid w:val="564480B1"/>
    <w:rsid w:val="56BF9181"/>
    <w:rsid w:val="56F9B82B"/>
    <w:rsid w:val="57BE3ABA"/>
    <w:rsid w:val="585DA65B"/>
    <w:rsid w:val="58DE6251"/>
    <w:rsid w:val="598A4057"/>
    <w:rsid w:val="599D55AD"/>
    <w:rsid w:val="59A0C611"/>
    <w:rsid w:val="59A7D99B"/>
    <w:rsid w:val="59B67E01"/>
    <w:rsid w:val="59C46EE8"/>
    <w:rsid w:val="5A1D48D1"/>
    <w:rsid w:val="5A4D0E37"/>
    <w:rsid w:val="5AE514B6"/>
    <w:rsid w:val="5B4F590A"/>
    <w:rsid w:val="5BC147A7"/>
    <w:rsid w:val="5BC25714"/>
    <w:rsid w:val="5BCF30F9"/>
    <w:rsid w:val="5BE653DA"/>
    <w:rsid w:val="5C45AC43"/>
    <w:rsid w:val="5C8AAE78"/>
    <w:rsid w:val="5CC31185"/>
    <w:rsid w:val="5CD23374"/>
    <w:rsid w:val="5D00B266"/>
    <w:rsid w:val="5D324B0F"/>
    <w:rsid w:val="5DD59675"/>
    <w:rsid w:val="5DF3AB10"/>
    <w:rsid w:val="5E123042"/>
    <w:rsid w:val="5E267ED9"/>
    <w:rsid w:val="5E36B1BB"/>
    <w:rsid w:val="5E70DF01"/>
    <w:rsid w:val="5E89EF24"/>
    <w:rsid w:val="5E8DF986"/>
    <w:rsid w:val="5F1C5902"/>
    <w:rsid w:val="5F1F6E33"/>
    <w:rsid w:val="5F357443"/>
    <w:rsid w:val="5FF399A2"/>
    <w:rsid w:val="6025BF85"/>
    <w:rsid w:val="60738F32"/>
    <w:rsid w:val="60F79B4D"/>
    <w:rsid w:val="61173E5E"/>
    <w:rsid w:val="612E75A6"/>
    <w:rsid w:val="6181EDD2"/>
    <w:rsid w:val="61A523F8"/>
    <w:rsid w:val="620F5F93"/>
    <w:rsid w:val="62213FC8"/>
    <w:rsid w:val="62802D06"/>
    <w:rsid w:val="62867E08"/>
    <w:rsid w:val="62D8F8D4"/>
    <w:rsid w:val="62F9EFFC"/>
    <w:rsid w:val="63AD274E"/>
    <w:rsid w:val="63C76565"/>
    <w:rsid w:val="65470055"/>
    <w:rsid w:val="65854B38"/>
    <w:rsid w:val="65A3C377"/>
    <w:rsid w:val="65BE1ECA"/>
    <w:rsid w:val="66201759"/>
    <w:rsid w:val="66F4E860"/>
    <w:rsid w:val="6727EDCE"/>
    <w:rsid w:val="6763C973"/>
    <w:rsid w:val="679B29DB"/>
    <w:rsid w:val="6853FBBE"/>
    <w:rsid w:val="68A94C5E"/>
    <w:rsid w:val="68BD3D38"/>
    <w:rsid w:val="68EC7A2D"/>
    <w:rsid w:val="69B4E705"/>
    <w:rsid w:val="69DB1DFF"/>
    <w:rsid w:val="6A1A7178"/>
    <w:rsid w:val="6A888391"/>
    <w:rsid w:val="6ABA320D"/>
    <w:rsid w:val="6B5ABB30"/>
    <w:rsid w:val="6BD623F0"/>
    <w:rsid w:val="6BF21C52"/>
    <w:rsid w:val="6CB8F2AA"/>
    <w:rsid w:val="6CDFD4B9"/>
    <w:rsid w:val="6D093ABB"/>
    <w:rsid w:val="6D5E676D"/>
    <w:rsid w:val="6DAC1530"/>
    <w:rsid w:val="6DE0ADD7"/>
    <w:rsid w:val="6E2CF11E"/>
    <w:rsid w:val="6E382828"/>
    <w:rsid w:val="6E54C30B"/>
    <w:rsid w:val="6ECBE299"/>
    <w:rsid w:val="6F2C7EBC"/>
    <w:rsid w:val="6F4472A4"/>
    <w:rsid w:val="6F5D353A"/>
    <w:rsid w:val="6F84123E"/>
    <w:rsid w:val="6FC283D5"/>
    <w:rsid w:val="6FF0936C"/>
    <w:rsid w:val="7018C8AF"/>
    <w:rsid w:val="703061FA"/>
    <w:rsid w:val="70A0439E"/>
    <w:rsid w:val="70D12306"/>
    <w:rsid w:val="71979987"/>
    <w:rsid w:val="723E06D9"/>
    <w:rsid w:val="7240BBFE"/>
    <w:rsid w:val="7245149A"/>
    <w:rsid w:val="72732F41"/>
    <w:rsid w:val="7289E86B"/>
    <w:rsid w:val="734653BE"/>
    <w:rsid w:val="73DFB11E"/>
    <w:rsid w:val="743663E1"/>
    <w:rsid w:val="74405FB9"/>
    <w:rsid w:val="7479432F"/>
    <w:rsid w:val="747A0A39"/>
    <w:rsid w:val="74AD292B"/>
    <w:rsid w:val="74AF29BA"/>
    <w:rsid w:val="74C4048F"/>
    <w:rsid w:val="75557BF4"/>
    <w:rsid w:val="758297E3"/>
    <w:rsid w:val="75BEBCB2"/>
    <w:rsid w:val="75DC301A"/>
    <w:rsid w:val="761627FC"/>
    <w:rsid w:val="765FD4F0"/>
    <w:rsid w:val="76AA81B0"/>
    <w:rsid w:val="76CB2C98"/>
    <w:rsid w:val="775B2F16"/>
    <w:rsid w:val="77B2D359"/>
    <w:rsid w:val="77CE5887"/>
    <w:rsid w:val="77D9264B"/>
    <w:rsid w:val="79508FBB"/>
    <w:rsid w:val="79639D34"/>
    <w:rsid w:val="79809A4E"/>
    <w:rsid w:val="7A1549C8"/>
    <w:rsid w:val="7A2BA9DE"/>
    <w:rsid w:val="7A4AE314"/>
    <w:rsid w:val="7A50267F"/>
    <w:rsid w:val="7A7E85C2"/>
    <w:rsid w:val="7A9E88E8"/>
    <w:rsid w:val="7AD4B05A"/>
    <w:rsid w:val="7AD97F83"/>
    <w:rsid w:val="7AF3D112"/>
    <w:rsid w:val="7B1AF388"/>
    <w:rsid w:val="7B231331"/>
    <w:rsid w:val="7B96D67E"/>
    <w:rsid w:val="7BEBF6E0"/>
    <w:rsid w:val="7C4175C6"/>
    <w:rsid w:val="7C59308C"/>
    <w:rsid w:val="7C7CBE60"/>
    <w:rsid w:val="7C9647D4"/>
    <w:rsid w:val="7CB83B10"/>
    <w:rsid w:val="7D4F7B3B"/>
    <w:rsid w:val="7D582A1F"/>
    <w:rsid w:val="7D7F9DD3"/>
    <w:rsid w:val="7DA1C384"/>
    <w:rsid w:val="7E09D819"/>
    <w:rsid w:val="7E97D370"/>
    <w:rsid w:val="7EA87360"/>
    <w:rsid w:val="7EAFB613"/>
    <w:rsid w:val="7EB17803"/>
    <w:rsid w:val="7F273734"/>
    <w:rsid w:val="7F838F65"/>
    <w:rsid w:val="7FC675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1D31"/>
  <w15:chartTrackingRefBased/>
  <w15:docId w15:val="{08E3E4C1-8734-4AB0-B6F8-327783B8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0FBF"/>
    <w:rPr>
      <w:rFonts w:eastAsia="PMingLiU"/>
      <w:kern w:val="0"/>
      <w:lang w:val="en-GB"/>
      <w14:ligatures w14:val="none"/>
    </w:rPr>
  </w:style>
  <w:style w:type="paragraph" w:styleId="Heading1">
    <w:name w:val="heading 1"/>
    <w:basedOn w:val="Normal"/>
    <w:next w:val="Normal"/>
    <w:link w:val="Heading1Char"/>
    <w:uiPriority w:val="9"/>
    <w:qFormat/>
    <w:rsid w:val="00980FBF"/>
    <w:pPr>
      <w:keepNext/>
      <w:keepLines/>
      <w:spacing w:before="360" w:after="80"/>
      <w:outlineLvl w:val="0"/>
    </w:pPr>
    <w:rPr>
      <w:rFonts w:asciiTheme="majorHAnsi" w:hAnsiTheme="majorHAnsi" w:eastAsiaTheme="majorEastAsia"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980FBF"/>
    <w:pPr>
      <w:keepNext/>
      <w:keepLines/>
      <w:spacing w:before="160" w:after="80"/>
      <w:outlineLvl w:val="1"/>
    </w:pPr>
    <w:rPr>
      <w:rFonts w:asciiTheme="majorHAnsi" w:hAnsiTheme="majorHAnsi" w:eastAsiaTheme="majorEastAsia"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980FBF"/>
    <w:pPr>
      <w:keepNext/>
      <w:keepLines/>
      <w:spacing w:before="160" w:after="80"/>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980FBF"/>
    <w:pPr>
      <w:keepNext/>
      <w:keepLines/>
      <w:spacing w:before="80" w:after="40"/>
      <w:outlineLvl w:val="3"/>
    </w:pPr>
    <w:rPr>
      <w:rFonts w:eastAsiaTheme="majorEastAsia"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980FBF"/>
    <w:pPr>
      <w:keepNext/>
      <w:keepLines/>
      <w:spacing w:before="80" w:after="40"/>
      <w:outlineLvl w:val="4"/>
    </w:pPr>
    <w:rPr>
      <w:rFonts w:eastAsiaTheme="majorEastAsia"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980FBF"/>
    <w:pPr>
      <w:keepNext/>
      <w:keepLines/>
      <w:spacing w:before="40" w:after="0"/>
      <w:outlineLvl w:val="5"/>
    </w:pPr>
    <w:rPr>
      <w:rFonts w:eastAsiaTheme="majorEastAsia"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980FBF"/>
    <w:pPr>
      <w:keepNext/>
      <w:keepLines/>
      <w:spacing w:before="40" w:after="0"/>
      <w:outlineLvl w:val="6"/>
    </w:pPr>
    <w:rPr>
      <w:rFonts w:eastAsiaTheme="majorEastAsia"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980FBF"/>
    <w:pPr>
      <w:keepNext/>
      <w:keepLines/>
      <w:spacing w:after="0"/>
      <w:outlineLvl w:val="7"/>
    </w:pPr>
    <w:rPr>
      <w:rFonts w:eastAsiaTheme="majorEastAsia"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980FBF"/>
    <w:pPr>
      <w:keepNext/>
      <w:keepLines/>
      <w:spacing w:after="0"/>
      <w:outlineLvl w:val="8"/>
    </w:pPr>
    <w:rPr>
      <w:rFonts w:eastAsiaTheme="majorEastAsia" w:cstheme="majorBidi"/>
      <w:color w:val="272727" w:themeColor="text1" w:themeTint="D8"/>
      <w:kern w:val="2"/>
      <w:lang w:val="en-US"/>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80FB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80FB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80FB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80FB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80FB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80FB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80FB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80FB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80FBF"/>
    <w:rPr>
      <w:rFonts w:eastAsiaTheme="majorEastAsia" w:cstheme="majorBidi"/>
      <w:color w:val="272727" w:themeColor="text1" w:themeTint="D8"/>
    </w:rPr>
  </w:style>
  <w:style w:type="paragraph" w:styleId="Title">
    <w:name w:val="Title"/>
    <w:basedOn w:val="Normal"/>
    <w:next w:val="Normal"/>
    <w:link w:val="TitleChar"/>
    <w:uiPriority w:val="10"/>
    <w:qFormat/>
    <w:rsid w:val="00980FBF"/>
    <w:pPr>
      <w:spacing w:after="80" w:line="240" w:lineRule="auto"/>
      <w:contextualSpacing/>
    </w:pPr>
    <w:rPr>
      <w:rFonts w:asciiTheme="majorHAnsi" w:hAnsiTheme="majorHAnsi" w:eastAsiaTheme="majorEastAsia" w:cstheme="majorBidi"/>
      <w:spacing w:val="-10"/>
      <w:kern w:val="28"/>
      <w:sz w:val="56"/>
      <w:szCs w:val="56"/>
      <w:lang w:val="en-US"/>
      <w14:ligatures w14:val="standardContextual"/>
    </w:rPr>
  </w:style>
  <w:style w:type="character" w:styleId="TitleChar" w:customStyle="1">
    <w:name w:val="Title Char"/>
    <w:basedOn w:val="DefaultParagraphFont"/>
    <w:link w:val="Title"/>
    <w:uiPriority w:val="10"/>
    <w:rsid w:val="00980FB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80FBF"/>
    <w:pPr>
      <w:numPr>
        <w:ilvl w:val="1"/>
      </w:numPr>
    </w:pPr>
    <w:rPr>
      <w:rFonts w:eastAsiaTheme="majorEastAsia" w:cstheme="majorBidi"/>
      <w:color w:val="595959" w:themeColor="text1" w:themeTint="A6"/>
      <w:spacing w:val="15"/>
      <w:kern w:val="2"/>
      <w:sz w:val="28"/>
      <w:szCs w:val="28"/>
      <w:lang w:val="en-US"/>
      <w14:ligatures w14:val="standardContextual"/>
    </w:rPr>
  </w:style>
  <w:style w:type="character" w:styleId="SubtitleChar" w:customStyle="1">
    <w:name w:val="Subtitle Char"/>
    <w:basedOn w:val="DefaultParagraphFont"/>
    <w:link w:val="Subtitle"/>
    <w:uiPriority w:val="11"/>
    <w:rsid w:val="00980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FBF"/>
    <w:pPr>
      <w:spacing w:before="160"/>
      <w:jc w:val="center"/>
    </w:pPr>
    <w:rPr>
      <w:rFonts w:eastAsiaTheme="minorHAnsi"/>
      <w:i/>
      <w:iCs/>
      <w:color w:val="404040" w:themeColor="text1" w:themeTint="BF"/>
      <w:kern w:val="2"/>
      <w:lang w:val="en-US"/>
      <w14:ligatures w14:val="standardContextual"/>
    </w:rPr>
  </w:style>
  <w:style w:type="character" w:styleId="QuoteChar" w:customStyle="1">
    <w:name w:val="Quote Char"/>
    <w:basedOn w:val="DefaultParagraphFont"/>
    <w:link w:val="Quote"/>
    <w:uiPriority w:val="29"/>
    <w:rsid w:val="00980FBF"/>
    <w:rPr>
      <w:i/>
      <w:iCs/>
      <w:color w:val="404040" w:themeColor="text1" w:themeTint="BF"/>
    </w:rPr>
  </w:style>
  <w:style w:type="paragraph" w:styleId="ListParagraph">
    <w:name w:val="List Paragraph"/>
    <w:basedOn w:val="Normal"/>
    <w:uiPriority w:val="34"/>
    <w:qFormat/>
    <w:rsid w:val="00980FBF"/>
    <w:pPr>
      <w:ind w:left="720"/>
      <w:contextualSpacing/>
    </w:pPr>
    <w:rPr>
      <w:rFonts w:eastAsiaTheme="minorHAnsi"/>
      <w:kern w:val="2"/>
      <w:lang w:val="en-US"/>
      <w14:ligatures w14:val="standardContextual"/>
    </w:rPr>
  </w:style>
  <w:style w:type="character" w:styleId="IntenseEmphasis">
    <w:name w:val="Intense Emphasis"/>
    <w:basedOn w:val="DefaultParagraphFont"/>
    <w:uiPriority w:val="21"/>
    <w:qFormat/>
    <w:rsid w:val="00980FBF"/>
    <w:rPr>
      <w:i/>
      <w:iCs/>
      <w:color w:val="0F4761" w:themeColor="accent1" w:themeShade="BF"/>
    </w:rPr>
  </w:style>
  <w:style w:type="paragraph" w:styleId="IntenseQuote">
    <w:name w:val="Intense Quote"/>
    <w:basedOn w:val="Normal"/>
    <w:next w:val="Normal"/>
    <w:link w:val="IntenseQuoteChar"/>
    <w:uiPriority w:val="30"/>
    <w:qFormat/>
    <w:rsid w:val="00980FBF"/>
    <w:pPr>
      <w:pBdr>
        <w:top w:val="single" w:color="0F4761" w:themeColor="accent1" w:themeShade="BF" w:sz="4" w:space="10"/>
        <w:bottom w:val="single" w:color="0F4761" w:themeColor="accent1" w:themeShade="BF" w:sz="4" w:space="10"/>
      </w:pBdr>
      <w:spacing w:before="360" w:after="360"/>
      <w:ind w:left="864" w:right="864"/>
      <w:jc w:val="center"/>
    </w:pPr>
    <w:rPr>
      <w:rFonts w:eastAsiaTheme="minorHAnsi"/>
      <w:i/>
      <w:iCs/>
      <w:color w:val="0F4761" w:themeColor="accent1" w:themeShade="BF"/>
      <w:kern w:val="2"/>
      <w:lang w:val="en-US"/>
      <w14:ligatures w14:val="standardContextual"/>
    </w:rPr>
  </w:style>
  <w:style w:type="character" w:styleId="IntenseQuoteChar" w:customStyle="1">
    <w:name w:val="Intense Quote Char"/>
    <w:basedOn w:val="DefaultParagraphFont"/>
    <w:link w:val="IntenseQuote"/>
    <w:uiPriority w:val="30"/>
    <w:rsid w:val="00980FBF"/>
    <w:rPr>
      <w:i/>
      <w:iCs/>
      <w:color w:val="0F4761" w:themeColor="accent1" w:themeShade="BF"/>
    </w:rPr>
  </w:style>
  <w:style w:type="character" w:styleId="IntenseReference">
    <w:name w:val="Intense Reference"/>
    <w:basedOn w:val="DefaultParagraphFont"/>
    <w:uiPriority w:val="32"/>
    <w:qFormat/>
    <w:rsid w:val="00980FBF"/>
    <w:rPr>
      <w:b/>
      <w:bCs/>
      <w:smallCaps/>
      <w:color w:val="0F4761" w:themeColor="accent1" w:themeShade="BF"/>
      <w:spacing w:val="5"/>
    </w:rPr>
  </w:style>
  <w:style w:type="table" w:styleId="TableGrid">
    <w:name w:val="Table Grid"/>
    <w:basedOn w:val="TableNormal"/>
    <w:uiPriority w:val="39"/>
    <w:rsid w:val="00980FBF"/>
    <w:pPr>
      <w:spacing w:after="0" w:line="240" w:lineRule="auto"/>
    </w:pPr>
    <w:rPr>
      <w:rFonts w:eastAsia="PMingLiU"/>
      <w:kern w:val="0"/>
      <w:lang w:val="en-GB"/>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980FBF"/>
    <w:pPr>
      <w:spacing w:after="0" w:line="240" w:lineRule="auto"/>
    </w:pPr>
    <w:rPr>
      <w:rFonts w:eastAsiaTheme="minorEastAsia"/>
      <w:kern w:val="0"/>
      <w:lang w:val="en-GB"/>
      <w14:ligatures w14:val="none"/>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101FF"/>
    <w:rPr>
      <w:sz w:val="16"/>
      <w:szCs w:val="16"/>
    </w:rPr>
  </w:style>
  <w:style w:type="paragraph" w:styleId="CommentText">
    <w:name w:val="annotation text"/>
    <w:basedOn w:val="Normal"/>
    <w:link w:val="CommentTextChar"/>
    <w:uiPriority w:val="99"/>
    <w:unhideWhenUsed/>
    <w:rsid w:val="002101FF"/>
    <w:pPr>
      <w:spacing w:line="240" w:lineRule="auto"/>
    </w:pPr>
    <w:rPr>
      <w:sz w:val="20"/>
      <w:szCs w:val="20"/>
    </w:rPr>
  </w:style>
  <w:style w:type="character" w:styleId="CommentTextChar" w:customStyle="1">
    <w:name w:val="Comment Text Char"/>
    <w:basedOn w:val="DefaultParagraphFont"/>
    <w:link w:val="CommentText"/>
    <w:uiPriority w:val="99"/>
    <w:rsid w:val="002101FF"/>
    <w:rPr>
      <w:rFonts w:eastAsia="PMingLiU"/>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Muhtadi Muhtadi</dc:creator>
  <keywords/>
  <dc:description/>
  <lastModifiedBy>Meaad Al Dabal</lastModifiedBy>
  <revision>128</revision>
  <dcterms:created xsi:type="dcterms:W3CDTF">2024-01-25T23:45:00.0000000Z</dcterms:created>
  <dcterms:modified xsi:type="dcterms:W3CDTF">2024-02-09T13:36:10.3826199Z</dcterms:modified>
</coreProperties>
</file>