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6EF6" w14:textId="77777777" w:rsidR="00980FBF" w:rsidRPr="00CE5391" w:rsidRDefault="00980FBF" w:rsidP="00980FBF">
      <w:pPr>
        <w:pStyle w:val="ListParagraph"/>
        <w:spacing w:after="0" w:line="240" w:lineRule="auto"/>
        <w:ind w:left="360"/>
        <w:jc w:val="both"/>
        <w:rPr>
          <w:rFonts w:ascii="Calibri" w:eastAsia="Calibri" w:hAnsi="Calibri" w:cs="Calibri"/>
          <w:sz w:val="20"/>
          <w:szCs w:val="20"/>
        </w:rPr>
      </w:pPr>
      <w:r w:rsidRPr="00CE5391">
        <w:rPr>
          <w:rFonts w:ascii="Calibri" w:eastAsia="Calibri" w:hAnsi="Calibri" w:cs="Calibri"/>
          <w:b/>
          <w:bCs/>
          <w:sz w:val="20"/>
          <w:szCs w:val="20"/>
        </w:rPr>
        <w:t>Table 1:</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research problems and/or questions</w:t>
      </w:r>
      <w:r w:rsidRPr="00CE5391">
        <w:rPr>
          <w:rFonts w:ascii="Calibri" w:eastAsia="Calibri" w:hAnsi="Calibri" w:cs="Calibri"/>
          <w:sz w:val="20"/>
          <w:szCs w:val="20"/>
        </w:rPr>
        <w:t xml:space="preserve"> (guidelines: </w:t>
      </w:r>
      <w:proofErr w:type="spellStart"/>
      <w:r w:rsidRPr="00CE5391">
        <w:rPr>
          <w:rFonts w:ascii="Calibri" w:eastAsia="Calibri" w:hAnsi="Calibri" w:cs="Calibri"/>
          <w:sz w:val="20"/>
          <w:szCs w:val="20"/>
        </w:rPr>
        <w:t>analyse</w:t>
      </w:r>
      <w:proofErr w:type="spellEnd"/>
      <w:r w:rsidRPr="00CE5391">
        <w:rPr>
          <w:rFonts w:ascii="Calibri" w:eastAsia="Calibri" w:hAnsi="Calibri" w:cs="Calibri"/>
          <w:sz w:val="20"/>
          <w:szCs w:val="20"/>
        </w:rPr>
        <w:t xml:space="preserve"> this table by type of research problem or question(s) and classify them, and discuss such classification(s) in the main text) </w:t>
      </w:r>
    </w:p>
    <w:tbl>
      <w:tblPr>
        <w:tblStyle w:val="TableGrid"/>
        <w:tblW w:w="4803" w:type="pct"/>
        <w:tblInd w:w="355" w:type="dxa"/>
        <w:tblLook w:val="04A0" w:firstRow="1" w:lastRow="0" w:firstColumn="1" w:lastColumn="0" w:noHBand="0" w:noVBand="1"/>
      </w:tblPr>
      <w:tblGrid>
        <w:gridCol w:w="2993"/>
        <w:gridCol w:w="5989"/>
      </w:tblGrid>
      <w:tr w:rsidR="00980FBF" w:rsidRPr="00CE5391" w14:paraId="7F7474D1" w14:textId="77777777" w:rsidTr="008D3857">
        <w:trPr>
          <w:trHeight w:val="284"/>
        </w:trPr>
        <w:tc>
          <w:tcPr>
            <w:tcW w:w="1666" w:type="pct"/>
          </w:tcPr>
          <w:p w14:paraId="7C52A21D" w14:textId="77777777" w:rsidR="00980FBF" w:rsidRPr="00CE5391" w:rsidRDefault="00980FBF" w:rsidP="00DC1865">
            <w:pPr>
              <w:jc w:val="center"/>
              <w:rPr>
                <w:rFonts w:cs="Calibri"/>
                <w:b/>
                <w:bCs/>
                <w:sz w:val="20"/>
                <w:szCs w:val="20"/>
              </w:rPr>
            </w:pPr>
            <w:r w:rsidRPr="00CE5391">
              <w:rPr>
                <w:rFonts w:cs="Calibri"/>
                <w:b/>
                <w:bCs/>
                <w:sz w:val="20"/>
                <w:szCs w:val="20"/>
              </w:rPr>
              <w:t>Reference</w:t>
            </w:r>
          </w:p>
        </w:tc>
        <w:tc>
          <w:tcPr>
            <w:tcW w:w="3334" w:type="pct"/>
          </w:tcPr>
          <w:p w14:paraId="09222F12" w14:textId="77777777" w:rsidR="00980FBF" w:rsidRPr="00CE5391" w:rsidRDefault="00980FBF" w:rsidP="00DC1865">
            <w:pPr>
              <w:jc w:val="center"/>
              <w:rPr>
                <w:rFonts w:cs="Calibri"/>
                <w:b/>
                <w:bCs/>
                <w:sz w:val="20"/>
                <w:szCs w:val="20"/>
              </w:rPr>
            </w:pPr>
            <w:r w:rsidRPr="00CE5391">
              <w:rPr>
                <w:rFonts w:cs="Calibri"/>
                <w:b/>
                <w:bCs/>
                <w:sz w:val="20"/>
                <w:szCs w:val="20"/>
              </w:rPr>
              <w:t>Research Problem(s) / Question(s)</w:t>
            </w:r>
          </w:p>
        </w:tc>
      </w:tr>
      <w:tr w:rsidR="00980FBF" w:rsidRPr="00CE5391" w14:paraId="079EED12" w14:textId="77777777" w:rsidTr="008D3857">
        <w:trPr>
          <w:trHeight w:val="284"/>
        </w:trPr>
        <w:tc>
          <w:tcPr>
            <w:tcW w:w="1666" w:type="pct"/>
          </w:tcPr>
          <w:p w14:paraId="31B2675E" w14:textId="23AD9043" w:rsidR="00980FBF" w:rsidRPr="00CE5391" w:rsidRDefault="00FD60D0" w:rsidP="009F5F25">
            <w:pPr>
              <w:jc w:val="center"/>
              <w:rPr>
                <w:rFonts w:cs="Calibri"/>
                <w:sz w:val="20"/>
                <w:szCs w:val="20"/>
                <w:lang w:eastAsia="zh-CN"/>
              </w:rPr>
            </w:pPr>
            <w:r w:rsidRPr="00FD60D0">
              <w:rPr>
                <w:rFonts w:cs="Calibri"/>
                <w:sz w:val="20"/>
                <w:szCs w:val="20"/>
                <w:lang w:eastAsia="zh-CN"/>
              </w:rPr>
              <w:t>Matthews</w:t>
            </w:r>
            <w:r>
              <w:rPr>
                <w:rFonts w:cs="Calibri"/>
                <w:sz w:val="20"/>
                <w:szCs w:val="20"/>
                <w:lang w:eastAsia="zh-CN"/>
              </w:rPr>
              <w:t>, et al. (2010)</w:t>
            </w:r>
          </w:p>
        </w:tc>
        <w:tc>
          <w:tcPr>
            <w:tcW w:w="3334" w:type="pct"/>
          </w:tcPr>
          <w:p w14:paraId="24345B4A" w14:textId="4AC51C39" w:rsidR="00980FBF" w:rsidRPr="00AE3833" w:rsidRDefault="00AE3833" w:rsidP="00AE3833">
            <w:pPr>
              <w:jc w:val="center"/>
              <w:rPr>
                <w:rFonts w:eastAsiaTheme="minorEastAsia" w:cs="Calibri"/>
                <w:sz w:val="20"/>
                <w:szCs w:val="20"/>
                <w:lang w:eastAsia="zh-CN"/>
              </w:rPr>
            </w:pPr>
            <w:r>
              <w:rPr>
                <w:rFonts w:eastAsiaTheme="minorEastAsia" w:cs="Calibri"/>
                <w:sz w:val="20"/>
                <w:szCs w:val="20"/>
                <w:lang w:eastAsia="zh-CN"/>
              </w:rPr>
              <w:t xml:space="preserve">To </w:t>
            </w:r>
            <w:r w:rsidRPr="00AE3833">
              <w:rPr>
                <w:rFonts w:eastAsiaTheme="minorEastAsia" w:cs="Calibri"/>
                <w:sz w:val="20"/>
                <w:szCs w:val="20"/>
                <w:lang w:eastAsia="zh-CN"/>
              </w:rPr>
              <w:t>examine the productivity growth of the nationwide banks of China and a sample of</w:t>
            </w:r>
            <w:r>
              <w:rPr>
                <w:rFonts w:eastAsiaTheme="minorEastAsia" w:cs="Calibri" w:hint="eastAsia"/>
                <w:sz w:val="20"/>
                <w:szCs w:val="20"/>
                <w:lang w:eastAsia="zh-CN"/>
              </w:rPr>
              <w:t xml:space="preserve"> </w:t>
            </w:r>
            <w:r w:rsidRPr="00AE3833">
              <w:rPr>
                <w:rFonts w:eastAsiaTheme="minorEastAsia" w:cs="Calibri"/>
                <w:sz w:val="20"/>
                <w:szCs w:val="20"/>
                <w:lang w:eastAsia="zh-CN"/>
              </w:rPr>
              <w:t>city commercial, banks for the ten years to 2007</w:t>
            </w:r>
          </w:p>
        </w:tc>
      </w:tr>
      <w:tr w:rsidR="008D3857" w:rsidRPr="00CE5391" w14:paraId="7051BFB9" w14:textId="77777777" w:rsidTr="008D3857">
        <w:trPr>
          <w:trHeight w:val="284"/>
        </w:trPr>
        <w:tc>
          <w:tcPr>
            <w:tcW w:w="1666" w:type="pct"/>
          </w:tcPr>
          <w:p w14:paraId="76F96E14" w14:textId="0F1629F3" w:rsidR="008D3857" w:rsidRPr="00CE5391" w:rsidRDefault="008D3857" w:rsidP="008D3857">
            <w:pPr>
              <w:jc w:val="center"/>
              <w:rPr>
                <w:rFonts w:cs="Calibri"/>
                <w:sz w:val="20"/>
                <w:szCs w:val="20"/>
                <w:lang w:eastAsia="zh-CN"/>
              </w:rPr>
            </w:pPr>
            <w:r w:rsidRPr="00AB1BD9">
              <w:rPr>
                <w:rFonts w:cs="Calibri"/>
                <w:sz w:val="20"/>
                <w:szCs w:val="20"/>
                <w:lang w:val="en-US" w:eastAsia="zh-CN"/>
              </w:rPr>
              <w:t xml:space="preserve">Hou, </w:t>
            </w:r>
            <w:r w:rsidRPr="008D3857">
              <w:rPr>
                <w:rFonts w:cs="Calibri"/>
                <w:sz w:val="20"/>
                <w:szCs w:val="20"/>
                <w:lang w:val="en-US" w:eastAsia="zh-CN"/>
              </w:rPr>
              <w:t>et</w:t>
            </w:r>
            <w:r>
              <w:rPr>
                <w:rFonts w:cs="Calibri"/>
                <w:sz w:val="20"/>
                <w:szCs w:val="20"/>
                <w:lang w:val="en-US" w:eastAsia="zh-CN"/>
              </w:rPr>
              <w:t xml:space="preserve"> al. </w:t>
            </w:r>
            <w:r w:rsidRPr="00AB1BD9">
              <w:rPr>
                <w:rFonts w:cs="Calibri"/>
                <w:sz w:val="20"/>
                <w:szCs w:val="20"/>
                <w:lang w:val="en-US" w:eastAsia="zh-CN"/>
              </w:rPr>
              <w:t>(2014)</w:t>
            </w:r>
          </w:p>
        </w:tc>
        <w:tc>
          <w:tcPr>
            <w:tcW w:w="3334" w:type="pct"/>
          </w:tcPr>
          <w:p w14:paraId="5A00EB5A" w14:textId="5FA27DB5" w:rsidR="008D3857" w:rsidRPr="00052730" w:rsidRDefault="008D3857" w:rsidP="00555291">
            <w:pPr>
              <w:jc w:val="center"/>
              <w:rPr>
                <w:rFonts w:cs="Calibri"/>
                <w:sz w:val="20"/>
                <w:szCs w:val="20"/>
              </w:rPr>
            </w:pPr>
            <w:r w:rsidRPr="00907FC2">
              <w:rPr>
                <w:rFonts w:cs="Calibri"/>
                <w:sz w:val="20"/>
                <w:szCs w:val="20"/>
              </w:rPr>
              <w:t>investigate the impact of market structure and risk taking on the efficiency of</w:t>
            </w:r>
            <w:r w:rsidR="00555291">
              <w:rPr>
                <w:rFonts w:eastAsiaTheme="minorEastAsia" w:cs="Calibri" w:hint="eastAsia"/>
                <w:sz w:val="20"/>
                <w:szCs w:val="20"/>
                <w:lang w:eastAsia="zh-CN"/>
              </w:rPr>
              <w:t xml:space="preserve"> </w:t>
            </w:r>
            <w:r w:rsidRPr="00907FC2">
              <w:rPr>
                <w:rFonts w:cs="Calibri"/>
                <w:sz w:val="20"/>
                <w:szCs w:val="20"/>
              </w:rPr>
              <w:t>Chinese commercial banks</w:t>
            </w:r>
          </w:p>
        </w:tc>
      </w:tr>
      <w:tr w:rsidR="008D3857" w:rsidRPr="00CE5391" w14:paraId="2CF0E439" w14:textId="77777777" w:rsidTr="008D3857">
        <w:trPr>
          <w:trHeight w:val="284"/>
        </w:trPr>
        <w:tc>
          <w:tcPr>
            <w:tcW w:w="1666" w:type="pct"/>
          </w:tcPr>
          <w:p w14:paraId="49F4D9E3" w14:textId="11B85AC3" w:rsidR="008D3857" w:rsidRPr="00EF20BD" w:rsidRDefault="008D3857" w:rsidP="008D3857">
            <w:pPr>
              <w:jc w:val="center"/>
              <w:rPr>
                <w:rFonts w:cs="Calibri"/>
                <w:sz w:val="20"/>
                <w:szCs w:val="20"/>
                <w:lang w:eastAsia="zh-CN"/>
              </w:rPr>
            </w:pPr>
            <w:r w:rsidRPr="00AB1BD9">
              <w:rPr>
                <w:rFonts w:cs="Calibri"/>
                <w:sz w:val="20"/>
                <w:szCs w:val="20"/>
                <w:lang w:eastAsia="zh-CN"/>
              </w:rPr>
              <w:t>Fukuyama,</w:t>
            </w:r>
            <w:r>
              <w:rPr>
                <w:rFonts w:cs="Calibri"/>
                <w:sz w:val="20"/>
                <w:szCs w:val="20"/>
                <w:lang w:eastAsia="zh-CN"/>
              </w:rPr>
              <w:t xml:space="preserve"> et al.</w:t>
            </w:r>
            <w:r w:rsidRPr="00AB1BD9">
              <w:rPr>
                <w:rFonts w:cs="Calibri"/>
                <w:sz w:val="20"/>
                <w:szCs w:val="20"/>
                <w:lang w:eastAsia="zh-CN"/>
              </w:rPr>
              <w:t xml:space="preserve"> (2021)</w:t>
            </w:r>
          </w:p>
        </w:tc>
        <w:tc>
          <w:tcPr>
            <w:tcW w:w="3334" w:type="pct"/>
          </w:tcPr>
          <w:p w14:paraId="5157B613" w14:textId="4D00A7B3" w:rsidR="008D3857" w:rsidRPr="00907FC2" w:rsidRDefault="008D3857" w:rsidP="008D3857">
            <w:pPr>
              <w:jc w:val="center"/>
              <w:rPr>
                <w:rFonts w:cs="Calibri"/>
                <w:sz w:val="20"/>
                <w:szCs w:val="20"/>
              </w:rPr>
            </w:pPr>
            <w:r w:rsidRPr="00927C4B">
              <w:rPr>
                <w:rFonts w:cs="Calibri"/>
                <w:sz w:val="20"/>
                <w:szCs w:val="20"/>
              </w:rPr>
              <w:t>This paper focuses on the use of loan loss reserves (LLRs) in the banking production process and considers it as a variable with a dual role.</w:t>
            </w:r>
          </w:p>
        </w:tc>
      </w:tr>
      <w:tr w:rsidR="008D3857" w:rsidRPr="00CE5391" w14:paraId="7898B093" w14:textId="77777777" w:rsidTr="008D3857">
        <w:trPr>
          <w:trHeight w:val="284"/>
        </w:trPr>
        <w:tc>
          <w:tcPr>
            <w:tcW w:w="1666" w:type="pct"/>
          </w:tcPr>
          <w:p w14:paraId="28113408" w14:textId="5F2FDCB4" w:rsidR="008D3857" w:rsidRPr="00EF20BD" w:rsidRDefault="008D3857" w:rsidP="008D3857">
            <w:pPr>
              <w:jc w:val="center"/>
              <w:rPr>
                <w:rFonts w:cs="Calibri"/>
                <w:sz w:val="20"/>
                <w:szCs w:val="20"/>
                <w:lang w:eastAsia="zh-CN"/>
              </w:rPr>
            </w:pPr>
            <w:r w:rsidRPr="008D3857">
              <w:rPr>
                <w:rFonts w:cs="Calibri"/>
                <w:sz w:val="20"/>
                <w:szCs w:val="20"/>
                <w:lang w:eastAsia="zh-CN"/>
              </w:rPr>
              <w:t>Fukuyama, et al. (2021)</w:t>
            </w:r>
          </w:p>
        </w:tc>
        <w:tc>
          <w:tcPr>
            <w:tcW w:w="3334" w:type="pct"/>
          </w:tcPr>
          <w:p w14:paraId="3705E7C1" w14:textId="3EBD4B6F" w:rsidR="008D3857" w:rsidRPr="00907FC2" w:rsidRDefault="008D3857" w:rsidP="008D3857">
            <w:pPr>
              <w:jc w:val="center"/>
              <w:rPr>
                <w:rFonts w:cs="Calibri"/>
                <w:sz w:val="20"/>
                <w:szCs w:val="20"/>
              </w:rPr>
            </w:pPr>
            <w:r w:rsidRPr="00AB1BD9">
              <w:rPr>
                <w:rFonts w:cs="Calibri"/>
                <w:sz w:val="20"/>
                <w:szCs w:val="20"/>
              </w:rPr>
              <w:t xml:space="preserve"> Is corporate social responsibility</w:t>
            </w:r>
            <w:r>
              <w:rPr>
                <w:rFonts w:cs="Calibri"/>
                <w:sz w:val="20"/>
                <w:szCs w:val="20"/>
              </w:rPr>
              <w:t xml:space="preserve"> (CSR)</w:t>
            </w:r>
            <w:r w:rsidRPr="00AB1BD9">
              <w:rPr>
                <w:rFonts w:cs="Calibri"/>
                <w:sz w:val="20"/>
                <w:szCs w:val="20"/>
              </w:rPr>
              <w:t xml:space="preserve"> good for efficiency</w:t>
            </w:r>
            <w:r>
              <w:rPr>
                <w:rFonts w:eastAsiaTheme="minorEastAsia" w:cs="Calibri" w:hint="eastAsia"/>
                <w:sz w:val="20"/>
                <w:szCs w:val="20"/>
                <w:lang w:eastAsia="zh-CN"/>
              </w:rPr>
              <w:t xml:space="preserve"> </w:t>
            </w:r>
            <w:r w:rsidRPr="00AB1BD9">
              <w:rPr>
                <w:rFonts w:cs="Calibri"/>
                <w:sz w:val="20"/>
                <w:szCs w:val="20"/>
              </w:rPr>
              <w:t>in the Chinese banking industry</w:t>
            </w:r>
            <w:r>
              <w:rPr>
                <w:rFonts w:cs="Calibri"/>
                <w:sz w:val="20"/>
                <w:szCs w:val="20"/>
              </w:rPr>
              <w:t>?</w:t>
            </w:r>
          </w:p>
        </w:tc>
      </w:tr>
      <w:tr w:rsidR="008D3857" w:rsidRPr="00CE5391" w14:paraId="77CFF890" w14:textId="77777777" w:rsidTr="008D3857">
        <w:trPr>
          <w:trHeight w:val="284"/>
        </w:trPr>
        <w:tc>
          <w:tcPr>
            <w:tcW w:w="1666" w:type="pct"/>
          </w:tcPr>
          <w:p w14:paraId="34089F39" w14:textId="65BAC917" w:rsidR="008D3857" w:rsidRPr="00AB1BD9" w:rsidRDefault="003242E9" w:rsidP="008D3857">
            <w:pPr>
              <w:jc w:val="center"/>
              <w:rPr>
                <w:rFonts w:cs="Calibri"/>
                <w:sz w:val="20"/>
                <w:szCs w:val="20"/>
                <w:lang w:eastAsia="zh-CN"/>
              </w:rPr>
            </w:pPr>
            <w:r w:rsidRPr="003242E9">
              <w:rPr>
                <w:rFonts w:cs="Calibri"/>
                <w:sz w:val="20"/>
                <w:szCs w:val="20"/>
                <w:lang w:eastAsia="zh-CN"/>
              </w:rPr>
              <w:t>Dong et al. (2016)</w:t>
            </w:r>
          </w:p>
        </w:tc>
        <w:tc>
          <w:tcPr>
            <w:tcW w:w="3334" w:type="pct"/>
          </w:tcPr>
          <w:p w14:paraId="49D126F2" w14:textId="6DE6023E" w:rsidR="008D3857" w:rsidRPr="00907FC2" w:rsidRDefault="003242E9" w:rsidP="003242E9">
            <w:pPr>
              <w:jc w:val="center"/>
              <w:rPr>
                <w:rFonts w:cs="Calibri"/>
                <w:sz w:val="20"/>
                <w:szCs w:val="20"/>
              </w:rPr>
            </w:pPr>
            <w:r>
              <w:rPr>
                <w:rFonts w:cs="Calibri"/>
                <w:sz w:val="20"/>
                <w:szCs w:val="20"/>
              </w:rPr>
              <w:t xml:space="preserve">To </w:t>
            </w:r>
            <w:r w:rsidRPr="003242E9">
              <w:rPr>
                <w:rFonts w:cs="Calibri"/>
                <w:sz w:val="20"/>
                <w:szCs w:val="20"/>
              </w:rPr>
              <w:t>examine the cost and profit efficiency of four types of Chinese commercial banks</w:t>
            </w:r>
            <w:r>
              <w:rPr>
                <w:rFonts w:eastAsiaTheme="minorEastAsia" w:cs="Calibri" w:hint="eastAsia"/>
                <w:sz w:val="20"/>
                <w:szCs w:val="20"/>
                <w:lang w:eastAsia="zh-CN"/>
              </w:rPr>
              <w:t xml:space="preserve"> </w:t>
            </w:r>
            <w:r w:rsidRPr="003242E9">
              <w:rPr>
                <w:rFonts w:cs="Calibri"/>
                <w:sz w:val="20"/>
                <w:szCs w:val="20"/>
              </w:rPr>
              <w:t>over the period from 2002 to 2013.</w:t>
            </w:r>
          </w:p>
        </w:tc>
      </w:tr>
      <w:tr w:rsidR="008D3857" w:rsidRPr="00CE5391" w14:paraId="197BC01A" w14:textId="77777777" w:rsidTr="008D3857">
        <w:trPr>
          <w:trHeight w:val="284"/>
        </w:trPr>
        <w:tc>
          <w:tcPr>
            <w:tcW w:w="1666" w:type="pct"/>
          </w:tcPr>
          <w:p w14:paraId="2D7B10EB" w14:textId="6215D4B8" w:rsidR="008D3857" w:rsidRPr="00EF20BD" w:rsidRDefault="00C414AD" w:rsidP="008D3857">
            <w:pPr>
              <w:jc w:val="center"/>
              <w:rPr>
                <w:rFonts w:cs="Calibri"/>
                <w:sz w:val="20"/>
                <w:szCs w:val="20"/>
                <w:lang w:eastAsia="zh-CN"/>
              </w:rPr>
            </w:pPr>
            <w:r w:rsidRPr="00C414AD">
              <w:rPr>
                <w:rFonts w:cs="Calibri"/>
                <w:sz w:val="20"/>
                <w:szCs w:val="20"/>
                <w:lang w:eastAsia="zh-CN"/>
              </w:rPr>
              <w:t>Luo et al. (2011)</w:t>
            </w:r>
          </w:p>
        </w:tc>
        <w:tc>
          <w:tcPr>
            <w:tcW w:w="3334" w:type="pct"/>
          </w:tcPr>
          <w:p w14:paraId="6544BFB7" w14:textId="715A87D4" w:rsidR="008D3857" w:rsidRPr="00907FC2" w:rsidRDefault="00196BEC" w:rsidP="008D3857">
            <w:pPr>
              <w:jc w:val="center"/>
              <w:rPr>
                <w:rFonts w:cs="Calibri"/>
                <w:sz w:val="20"/>
                <w:szCs w:val="20"/>
              </w:rPr>
            </w:pPr>
            <w:r w:rsidRPr="00196BEC">
              <w:rPr>
                <w:rFonts w:cs="Calibri"/>
                <w:sz w:val="20"/>
                <w:szCs w:val="20"/>
              </w:rPr>
              <w:t>To evaluate the effectiveness of stock listing on Chinese commercial banks’ efficiency using two different frontier approaches.</w:t>
            </w:r>
          </w:p>
        </w:tc>
      </w:tr>
      <w:tr w:rsidR="00631ED8" w:rsidRPr="00CE5391" w14:paraId="5AD83F98" w14:textId="77777777" w:rsidTr="008D3857">
        <w:trPr>
          <w:trHeight w:val="284"/>
        </w:trPr>
        <w:tc>
          <w:tcPr>
            <w:tcW w:w="1666" w:type="pct"/>
          </w:tcPr>
          <w:p w14:paraId="12688C83" w14:textId="22E11887" w:rsidR="00631ED8" w:rsidRPr="00C414AD" w:rsidRDefault="00EE2037" w:rsidP="008D3857">
            <w:pPr>
              <w:jc w:val="center"/>
              <w:rPr>
                <w:rFonts w:cs="Calibri"/>
                <w:sz w:val="20"/>
                <w:szCs w:val="20"/>
                <w:lang w:eastAsia="zh-CN"/>
              </w:rPr>
            </w:pPr>
            <w:r w:rsidRPr="00EE2037">
              <w:rPr>
                <w:rFonts w:cs="Calibri"/>
                <w:sz w:val="20"/>
                <w:szCs w:val="20"/>
                <w:lang w:eastAsia="zh-CN"/>
              </w:rPr>
              <w:t>Antunes et al. (2022)</w:t>
            </w:r>
          </w:p>
        </w:tc>
        <w:tc>
          <w:tcPr>
            <w:tcW w:w="3334" w:type="pct"/>
          </w:tcPr>
          <w:p w14:paraId="0D0C516F" w14:textId="4C3DC2C4" w:rsidR="00EE2037" w:rsidRPr="00EE2037" w:rsidRDefault="00EE2037" w:rsidP="00EE2037">
            <w:pPr>
              <w:jc w:val="center"/>
              <w:rPr>
                <w:rFonts w:cs="Calibri"/>
                <w:sz w:val="20"/>
                <w:szCs w:val="20"/>
              </w:rPr>
            </w:pPr>
            <w:r>
              <w:rPr>
                <w:rFonts w:cs="Calibri"/>
                <w:sz w:val="20"/>
                <w:szCs w:val="20"/>
              </w:rPr>
              <w:t xml:space="preserve">To </w:t>
            </w:r>
            <w:r w:rsidRPr="00EE2037">
              <w:rPr>
                <w:rFonts w:cs="Calibri"/>
                <w:sz w:val="20"/>
                <w:szCs w:val="20"/>
              </w:rPr>
              <w:t>evaluate the efficiency of 39 Chinese commercial banks over the period 2010–2018</w:t>
            </w:r>
            <w:r>
              <w:rPr>
                <w:rFonts w:cs="Calibri"/>
                <w:sz w:val="20"/>
                <w:szCs w:val="20"/>
              </w:rPr>
              <w:t>. A</w:t>
            </w:r>
            <w:r w:rsidRPr="00EE2037">
              <w:rPr>
                <w:rFonts w:cs="Calibri"/>
                <w:sz w:val="20"/>
                <w:szCs w:val="20"/>
              </w:rPr>
              <w:t>lso, in the second stage, investigates</w:t>
            </w:r>
          </w:p>
          <w:p w14:paraId="4FE33795" w14:textId="0D351F9D" w:rsidR="00631ED8" w:rsidRPr="00196BEC" w:rsidRDefault="00EE2037" w:rsidP="00EE2037">
            <w:pPr>
              <w:jc w:val="center"/>
              <w:rPr>
                <w:rFonts w:cs="Calibri"/>
                <w:sz w:val="20"/>
                <w:szCs w:val="20"/>
              </w:rPr>
            </w:pPr>
            <w:r w:rsidRPr="00EE2037">
              <w:rPr>
                <w:rFonts w:cs="Calibri"/>
                <w:sz w:val="20"/>
                <w:szCs w:val="20"/>
              </w:rPr>
              <w:t>the inter-relationships between efficiency and some bank-specific variables (i.e. bank</w:t>
            </w:r>
            <w:r>
              <w:rPr>
                <w:rFonts w:eastAsiaTheme="minorEastAsia" w:cs="Calibri" w:hint="eastAsia"/>
                <w:sz w:val="20"/>
                <w:szCs w:val="20"/>
                <w:lang w:eastAsia="zh-CN"/>
              </w:rPr>
              <w:t xml:space="preserve"> </w:t>
            </w:r>
            <w:r w:rsidRPr="00EE2037">
              <w:rPr>
                <w:rFonts w:cs="Calibri"/>
                <w:sz w:val="20"/>
                <w:szCs w:val="20"/>
              </w:rPr>
              <w:t>profitability, bank size, expenses management, traditional business and non-traditional</w:t>
            </w:r>
            <w:r>
              <w:rPr>
                <w:rFonts w:eastAsiaTheme="minorEastAsia" w:cs="Calibri" w:hint="eastAsia"/>
                <w:sz w:val="20"/>
                <w:szCs w:val="20"/>
                <w:lang w:eastAsia="zh-CN"/>
              </w:rPr>
              <w:t xml:space="preserve"> </w:t>
            </w:r>
            <w:r w:rsidRPr="00EE2037">
              <w:rPr>
                <w:rFonts w:cs="Calibri"/>
                <w:sz w:val="20"/>
                <w:szCs w:val="20"/>
              </w:rPr>
              <w:t>business) under the Robust Endogenous Neural Network Analysis.</w:t>
            </w:r>
          </w:p>
        </w:tc>
      </w:tr>
      <w:tr w:rsidR="00631ED8" w:rsidRPr="00CE5391" w14:paraId="44D665AE" w14:textId="77777777" w:rsidTr="008D3857">
        <w:trPr>
          <w:trHeight w:val="284"/>
        </w:trPr>
        <w:tc>
          <w:tcPr>
            <w:tcW w:w="1666" w:type="pct"/>
          </w:tcPr>
          <w:p w14:paraId="350C9CB6" w14:textId="15551AC5" w:rsidR="00631ED8" w:rsidRPr="00C414AD" w:rsidRDefault="00B429DD" w:rsidP="008D3857">
            <w:pPr>
              <w:jc w:val="center"/>
              <w:rPr>
                <w:rFonts w:cs="Calibri"/>
                <w:sz w:val="20"/>
                <w:szCs w:val="20"/>
                <w:lang w:eastAsia="zh-CN"/>
              </w:rPr>
            </w:pPr>
            <w:proofErr w:type="spellStart"/>
            <w:r w:rsidRPr="00B429DD">
              <w:rPr>
                <w:rFonts w:cs="Calibri"/>
                <w:sz w:val="20"/>
                <w:szCs w:val="20"/>
                <w:lang w:eastAsia="zh-CN"/>
              </w:rPr>
              <w:t>Bingquan</w:t>
            </w:r>
            <w:proofErr w:type="spellEnd"/>
            <w:r w:rsidRPr="00B429DD">
              <w:rPr>
                <w:rFonts w:cs="Calibri"/>
                <w:sz w:val="20"/>
                <w:szCs w:val="20"/>
                <w:lang w:eastAsia="zh-CN"/>
              </w:rPr>
              <w:t xml:space="preserve"> </w:t>
            </w:r>
            <w:r>
              <w:rPr>
                <w:rFonts w:cs="Calibri"/>
                <w:sz w:val="20"/>
                <w:szCs w:val="20"/>
                <w:lang w:eastAsia="zh-CN"/>
              </w:rPr>
              <w:t>et al. (2019)</w:t>
            </w:r>
          </w:p>
        </w:tc>
        <w:tc>
          <w:tcPr>
            <w:tcW w:w="3334" w:type="pct"/>
          </w:tcPr>
          <w:p w14:paraId="3FE4BA93" w14:textId="341981E5" w:rsidR="00631ED8" w:rsidRPr="00196BEC" w:rsidRDefault="009E1275" w:rsidP="008D3857">
            <w:pPr>
              <w:jc w:val="center"/>
              <w:rPr>
                <w:rFonts w:cs="Calibri"/>
                <w:sz w:val="20"/>
                <w:szCs w:val="20"/>
              </w:rPr>
            </w:pPr>
            <w:r>
              <w:rPr>
                <w:rFonts w:cs="Calibri"/>
                <w:sz w:val="20"/>
                <w:szCs w:val="20"/>
              </w:rPr>
              <w:t xml:space="preserve">To </w:t>
            </w:r>
            <w:r w:rsidRPr="009E1275">
              <w:rPr>
                <w:rFonts w:cs="Calibri"/>
                <w:sz w:val="20"/>
                <w:szCs w:val="20"/>
              </w:rPr>
              <w:t>address the relationship of Chinese urban commercial banks’ output loans around neighbouring regions and include the effect of the regional market environment on bank performance.</w:t>
            </w:r>
          </w:p>
        </w:tc>
      </w:tr>
      <w:tr w:rsidR="00631ED8" w:rsidRPr="00CE5391" w14:paraId="478B371C" w14:textId="77777777" w:rsidTr="008D3857">
        <w:trPr>
          <w:trHeight w:val="284"/>
        </w:trPr>
        <w:tc>
          <w:tcPr>
            <w:tcW w:w="1666" w:type="pct"/>
          </w:tcPr>
          <w:p w14:paraId="70079A9A" w14:textId="0836A3DA" w:rsidR="00631ED8" w:rsidRPr="00C414AD" w:rsidRDefault="00BD66CC" w:rsidP="008D3857">
            <w:pPr>
              <w:jc w:val="center"/>
              <w:rPr>
                <w:rFonts w:cs="Calibri"/>
                <w:sz w:val="20"/>
                <w:szCs w:val="20"/>
                <w:lang w:eastAsia="zh-CN"/>
              </w:rPr>
            </w:pPr>
            <w:r w:rsidRPr="00BD66CC">
              <w:rPr>
                <w:rFonts w:cs="Calibri"/>
                <w:sz w:val="20"/>
                <w:szCs w:val="20"/>
                <w:lang w:eastAsia="zh-CN"/>
              </w:rPr>
              <w:t>Luo</w:t>
            </w:r>
            <w:r>
              <w:rPr>
                <w:rFonts w:cs="Calibri"/>
                <w:sz w:val="20"/>
                <w:szCs w:val="20"/>
                <w:lang w:eastAsia="zh-CN"/>
              </w:rPr>
              <w:t xml:space="preserve"> </w:t>
            </w:r>
            <w:r>
              <w:rPr>
                <w:rFonts w:asciiTheme="minorEastAsia" w:eastAsiaTheme="minorEastAsia" w:hAnsiTheme="minorEastAsia" w:cs="Calibri" w:hint="eastAsia"/>
                <w:sz w:val="20"/>
                <w:szCs w:val="20"/>
                <w:lang w:eastAsia="zh-CN"/>
              </w:rPr>
              <w:t>et</w:t>
            </w:r>
            <w:r>
              <w:rPr>
                <w:rFonts w:asciiTheme="minorEastAsia" w:hAnsiTheme="minorEastAsia" w:cs="Calibri"/>
                <w:sz w:val="20"/>
                <w:szCs w:val="20"/>
                <w:lang w:eastAsia="zh-CN"/>
              </w:rPr>
              <w:t xml:space="preserve"> al. (2010)</w:t>
            </w:r>
          </w:p>
        </w:tc>
        <w:tc>
          <w:tcPr>
            <w:tcW w:w="3334" w:type="pct"/>
          </w:tcPr>
          <w:p w14:paraId="6EC2F057" w14:textId="781760C3" w:rsidR="00631ED8" w:rsidRPr="00196BEC" w:rsidRDefault="00BD66CC" w:rsidP="00BD66CC">
            <w:pPr>
              <w:jc w:val="center"/>
              <w:rPr>
                <w:rFonts w:cs="Calibri"/>
                <w:sz w:val="20"/>
                <w:szCs w:val="20"/>
              </w:rPr>
            </w:pPr>
            <w:r w:rsidRPr="00BD66CC">
              <w:rPr>
                <w:rFonts w:cs="Calibri"/>
                <w:sz w:val="20"/>
                <w:szCs w:val="20"/>
              </w:rPr>
              <w:t>The most significant reform before the crisis</w:t>
            </w:r>
            <w:r>
              <w:rPr>
                <w:rFonts w:eastAsiaTheme="minorEastAsia" w:cs="Calibri" w:hint="eastAsia"/>
                <w:sz w:val="20"/>
                <w:szCs w:val="20"/>
                <w:lang w:eastAsia="zh-CN"/>
              </w:rPr>
              <w:t xml:space="preserve"> </w:t>
            </w:r>
            <w:r w:rsidRPr="00BD66CC">
              <w:rPr>
                <w:rFonts w:cs="Calibri"/>
                <w:sz w:val="20"/>
                <w:szCs w:val="20"/>
              </w:rPr>
              <w:t>was ownership diversification, aiming to improve corporate</w:t>
            </w:r>
            <w:r>
              <w:rPr>
                <w:rFonts w:cs="Calibri"/>
                <w:sz w:val="20"/>
                <w:szCs w:val="20"/>
              </w:rPr>
              <w:t xml:space="preserve"> </w:t>
            </w:r>
            <w:r w:rsidRPr="00BD66CC">
              <w:rPr>
                <w:rFonts w:cs="Calibri"/>
                <w:sz w:val="20"/>
                <w:szCs w:val="20"/>
              </w:rPr>
              <w:t>governance</w:t>
            </w:r>
            <w:r>
              <w:rPr>
                <w:rFonts w:eastAsiaTheme="minorEastAsia" w:cs="Calibri" w:hint="eastAsia"/>
                <w:sz w:val="20"/>
                <w:szCs w:val="20"/>
                <w:lang w:eastAsia="zh-CN"/>
              </w:rPr>
              <w:t xml:space="preserve"> </w:t>
            </w:r>
            <w:r w:rsidRPr="00BD66CC">
              <w:rPr>
                <w:rFonts w:cs="Calibri"/>
                <w:sz w:val="20"/>
                <w:szCs w:val="20"/>
              </w:rPr>
              <w:t>and efficiency.</w:t>
            </w:r>
            <w:r>
              <w:rPr>
                <w:rFonts w:cs="Calibri"/>
                <w:sz w:val="20"/>
                <w:szCs w:val="20"/>
              </w:rPr>
              <w:t xml:space="preserve"> </w:t>
            </w:r>
            <w:r w:rsidRPr="00BD66CC">
              <w:rPr>
                <w:rFonts w:cs="Calibri"/>
                <w:sz w:val="20"/>
                <w:szCs w:val="20"/>
              </w:rPr>
              <w:t>This article</w:t>
            </w:r>
            <w:r>
              <w:rPr>
                <w:rFonts w:eastAsiaTheme="minorEastAsia" w:cs="Calibri" w:hint="eastAsia"/>
                <w:sz w:val="20"/>
                <w:szCs w:val="20"/>
                <w:lang w:eastAsia="zh-CN"/>
              </w:rPr>
              <w:t xml:space="preserve"> </w:t>
            </w:r>
            <w:r w:rsidRPr="00BD66CC">
              <w:rPr>
                <w:rFonts w:cs="Calibri"/>
                <w:sz w:val="20"/>
                <w:szCs w:val="20"/>
              </w:rPr>
              <w:t>will study whether this reform has really improved bank efficiency.</w:t>
            </w:r>
          </w:p>
        </w:tc>
      </w:tr>
      <w:tr w:rsidR="00631ED8" w:rsidRPr="00CE5391" w14:paraId="5237373C" w14:textId="77777777" w:rsidTr="008D3857">
        <w:trPr>
          <w:trHeight w:val="284"/>
        </w:trPr>
        <w:tc>
          <w:tcPr>
            <w:tcW w:w="1666" w:type="pct"/>
          </w:tcPr>
          <w:p w14:paraId="42CE109A" w14:textId="77777777" w:rsidR="00631ED8" w:rsidRPr="00C414AD" w:rsidRDefault="00631ED8" w:rsidP="008D3857">
            <w:pPr>
              <w:jc w:val="center"/>
              <w:rPr>
                <w:rFonts w:cs="Calibri"/>
                <w:sz w:val="20"/>
                <w:szCs w:val="20"/>
                <w:lang w:eastAsia="zh-CN"/>
              </w:rPr>
            </w:pPr>
          </w:p>
        </w:tc>
        <w:tc>
          <w:tcPr>
            <w:tcW w:w="3334" w:type="pct"/>
          </w:tcPr>
          <w:p w14:paraId="765FBF34" w14:textId="77777777" w:rsidR="00631ED8" w:rsidRPr="00196BEC" w:rsidRDefault="00631ED8" w:rsidP="008D3857">
            <w:pPr>
              <w:jc w:val="center"/>
              <w:rPr>
                <w:rFonts w:cs="Calibri"/>
                <w:sz w:val="20"/>
                <w:szCs w:val="20"/>
              </w:rPr>
            </w:pPr>
          </w:p>
        </w:tc>
      </w:tr>
      <w:tr w:rsidR="00631ED8" w:rsidRPr="00CE5391" w14:paraId="2BB084B3" w14:textId="77777777" w:rsidTr="008D3857">
        <w:trPr>
          <w:trHeight w:val="284"/>
        </w:trPr>
        <w:tc>
          <w:tcPr>
            <w:tcW w:w="1666" w:type="pct"/>
          </w:tcPr>
          <w:p w14:paraId="2B4ED0B0" w14:textId="77777777" w:rsidR="00631ED8" w:rsidRPr="00C414AD" w:rsidRDefault="00631ED8" w:rsidP="008D3857">
            <w:pPr>
              <w:jc w:val="center"/>
              <w:rPr>
                <w:rFonts w:cs="Calibri"/>
                <w:sz w:val="20"/>
                <w:szCs w:val="20"/>
                <w:lang w:eastAsia="zh-CN"/>
              </w:rPr>
            </w:pPr>
          </w:p>
        </w:tc>
        <w:tc>
          <w:tcPr>
            <w:tcW w:w="3334" w:type="pct"/>
          </w:tcPr>
          <w:p w14:paraId="09A8CC41" w14:textId="77777777" w:rsidR="00631ED8" w:rsidRPr="00196BEC" w:rsidRDefault="00631ED8" w:rsidP="008D3857">
            <w:pPr>
              <w:jc w:val="center"/>
              <w:rPr>
                <w:rFonts w:cs="Calibri"/>
                <w:sz w:val="20"/>
                <w:szCs w:val="20"/>
              </w:rPr>
            </w:pPr>
          </w:p>
        </w:tc>
      </w:tr>
      <w:tr w:rsidR="00631ED8" w:rsidRPr="00CE5391" w14:paraId="0B6BDE58" w14:textId="77777777" w:rsidTr="008D3857">
        <w:trPr>
          <w:trHeight w:val="284"/>
        </w:trPr>
        <w:tc>
          <w:tcPr>
            <w:tcW w:w="1666" w:type="pct"/>
          </w:tcPr>
          <w:p w14:paraId="2DDF8B83" w14:textId="77777777" w:rsidR="00631ED8" w:rsidRPr="00C414AD" w:rsidRDefault="00631ED8" w:rsidP="008D3857">
            <w:pPr>
              <w:jc w:val="center"/>
              <w:rPr>
                <w:rFonts w:cs="Calibri"/>
                <w:sz w:val="20"/>
                <w:szCs w:val="20"/>
                <w:lang w:eastAsia="zh-CN"/>
              </w:rPr>
            </w:pPr>
          </w:p>
        </w:tc>
        <w:tc>
          <w:tcPr>
            <w:tcW w:w="3334" w:type="pct"/>
          </w:tcPr>
          <w:p w14:paraId="73F7FB2D" w14:textId="77777777" w:rsidR="00631ED8" w:rsidRPr="00196BEC" w:rsidRDefault="00631ED8" w:rsidP="008D3857">
            <w:pPr>
              <w:jc w:val="center"/>
              <w:rPr>
                <w:rFonts w:cs="Calibri"/>
                <w:sz w:val="20"/>
                <w:szCs w:val="20"/>
              </w:rPr>
            </w:pPr>
          </w:p>
        </w:tc>
      </w:tr>
    </w:tbl>
    <w:p w14:paraId="0B3508DB" w14:textId="77777777" w:rsidR="00980FBF" w:rsidRDefault="00980FBF" w:rsidP="00980FBF">
      <w:pPr>
        <w:pStyle w:val="ListParagraph"/>
        <w:ind w:left="360"/>
        <w:jc w:val="both"/>
        <w:rPr>
          <w:rFonts w:ascii="Times New Roman" w:hAnsi="Times New Roman" w:cs="Times New Roman"/>
          <w:sz w:val="24"/>
          <w:szCs w:val="24"/>
        </w:rPr>
      </w:pPr>
    </w:p>
    <w:p w14:paraId="0CA17BB9" w14:textId="77777777" w:rsidR="00980FBF" w:rsidRPr="00CE5391" w:rsidRDefault="00980FBF" w:rsidP="00980FBF">
      <w:pPr>
        <w:pStyle w:val="ListParagraph"/>
        <w:spacing w:after="0" w:line="240" w:lineRule="auto"/>
        <w:ind w:left="360"/>
        <w:jc w:val="both"/>
        <w:rPr>
          <w:rFonts w:ascii="Calibri" w:eastAsia="Calibri" w:hAnsi="Calibri" w:cs="Calibri"/>
          <w:sz w:val="20"/>
          <w:szCs w:val="20"/>
        </w:rPr>
      </w:pPr>
      <w:bookmarkStart w:id="0" w:name="_Hlk59749430"/>
      <w:r w:rsidRPr="00CE5391">
        <w:rPr>
          <w:rFonts w:ascii="Calibri" w:eastAsia="Calibri" w:hAnsi="Calibri" w:cs="Calibri"/>
          <w:b/>
          <w:bCs/>
          <w:sz w:val="20"/>
          <w:szCs w:val="20"/>
        </w:rPr>
        <w:t>Table 2:</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the main contribution(s) of the paper</w:t>
      </w:r>
      <w:r w:rsidRPr="00CE5391">
        <w:rPr>
          <w:rFonts w:ascii="Calibri" w:eastAsia="Calibri" w:hAnsi="Calibri" w:cs="Calibri"/>
          <w:sz w:val="20"/>
          <w:szCs w:val="20"/>
        </w:rPr>
        <w:t xml:space="preserve"> (e.g., methodology, research question(s), application): what is the </w:t>
      </w:r>
      <w:r w:rsidRPr="00052730">
        <w:rPr>
          <w:rFonts w:ascii="Calibri" w:eastAsia="Calibri" w:hAnsi="Calibri" w:cs="Calibri"/>
          <w:b/>
          <w:bCs/>
          <w:sz w:val="20"/>
          <w:szCs w:val="20"/>
        </w:rPr>
        <w:t>selling argument</w:t>
      </w:r>
      <w:r w:rsidRPr="00CE5391">
        <w:rPr>
          <w:rFonts w:ascii="Calibri" w:eastAsia="Calibri" w:hAnsi="Calibri" w:cs="Calibri"/>
          <w:sz w:val="20"/>
          <w:szCs w:val="20"/>
        </w:rPr>
        <w:t xml:space="preserve"> of the paper?</w:t>
      </w:r>
    </w:p>
    <w:tbl>
      <w:tblPr>
        <w:tblStyle w:val="TableGrid"/>
        <w:tblW w:w="4803" w:type="pct"/>
        <w:tblInd w:w="355" w:type="dxa"/>
        <w:tblLook w:val="04A0" w:firstRow="1" w:lastRow="0" w:firstColumn="1" w:lastColumn="0" w:noHBand="0" w:noVBand="1"/>
      </w:tblPr>
      <w:tblGrid>
        <w:gridCol w:w="2993"/>
        <w:gridCol w:w="5989"/>
      </w:tblGrid>
      <w:tr w:rsidR="00980FBF" w:rsidRPr="00CE5391" w14:paraId="035BCC86" w14:textId="77777777" w:rsidTr="008D3857">
        <w:trPr>
          <w:trHeight w:val="284"/>
        </w:trPr>
        <w:tc>
          <w:tcPr>
            <w:tcW w:w="1666" w:type="pct"/>
          </w:tcPr>
          <w:p w14:paraId="2A142A98" w14:textId="77777777" w:rsidR="00980FBF" w:rsidRPr="00CE5391" w:rsidRDefault="00980FBF" w:rsidP="00DC1865">
            <w:pPr>
              <w:jc w:val="center"/>
              <w:rPr>
                <w:rFonts w:cs="Calibri"/>
                <w:b/>
                <w:bCs/>
                <w:sz w:val="20"/>
                <w:szCs w:val="20"/>
              </w:rPr>
            </w:pPr>
            <w:r w:rsidRPr="00CE5391">
              <w:rPr>
                <w:rFonts w:cs="Calibri"/>
                <w:b/>
                <w:bCs/>
                <w:sz w:val="20"/>
                <w:szCs w:val="20"/>
              </w:rPr>
              <w:t>Reference</w:t>
            </w:r>
          </w:p>
        </w:tc>
        <w:tc>
          <w:tcPr>
            <w:tcW w:w="3334" w:type="pct"/>
          </w:tcPr>
          <w:p w14:paraId="62B2E082" w14:textId="77777777" w:rsidR="00980FBF" w:rsidRPr="00CE5391" w:rsidRDefault="00980FBF" w:rsidP="00DC1865">
            <w:pPr>
              <w:jc w:val="center"/>
              <w:rPr>
                <w:rFonts w:cs="Calibri"/>
                <w:b/>
                <w:bCs/>
                <w:sz w:val="20"/>
                <w:szCs w:val="20"/>
              </w:rPr>
            </w:pPr>
            <w:r w:rsidRPr="00CE5391">
              <w:rPr>
                <w:rFonts w:cs="Calibri"/>
                <w:b/>
                <w:bCs/>
                <w:sz w:val="20"/>
                <w:szCs w:val="20"/>
              </w:rPr>
              <w:t>Main Contribution(s) of the Paper</w:t>
            </w:r>
          </w:p>
        </w:tc>
      </w:tr>
      <w:tr w:rsidR="00AB1BD9" w:rsidRPr="00CE5391" w14:paraId="1DBE1C8D" w14:textId="77777777" w:rsidTr="008D3857">
        <w:trPr>
          <w:trHeight w:val="284"/>
        </w:trPr>
        <w:tc>
          <w:tcPr>
            <w:tcW w:w="1666" w:type="pct"/>
          </w:tcPr>
          <w:p w14:paraId="73C1D65E" w14:textId="405E8EB8" w:rsidR="00AB1BD9" w:rsidRPr="00CE5391" w:rsidRDefault="00CC1490" w:rsidP="00AB1BD9">
            <w:pPr>
              <w:jc w:val="center"/>
              <w:rPr>
                <w:rFonts w:cs="Calibri"/>
                <w:sz w:val="20"/>
                <w:szCs w:val="20"/>
                <w:lang w:eastAsia="zh-CN"/>
              </w:rPr>
            </w:pPr>
            <w:r w:rsidRPr="00CC1490">
              <w:rPr>
                <w:rFonts w:cs="Calibri"/>
                <w:sz w:val="20"/>
                <w:szCs w:val="20"/>
                <w:lang w:eastAsia="zh-CN"/>
              </w:rPr>
              <w:t>Matthews, et al. (2010)</w:t>
            </w:r>
          </w:p>
        </w:tc>
        <w:tc>
          <w:tcPr>
            <w:tcW w:w="3334" w:type="pct"/>
          </w:tcPr>
          <w:p w14:paraId="6E49BBFF" w14:textId="42E081E6" w:rsidR="00AB1BD9" w:rsidRPr="00AE3833" w:rsidRDefault="00AE3833" w:rsidP="00AE3833">
            <w:pPr>
              <w:jc w:val="center"/>
              <w:rPr>
                <w:rFonts w:eastAsiaTheme="minorEastAsia" w:cs="Calibri"/>
                <w:sz w:val="20"/>
                <w:szCs w:val="20"/>
                <w:lang w:eastAsia="zh-CN"/>
              </w:rPr>
            </w:pPr>
            <w:r>
              <w:rPr>
                <w:rFonts w:eastAsiaTheme="minorEastAsia" w:cs="Calibri"/>
                <w:sz w:val="20"/>
                <w:szCs w:val="20"/>
                <w:lang w:eastAsia="zh-CN"/>
              </w:rPr>
              <w:t>Identify that during 1997 to 2007, t</w:t>
            </w:r>
            <w:r w:rsidRPr="00AE3833">
              <w:rPr>
                <w:rFonts w:eastAsiaTheme="minorEastAsia" w:cs="Calibri"/>
                <w:sz w:val="20"/>
                <w:szCs w:val="20"/>
                <w:lang w:eastAsia="zh-CN"/>
              </w:rPr>
              <w:t>he opening up of the banking market has not led to a discernible</w:t>
            </w:r>
            <w:r>
              <w:rPr>
                <w:rFonts w:eastAsiaTheme="minorEastAsia" w:cs="Calibri" w:hint="eastAsia"/>
                <w:sz w:val="20"/>
                <w:szCs w:val="20"/>
                <w:lang w:eastAsia="zh-CN"/>
              </w:rPr>
              <w:t xml:space="preserve"> </w:t>
            </w:r>
            <w:r w:rsidRPr="00AE3833">
              <w:rPr>
                <w:rFonts w:eastAsiaTheme="minorEastAsia" w:cs="Calibri"/>
                <w:sz w:val="20"/>
                <w:szCs w:val="20"/>
                <w:lang w:eastAsia="zh-CN"/>
              </w:rPr>
              <w:t>improvement in bank productivity growth</w:t>
            </w:r>
          </w:p>
        </w:tc>
      </w:tr>
      <w:tr w:rsidR="008D3857" w:rsidRPr="00CE5391" w14:paraId="11F8818D" w14:textId="77777777" w:rsidTr="008D3857">
        <w:trPr>
          <w:trHeight w:val="284"/>
        </w:trPr>
        <w:tc>
          <w:tcPr>
            <w:tcW w:w="1666" w:type="pct"/>
          </w:tcPr>
          <w:p w14:paraId="215A0AE4" w14:textId="58BFA7CB" w:rsidR="008D3857" w:rsidRPr="00CE5391" w:rsidRDefault="008D3857" w:rsidP="008D3857">
            <w:pPr>
              <w:jc w:val="center"/>
              <w:rPr>
                <w:rFonts w:cs="Calibri"/>
                <w:sz w:val="20"/>
                <w:szCs w:val="20"/>
                <w:lang w:eastAsia="zh-CN"/>
              </w:rPr>
            </w:pPr>
            <w:r w:rsidRPr="00AB1BD9">
              <w:rPr>
                <w:rFonts w:cs="Calibri"/>
                <w:sz w:val="20"/>
                <w:szCs w:val="20"/>
                <w:lang w:val="en-US" w:eastAsia="zh-CN"/>
              </w:rPr>
              <w:t xml:space="preserve">Hou, </w:t>
            </w:r>
            <w:r w:rsidRPr="008D3857">
              <w:rPr>
                <w:rFonts w:cs="Calibri"/>
                <w:sz w:val="20"/>
                <w:szCs w:val="20"/>
                <w:lang w:val="en-US" w:eastAsia="zh-CN"/>
              </w:rPr>
              <w:t>et</w:t>
            </w:r>
            <w:r>
              <w:rPr>
                <w:rFonts w:cs="Calibri"/>
                <w:sz w:val="20"/>
                <w:szCs w:val="20"/>
                <w:lang w:val="en-US" w:eastAsia="zh-CN"/>
              </w:rPr>
              <w:t xml:space="preserve"> al. </w:t>
            </w:r>
            <w:r w:rsidRPr="00AB1BD9">
              <w:rPr>
                <w:rFonts w:cs="Calibri"/>
                <w:sz w:val="20"/>
                <w:szCs w:val="20"/>
                <w:lang w:val="en-US" w:eastAsia="zh-CN"/>
              </w:rPr>
              <w:t>(2014)</w:t>
            </w:r>
          </w:p>
        </w:tc>
        <w:tc>
          <w:tcPr>
            <w:tcW w:w="3334" w:type="pct"/>
          </w:tcPr>
          <w:p w14:paraId="1660931D" w14:textId="5E28C5B6" w:rsidR="008D3857" w:rsidRPr="00CE5391" w:rsidRDefault="008D3857" w:rsidP="008D3857">
            <w:pPr>
              <w:jc w:val="center"/>
              <w:rPr>
                <w:rFonts w:cs="Calibri"/>
                <w:sz w:val="20"/>
                <w:szCs w:val="20"/>
              </w:rPr>
            </w:pPr>
            <w:r w:rsidRPr="00907FC2">
              <w:rPr>
                <w:rFonts w:cs="Calibri"/>
                <w:sz w:val="20"/>
                <w:szCs w:val="20"/>
              </w:rPr>
              <w:t>This paper aims to fill the gap in the literature, estimate the technical efficiency of Chinese</w:t>
            </w:r>
            <w:r>
              <w:rPr>
                <w:rFonts w:eastAsiaTheme="minorEastAsia" w:cs="Calibri" w:hint="eastAsia"/>
                <w:sz w:val="20"/>
                <w:szCs w:val="20"/>
                <w:lang w:eastAsia="zh-CN"/>
              </w:rPr>
              <w:t xml:space="preserve"> </w:t>
            </w:r>
            <w:r w:rsidRPr="00907FC2">
              <w:rPr>
                <w:rFonts w:cs="Calibri"/>
                <w:sz w:val="20"/>
                <w:szCs w:val="20"/>
              </w:rPr>
              <w:t>commercial banks, and investigate the effects of market structure and risk taking on the efficiency</w:t>
            </w:r>
            <w:r>
              <w:rPr>
                <w:rFonts w:eastAsiaTheme="minorEastAsia" w:cs="Calibri" w:hint="eastAsia"/>
                <w:sz w:val="20"/>
                <w:szCs w:val="20"/>
                <w:lang w:eastAsia="zh-CN"/>
              </w:rPr>
              <w:t xml:space="preserve"> </w:t>
            </w:r>
            <w:r w:rsidRPr="00907FC2">
              <w:rPr>
                <w:rFonts w:cs="Calibri"/>
                <w:sz w:val="20"/>
                <w:szCs w:val="20"/>
              </w:rPr>
              <w:t>estimates employing a two-stage semi-parametric DEA model after the outliers are removed from</w:t>
            </w:r>
            <w:r>
              <w:rPr>
                <w:rFonts w:eastAsiaTheme="minorEastAsia" w:cs="Calibri" w:hint="eastAsia"/>
                <w:sz w:val="20"/>
                <w:szCs w:val="20"/>
                <w:lang w:eastAsia="zh-CN"/>
              </w:rPr>
              <w:t xml:space="preserve"> </w:t>
            </w:r>
            <w:r w:rsidRPr="00907FC2">
              <w:rPr>
                <w:rFonts w:cs="Calibri"/>
                <w:sz w:val="20"/>
                <w:szCs w:val="20"/>
              </w:rPr>
              <w:t>the sample observations.</w:t>
            </w:r>
          </w:p>
        </w:tc>
      </w:tr>
      <w:tr w:rsidR="008D3857" w:rsidRPr="00CE5391" w14:paraId="265B617B" w14:textId="77777777" w:rsidTr="008D3857">
        <w:trPr>
          <w:trHeight w:val="284"/>
        </w:trPr>
        <w:tc>
          <w:tcPr>
            <w:tcW w:w="1666" w:type="pct"/>
          </w:tcPr>
          <w:p w14:paraId="4314D7D8" w14:textId="2FEF0D59" w:rsidR="008D3857" w:rsidRPr="00EF20BD" w:rsidRDefault="008D3857" w:rsidP="008D3857">
            <w:pPr>
              <w:jc w:val="center"/>
              <w:rPr>
                <w:rFonts w:cs="Calibri"/>
                <w:sz w:val="20"/>
                <w:szCs w:val="20"/>
                <w:lang w:eastAsia="zh-CN"/>
              </w:rPr>
            </w:pPr>
            <w:r w:rsidRPr="00AB1BD9">
              <w:rPr>
                <w:rFonts w:cs="Calibri"/>
                <w:sz w:val="20"/>
                <w:szCs w:val="20"/>
                <w:lang w:eastAsia="zh-CN"/>
              </w:rPr>
              <w:t>Fukuyama,</w:t>
            </w:r>
            <w:r>
              <w:rPr>
                <w:rFonts w:cs="Calibri"/>
                <w:sz w:val="20"/>
                <w:szCs w:val="20"/>
                <w:lang w:eastAsia="zh-CN"/>
              </w:rPr>
              <w:t xml:space="preserve"> et al.</w:t>
            </w:r>
            <w:r w:rsidRPr="00AB1BD9">
              <w:rPr>
                <w:rFonts w:cs="Calibri"/>
                <w:sz w:val="20"/>
                <w:szCs w:val="20"/>
                <w:lang w:eastAsia="zh-CN"/>
              </w:rPr>
              <w:t xml:space="preserve"> (2021)</w:t>
            </w:r>
          </w:p>
        </w:tc>
        <w:tc>
          <w:tcPr>
            <w:tcW w:w="3334" w:type="pct"/>
          </w:tcPr>
          <w:p w14:paraId="15B6F587" w14:textId="77777777" w:rsidR="008D3857" w:rsidRPr="00927C4B" w:rsidRDefault="008D3857" w:rsidP="008D3857">
            <w:pPr>
              <w:jc w:val="center"/>
              <w:rPr>
                <w:rFonts w:cs="Calibri"/>
                <w:sz w:val="20"/>
                <w:szCs w:val="20"/>
              </w:rPr>
            </w:pPr>
            <w:r w:rsidRPr="00927C4B">
              <w:rPr>
                <w:rFonts w:cs="Calibri"/>
                <w:sz w:val="20"/>
                <w:szCs w:val="20"/>
              </w:rPr>
              <w:t>Our findings show that less liquid banks perform better than</w:t>
            </w:r>
          </w:p>
          <w:p w14:paraId="11A948D2" w14:textId="4E2686AF" w:rsidR="008D3857" w:rsidRPr="00907FC2" w:rsidRDefault="008D3857" w:rsidP="008D3857">
            <w:pPr>
              <w:jc w:val="center"/>
              <w:rPr>
                <w:rFonts w:cs="Calibri"/>
                <w:sz w:val="20"/>
                <w:szCs w:val="20"/>
              </w:rPr>
            </w:pPr>
            <w:r w:rsidRPr="00927C4B">
              <w:rPr>
                <w:rFonts w:cs="Calibri"/>
                <w:sz w:val="20"/>
                <w:szCs w:val="20"/>
              </w:rPr>
              <w:t>the ones with higher levels of liquidity no matter in which way LLRs are treated. Finally, we</w:t>
            </w:r>
            <w:r>
              <w:rPr>
                <w:rFonts w:eastAsiaTheme="minorEastAsia" w:cs="Calibri" w:hint="eastAsia"/>
                <w:sz w:val="20"/>
                <w:szCs w:val="20"/>
                <w:lang w:eastAsia="zh-CN"/>
              </w:rPr>
              <w:t xml:space="preserve"> </w:t>
            </w:r>
            <w:r w:rsidRPr="00927C4B">
              <w:rPr>
                <w:rFonts w:cs="Calibri"/>
                <w:sz w:val="20"/>
                <w:szCs w:val="20"/>
              </w:rPr>
              <w:t>find that lower capitalized banks, compared to the ones with high levels of capitalization, are</w:t>
            </w:r>
            <w:r>
              <w:rPr>
                <w:rFonts w:eastAsiaTheme="minorEastAsia" w:cs="Calibri" w:hint="eastAsia"/>
                <w:sz w:val="20"/>
                <w:szCs w:val="20"/>
                <w:lang w:eastAsia="zh-CN"/>
              </w:rPr>
              <w:t xml:space="preserve"> </w:t>
            </w:r>
            <w:r w:rsidRPr="00927C4B">
              <w:rPr>
                <w:rFonts w:cs="Calibri"/>
                <w:sz w:val="20"/>
                <w:szCs w:val="20"/>
              </w:rPr>
              <w:t xml:space="preserve">less efficient. </w:t>
            </w:r>
            <w:r w:rsidRPr="00927C4B">
              <w:rPr>
                <w:rFonts w:cs="Calibri"/>
                <w:sz w:val="20"/>
                <w:szCs w:val="20"/>
              </w:rPr>
              <w:lastRenderedPageBreak/>
              <w:t>however, it shows that higher capitalized banks consistently keep more than</w:t>
            </w:r>
            <w:r>
              <w:rPr>
                <w:rFonts w:eastAsiaTheme="minorEastAsia" w:cs="Calibri" w:hint="eastAsia"/>
                <w:sz w:val="20"/>
                <w:szCs w:val="20"/>
                <w:lang w:eastAsia="zh-CN"/>
              </w:rPr>
              <w:t xml:space="preserve"> </w:t>
            </w:r>
            <w:r w:rsidRPr="00927C4B">
              <w:rPr>
                <w:rFonts w:cs="Calibri"/>
                <w:sz w:val="20"/>
                <w:szCs w:val="20"/>
              </w:rPr>
              <w:t>1% LLRs out of total loans.</w:t>
            </w:r>
          </w:p>
        </w:tc>
      </w:tr>
      <w:tr w:rsidR="008D3857" w:rsidRPr="00CE5391" w14:paraId="65BE4556" w14:textId="77777777" w:rsidTr="008D3857">
        <w:trPr>
          <w:trHeight w:val="284"/>
        </w:trPr>
        <w:tc>
          <w:tcPr>
            <w:tcW w:w="1666" w:type="pct"/>
          </w:tcPr>
          <w:p w14:paraId="0580538A" w14:textId="299687EF" w:rsidR="008D3857" w:rsidRPr="00EF20BD" w:rsidRDefault="008D3857" w:rsidP="008D3857">
            <w:pPr>
              <w:jc w:val="center"/>
              <w:rPr>
                <w:rFonts w:cs="Calibri"/>
                <w:sz w:val="20"/>
                <w:szCs w:val="20"/>
                <w:lang w:eastAsia="zh-CN"/>
              </w:rPr>
            </w:pPr>
            <w:r w:rsidRPr="008D3857">
              <w:rPr>
                <w:rFonts w:cs="Calibri"/>
                <w:sz w:val="20"/>
                <w:szCs w:val="20"/>
                <w:lang w:eastAsia="zh-CN"/>
              </w:rPr>
              <w:lastRenderedPageBreak/>
              <w:t>Fukuyama, et al. (2021)</w:t>
            </w:r>
          </w:p>
        </w:tc>
        <w:tc>
          <w:tcPr>
            <w:tcW w:w="3334" w:type="pct"/>
          </w:tcPr>
          <w:p w14:paraId="2711823E" w14:textId="1D5527F1" w:rsidR="008D3857" w:rsidRPr="00907FC2" w:rsidRDefault="008D3857" w:rsidP="008D3857">
            <w:pPr>
              <w:jc w:val="center"/>
              <w:rPr>
                <w:rFonts w:cs="Calibri"/>
                <w:sz w:val="20"/>
                <w:szCs w:val="20"/>
              </w:rPr>
            </w:pPr>
            <w:r w:rsidRPr="009F5F25">
              <w:rPr>
                <w:rFonts w:cs="Calibri"/>
                <w:sz w:val="20"/>
                <w:szCs w:val="20"/>
              </w:rPr>
              <w:t>We are the first piece of</w:t>
            </w:r>
            <w:r>
              <w:rPr>
                <w:rFonts w:eastAsiaTheme="minorEastAsia" w:cs="Calibri" w:hint="eastAsia"/>
                <w:sz w:val="20"/>
                <w:szCs w:val="20"/>
                <w:lang w:eastAsia="zh-CN"/>
              </w:rPr>
              <w:t xml:space="preserve"> </w:t>
            </w:r>
            <w:r w:rsidRPr="009F5F25">
              <w:rPr>
                <w:rFonts w:cs="Calibri"/>
                <w:sz w:val="20"/>
                <w:szCs w:val="20"/>
              </w:rPr>
              <w:t>research considering the number of employees as one bank input and potential increase</w:t>
            </w:r>
            <w:r>
              <w:rPr>
                <w:rFonts w:eastAsiaTheme="minorEastAsia" w:cs="Calibri" w:hint="eastAsia"/>
                <w:sz w:val="20"/>
                <w:szCs w:val="20"/>
                <w:lang w:eastAsia="zh-CN"/>
              </w:rPr>
              <w:t xml:space="preserve"> </w:t>
            </w:r>
            <w:r w:rsidRPr="009F5F25">
              <w:rPr>
                <w:rFonts w:cs="Calibri"/>
                <w:sz w:val="20"/>
                <w:szCs w:val="20"/>
              </w:rPr>
              <w:t>in the number of employees as one CSR indicator. Additionally, we innovatively propose</w:t>
            </w:r>
            <w:r>
              <w:rPr>
                <w:rFonts w:eastAsiaTheme="minorEastAsia" w:cs="Calibri" w:hint="eastAsia"/>
                <w:sz w:val="20"/>
                <w:szCs w:val="20"/>
                <w:lang w:eastAsia="zh-CN"/>
              </w:rPr>
              <w:t xml:space="preserve"> </w:t>
            </w:r>
            <w:r w:rsidRPr="009F5F25">
              <w:rPr>
                <w:rFonts w:cs="Calibri"/>
                <w:sz w:val="20"/>
                <w:szCs w:val="20"/>
              </w:rPr>
              <w:t>another three specific CSR indicators: namely donation, balance of green credits and loans</w:t>
            </w:r>
            <w:r>
              <w:rPr>
                <w:rFonts w:eastAsiaTheme="minorEastAsia" w:cs="Calibri" w:hint="eastAsia"/>
                <w:sz w:val="20"/>
                <w:szCs w:val="20"/>
                <w:lang w:eastAsia="zh-CN"/>
              </w:rPr>
              <w:t xml:space="preserve"> </w:t>
            </w:r>
            <w:r w:rsidRPr="009F5F25">
              <w:rPr>
                <w:rFonts w:cs="Calibri"/>
                <w:sz w:val="20"/>
                <w:szCs w:val="20"/>
              </w:rPr>
              <w:t>to small and medium sized enterprises.</w:t>
            </w:r>
          </w:p>
        </w:tc>
      </w:tr>
      <w:tr w:rsidR="008D3857" w:rsidRPr="00CE5391" w14:paraId="26B0525A" w14:textId="77777777" w:rsidTr="008D3857">
        <w:trPr>
          <w:trHeight w:val="284"/>
        </w:trPr>
        <w:tc>
          <w:tcPr>
            <w:tcW w:w="1666" w:type="pct"/>
          </w:tcPr>
          <w:p w14:paraId="61B417B1" w14:textId="4E478CE3" w:rsidR="008D3857" w:rsidRPr="00EF20BD" w:rsidRDefault="003242E9" w:rsidP="008D3857">
            <w:pPr>
              <w:jc w:val="center"/>
              <w:rPr>
                <w:rFonts w:cs="Calibri"/>
                <w:sz w:val="20"/>
                <w:szCs w:val="20"/>
                <w:lang w:eastAsia="zh-CN"/>
              </w:rPr>
            </w:pPr>
            <w:r w:rsidRPr="003242E9">
              <w:rPr>
                <w:rFonts w:cs="Calibri"/>
                <w:sz w:val="20"/>
                <w:szCs w:val="20"/>
                <w:lang w:eastAsia="zh-CN"/>
              </w:rPr>
              <w:t>Dong</w:t>
            </w:r>
            <w:r>
              <w:rPr>
                <w:rFonts w:cs="Calibri"/>
                <w:sz w:val="20"/>
                <w:szCs w:val="20"/>
                <w:lang w:eastAsia="zh-CN"/>
              </w:rPr>
              <w:t xml:space="preserve"> et al. (2016)</w:t>
            </w:r>
          </w:p>
        </w:tc>
        <w:tc>
          <w:tcPr>
            <w:tcW w:w="3334" w:type="pct"/>
          </w:tcPr>
          <w:p w14:paraId="54FDC661" w14:textId="0120F792" w:rsidR="008D3857" w:rsidRPr="00907FC2" w:rsidRDefault="003242E9" w:rsidP="003242E9">
            <w:pPr>
              <w:jc w:val="center"/>
              <w:rPr>
                <w:rFonts w:cs="Calibri"/>
                <w:sz w:val="20"/>
                <w:szCs w:val="20"/>
              </w:rPr>
            </w:pPr>
            <w:r w:rsidRPr="003242E9">
              <w:rPr>
                <w:rFonts w:cs="Calibri"/>
                <w:sz w:val="20"/>
                <w:szCs w:val="20"/>
              </w:rPr>
              <w:t>policy makers should be</w:t>
            </w:r>
            <w:r>
              <w:rPr>
                <w:rFonts w:eastAsiaTheme="minorEastAsia" w:cs="Calibri" w:hint="eastAsia"/>
                <w:sz w:val="20"/>
                <w:szCs w:val="20"/>
                <w:lang w:eastAsia="zh-CN"/>
              </w:rPr>
              <w:t xml:space="preserve"> </w:t>
            </w:r>
            <w:r w:rsidRPr="003242E9">
              <w:rPr>
                <w:rFonts w:cs="Calibri"/>
                <w:sz w:val="20"/>
                <w:szCs w:val="20"/>
              </w:rPr>
              <w:t>cautious of the adjustment costs imposed by the recapitalization process, which offsets the</w:t>
            </w:r>
            <w:r>
              <w:rPr>
                <w:rFonts w:eastAsiaTheme="minorEastAsia" w:cs="Calibri" w:hint="eastAsia"/>
                <w:sz w:val="20"/>
                <w:szCs w:val="20"/>
                <w:lang w:eastAsia="zh-CN"/>
              </w:rPr>
              <w:t xml:space="preserve"> </w:t>
            </w:r>
            <w:r w:rsidRPr="003242E9">
              <w:rPr>
                <w:rFonts w:cs="Calibri"/>
                <w:sz w:val="20"/>
                <w:szCs w:val="20"/>
              </w:rPr>
              <w:t>efficiency gains.</w:t>
            </w:r>
          </w:p>
        </w:tc>
      </w:tr>
      <w:tr w:rsidR="008D3857" w:rsidRPr="00CE5391" w14:paraId="288425EE" w14:textId="77777777" w:rsidTr="008D3857">
        <w:trPr>
          <w:trHeight w:val="284"/>
        </w:trPr>
        <w:tc>
          <w:tcPr>
            <w:tcW w:w="1666" w:type="pct"/>
          </w:tcPr>
          <w:p w14:paraId="5283C470" w14:textId="16414A26" w:rsidR="008D3857" w:rsidRPr="00EF20BD" w:rsidRDefault="00C414AD" w:rsidP="008D3857">
            <w:pPr>
              <w:jc w:val="center"/>
              <w:rPr>
                <w:rFonts w:cs="Calibri"/>
                <w:sz w:val="20"/>
                <w:szCs w:val="20"/>
                <w:lang w:eastAsia="zh-CN"/>
              </w:rPr>
            </w:pPr>
            <w:r w:rsidRPr="00C414AD">
              <w:rPr>
                <w:rFonts w:cs="Calibri"/>
                <w:sz w:val="20"/>
                <w:szCs w:val="20"/>
                <w:lang w:eastAsia="zh-CN"/>
              </w:rPr>
              <w:t>Luo et al. (2011)</w:t>
            </w:r>
          </w:p>
        </w:tc>
        <w:tc>
          <w:tcPr>
            <w:tcW w:w="3334" w:type="pct"/>
          </w:tcPr>
          <w:p w14:paraId="2413D94D" w14:textId="1EC334FB" w:rsidR="009C42AA" w:rsidRPr="00196BEC" w:rsidRDefault="00196BEC" w:rsidP="00196BEC">
            <w:pPr>
              <w:jc w:val="center"/>
              <w:rPr>
                <w:rFonts w:eastAsiaTheme="minorEastAsia" w:cs="Calibri"/>
                <w:sz w:val="20"/>
                <w:szCs w:val="20"/>
                <w:lang w:eastAsia="zh-CN"/>
              </w:rPr>
            </w:pPr>
            <w:r>
              <w:rPr>
                <w:rFonts w:eastAsiaTheme="minorEastAsia" w:cs="Calibri" w:hint="eastAsia"/>
                <w:sz w:val="20"/>
                <w:szCs w:val="20"/>
                <w:lang w:eastAsia="zh-CN"/>
              </w:rPr>
              <w:t>T</w:t>
            </w:r>
            <w:r>
              <w:rPr>
                <w:rFonts w:eastAsiaTheme="minorEastAsia" w:cs="Calibri"/>
                <w:sz w:val="20"/>
                <w:szCs w:val="20"/>
                <w:lang w:eastAsia="zh-CN"/>
              </w:rPr>
              <w:t xml:space="preserve">he </w:t>
            </w:r>
            <w:r w:rsidRPr="00196BEC">
              <w:rPr>
                <w:rFonts w:eastAsiaTheme="minorEastAsia" w:cs="Calibri"/>
                <w:sz w:val="20"/>
                <w:szCs w:val="20"/>
                <w:lang w:eastAsia="zh-CN"/>
              </w:rPr>
              <w:t>results confirmed</w:t>
            </w:r>
            <w:r>
              <w:rPr>
                <w:rFonts w:eastAsiaTheme="minorEastAsia" w:cs="Calibri"/>
                <w:sz w:val="20"/>
                <w:szCs w:val="20"/>
                <w:lang w:eastAsia="zh-CN"/>
              </w:rPr>
              <w:t xml:space="preserve"> </w:t>
            </w:r>
            <w:r w:rsidRPr="00196BEC">
              <w:rPr>
                <w:rFonts w:eastAsiaTheme="minorEastAsia" w:cs="Calibri"/>
                <w:sz w:val="20"/>
                <w:szCs w:val="20"/>
                <w:lang w:eastAsia="zh-CN"/>
              </w:rPr>
              <w:t>that banking reform in China over the past 10 years had achieved</w:t>
            </w:r>
            <w:r>
              <w:rPr>
                <w:rFonts w:eastAsiaTheme="minorEastAsia" w:cs="Calibri" w:hint="eastAsia"/>
                <w:sz w:val="20"/>
                <w:szCs w:val="20"/>
                <w:lang w:eastAsia="zh-CN"/>
              </w:rPr>
              <w:t xml:space="preserve"> </w:t>
            </w:r>
            <w:r w:rsidRPr="00196BEC">
              <w:rPr>
                <w:rFonts w:eastAsiaTheme="minorEastAsia" w:cs="Calibri"/>
                <w:sz w:val="20"/>
                <w:szCs w:val="20"/>
                <w:lang w:eastAsia="zh-CN"/>
              </w:rPr>
              <w:t>remarkable progress. Efficiency levels of the entire sample banks had been</w:t>
            </w:r>
            <w:r>
              <w:rPr>
                <w:rFonts w:eastAsiaTheme="minorEastAsia" w:cs="Calibri" w:hint="eastAsia"/>
                <w:sz w:val="20"/>
                <w:szCs w:val="20"/>
                <w:lang w:eastAsia="zh-CN"/>
              </w:rPr>
              <w:t xml:space="preserve"> </w:t>
            </w:r>
            <w:r w:rsidRPr="00196BEC">
              <w:rPr>
                <w:rFonts w:eastAsiaTheme="minorEastAsia" w:cs="Calibri"/>
                <w:sz w:val="20"/>
                <w:szCs w:val="20"/>
                <w:lang w:eastAsia="zh-CN"/>
              </w:rPr>
              <w:t>improved significantly, and this particularly explained why Chinese banks were</w:t>
            </w:r>
            <w:r>
              <w:rPr>
                <w:rFonts w:eastAsiaTheme="minorEastAsia" w:cs="Calibri" w:hint="eastAsia"/>
                <w:sz w:val="20"/>
                <w:szCs w:val="20"/>
                <w:lang w:eastAsia="zh-CN"/>
              </w:rPr>
              <w:t xml:space="preserve"> </w:t>
            </w:r>
            <w:r w:rsidRPr="00196BEC">
              <w:rPr>
                <w:rFonts w:eastAsiaTheme="minorEastAsia" w:cs="Calibri"/>
                <w:sz w:val="20"/>
                <w:szCs w:val="20"/>
                <w:lang w:eastAsia="zh-CN"/>
              </w:rPr>
              <w:t>less affected by the</w:t>
            </w:r>
            <w:r>
              <w:rPr>
                <w:rFonts w:eastAsiaTheme="minorEastAsia" w:cs="Calibri"/>
                <w:sz w:val="20"/>
                <w:szCs w:val="20"/>
                <w:lang w:eastAsia="zh-CN"/>
              </w:rPr>
              <w:t xml:space="preserve"> </w:t>
            </w:r>
            <w:r w:rsidRPr="00196BEC">
              <w:rPr>
                <w:rFonts w:eastAsiaTheme="minorEastAsia" w:cs="Calibri"/>
                <w:sz w:val="20"/>
                <w:szCs w:val="20"/>
                <w:lang w:eastAsia="zh-CN"/>
              </w:rPr>
              <w:t>current financial crisis than their Western counterparts.</w:t>
            </w:r>
          </w:p>
        </w:tc>
      </w:tr>
      <w:tr w:rsidR="00631ED8" w:rsidRPr="00CE5391" w14:paraId="301FA143" w14:textId="77777777" w:rsidTr="008D3857">
        <w:trPr>
          <w:trHeight w:val="284"/>
        </w:trPr>
        <w:tc>
          <w:tcPr>
            <w:tcW w:w="1666" w:type="pct"/>
          </w:tcPr>
          <w:p w14:paraId="7E55A25B" w14:textId="6781B63B" w:rsidR="00631ED8" w:rsidRPr="00C414AD" w:rsidRDefault="00EE2037" w:rsidP="008D3857">
            <w:pPr>
              <w:jc w:val="center"/>
              <w:rPr>
                <w:rFonts w:cs="Calibri"/>
                <w:sz w:val="20"/>
                <w:szCs w:val="20"/>
                <w:lang w:eastAsia="zh-CN"/>
              </w:rPr>
            </w:pPr>
            <w:r w:rsidRPr="00EE2037">
              <w:rPr>
                <w:rFonts w:cs="Calibri"/>
                <w:sz w:val="20"/>
                <w:szCs w:val="20"/>
                <w:lang w:eastAsia="zh-CN"/>
              </w:rPr>
              <w:t>Antunes et al. (2022)</w:t>
            </w:r>
          </w:p>
        </w:tc>
        <w:tc>
          <w:tcPr>
            <w:tcW w:w="3334" w:type="pct"/>
          </w:tcPr>
          <w:p w14:paraId="36427F6F" w14:textId="07633A18" w:rsidR="00631ED8" w:rsidRDefault="00EE2037" w:rsidP="00EE2037">
            <w:pPr>
              <w:jc w:val="center"/>
              <w:rPr>
                <w:rFonts w:eastAsiaTheme="minorEastAsia" w:cs="Calibri"/>
                <w:sz w:val="20"/>
                <w:szCs w:val="20"/>
                <w:lang w:eastAsia="zh-CN"/>
              </w:rPr>
            </w:pPr>
            <w:r w:rsidRPr="00EE2037">
              <w:rPr>
                <w:rFonts w:eastAsiaTheme="minorEastAsia" w:cs="Calibri"/>
                <w:sz w:val="20"/>
                <w:szCs w:val="20"/>
                <w:lang w:eastAsia="zh-CN"/>
              </w:rPr>
              <w:t>proposes a new DEA model</w:t>
            </w:r>
            <w:r>
              <w:rPr>
                <w:rFonts w:eastAsiaTheme="minorEastAsia" w:cs="Calibri"/>
                <w:sz w:val="20"/>
                <w:szCs w:val="20"/>
                <w:lang w:eastAsia="zh-CN"/>
              </w:rPr>
              <w:t xml:space="preserve"> and discovered that </w:t>
            </w:r>
            <w:r w:rsidRPr="00EE2037">
              <w:rPr>
                <w:rFonts w:eastAsiaTheme="minorEastAsia" w:cs="Calibri"/>
                <w:sz w:val="20"/>
                <w:szCs w:val="20"/>
                <w:lang w:eastAsia="zh-CN"/>
              </w:rPr>
              <w:t>bank size exerts a positive influence on</w:t>
            </w:r>
            <w:r>
              <w:rPr>
                <w:rFonts w:eastAsiaTheme="minorEastAsia" w:cs="Calibri"/>
                <w:sz w:val="20"/>
                <w:szCs w:val="20"/>
                <w:lang w:eastAsia="zh-CN"/>
              </w:rPr>
              <w:t xml:space="preserve"> </w:t>
            </w:r>
            <w:r w:rsidRPr="00EE2037">
              <w:rPr>
                <w:rFonts w:eastAsiaTheme="minorEastAsia" w:cs="Calibri"/>
                <w:sz w:val="20"/>
                <w:szCs w:val="20"/>
                <w:lang w:eastAsia="zh-CN"/>
              </w:rPr>
              <w:t>the development of non-traditional banking business and a proactive expense management,</w:t>
            </w:r>
            <w:r>
              <w:rPr>
                <w:rFonts w:eastAsiaTheme="minorEastAsia" w:cs="Calibri" w:hint="eastAsia"/>
                <w:sz w:val="20"/>
                <w:szCs w:val="20"/>
                <w:lang w:eastAsia="zh-CN"/>
              </w:rPr>
              <w:t xml:space="preserve"> </w:t>
            </w:r>
            <w:r w:rsidRPr="00EE2037">
              <w:rPr>
                <w:rFonts w:eastAsiaTheme="minorEastAsia" w:cs="Calibri"/>
                <w:sz w:val="20"/>
                <w:szCs w:val="20"/>
                <w:lang w:eastAsia="zh-CN"/>
              </w:rPr>
              <w:t>bank size and non-traditional businesses have a positive impact on efficiency levels, while</w:t>
            </w:r>
            <w:r>
              <w:rPr>
                <w:rFonts w:eastAsiaTheme="minorEastAsia" w:cs="Calibri" w:hint="eastAsia"/>
                <w:sz w:val="20"/>
                <w:szCs w:val="20"/>
                <w:lang w:eastAsia="zh-CN"/>
              </w:rPr>
              <w:t xml:space="preserve"> </w:t>
            </w:r>
            <w:r w:rsidRPr="00EE2037">
              <w:rPr>
                <w:rFonts w:eastAsiaTheme="minorEastAsia" w:cs="Calibri"/>
                <w:sz w:val="20"/>
                <w:szCs w:val="20"/>
                <w:lang w:eastAsia="zh-CN"/>
              </w:rPr>
              <w:t>bank profitability, traditional businesses and expenses management have negative influences</w:t>
            </w:r>
            <w:r>
              <w:rPr>
                <w:rFonts w:eastAsiaTheme="minorEastAsia" w:cs="Calibri" w:hint="eastAsia"/>
                <w:sz w:val="20"/>
                <w:szCs w:val="20"/>
                <w:lang w:eastAsia="zh-CN"/>
              </w:rPr>
              <w:t xml:space="preserve"> </w:t>
            </w:r>
            <w:r w:rsidRPr="00EE2037">
              <w:rPr>
                <w:rFonts w:eastAsiaTheme="minorEastAsia" w:cs="Calibri"/>
                <w:sz w:val="20"/>
                <w:szCs w:val="20"/>
                <w:lang w:eastAsia="zh-CN"/>
              </w:rPr>
              <w:t>on bank efficiency.</w:t>
            </w:r>
          </w:p>
        </w:tc>
      </w:tr>
      <w:tr w:rsidR="00631ED8" w:rsidRPr="00CE5391" w14:paraId="7F1AED18" w14:textId="77777777" w:rsidTr="008D3857">
        <w:trPr>
          <w:trHeight w:val="284"/>
        </w:trPr>
        <w:tc>
          <w:tcPr>
            <w:tcW w:w="1666" w:type="pct"/>
          </w:tcPr>
          <w:p w14:paraId="487A5C4F" w14:textId="3F6EA6D5" w:rsidR="00631ED8" w:rsidRPr="00C414AD" w:rsidRDefault="00B429DD" w:rsidP="008D3857">
            <w:pPr>
              <w:jc w:val="center"/>
              <w:rPr>
                <w:rFonts w:cs="Calibri"/>
                <w:sz w:val="20"/>
                <w:szCs w:val="20"/>
                <w:lang w:eastAsia="zh-CN"/>
              </w:rPr>
            </w:pPr>
            <w:proofErr w:type="spellStart"/>
            <w:r w:rsidRPr="00B429DD">
              <w:rPr>
                <w:rFonts w:cs="Calibri"/>
                <w:sz w:val="20"/>
                <w:szCs w:val="20"/>
                <w:lang w:eastAsia="zh-CN"/>
              </w:rPr>
              <w:t>Bingquan</w:t>
            </w:r>
            <w:proofErr w:type="spellEnd"/>
            <w:r w:rsidRPr="00B429DD">
              <w:rPr>
                <w:rFonts w:cs="Calibri"/>
                <w:sz w:val="20"/>
                <w:szCs w:val="20"/>
                <w:lang w:eastAsia="zh-CN"/>
              </w:rPr>
              <w:t xml:space="preserve"> et al. (2019)</w:t>
            </w:r>
          </w:p>
        </w:tc>
        <w:tc>
          <w:tcPr>
            <w:tcW w:w="3334" w:type="pct"/>
          </w:tcPr>
          <w:p w14:paraId="19341BCB" w14:textId="4CBB5712" w:rsidR="00631ED8" w:rsidRDefault="00EC2311" w:rsidP="00196BEC">
            <w:pPr>
              <w:jc w:val="center"/>
              <w:rPr>
                <w:rFonts w:eastAsiaTheme="minorEastAsia" w:cs="Calibri"/>
                <w:sz w:val="20"/>
                <w:szCs w:val="20"/>
                <w:lang w:eastAsia="zh-CN"/>
              </w:rPr>
            </w:pPr>
            <w:r w:rsidRPr="00EC2311">
              <w:rPr>
                <w:rFonts w:eastAsiaTheme="minorEastAsia" w:cs="Calibri"/>
                <w:sz w:val="20"/>
                <w:szCs w:val="20"/>
                <w:lang w:eastAsia="zh-CN"/>
              </w:rPr>
              <w:t>A key finding for our sample is the significant spatial dependence of loans of Chinese urban commercial banks with their neighbouring regions’ banks. Short-run efficiency is increasing during the research period. For regions with less than three urban commercial banks, the average efficiencies are stable and relatively high. However, regions with more banks have both the highest and lowest efficient banks at the same time. These interesting results fit with the development process of Chinese urban commercial banking, in which the market restructuring has contributed to banks’ efficiency.</w:t>
            </w:r>
          </w:p>
        </w:tc>
      </w:tr>
      <w:tr w:rsidR="00631ED8" w:rsidRPr="00CE5391" w14:paraId="2F55978B" w14:textId="77777777" w:rsidTr="008D3857">
        <w:trPr>
          <w:trHeight w:val="284"/>
        </w:trPr>
        <w:tc>
          <w:tcPr>
            <w:tcW w:w="1666" w:type="pct"/>
          </w:tcPr>
          <w:p w14:paraId="4706B452" w14:textId="2912E3BB" w:rsidR="00631ED8" w:rsidRPr="00C414AD" w:rsidRDefault="00BD66CC" w:rsidP="008D3857">
            <w:pPr>
              <w:jc w:val="center"/>
              <w:rPr>
                <w:rFonts w:cs="Calibri"/>
                <w:sz w:val="20"/>
                <w:szCs w:val="20"/>
                <w:lang w:eastAsia="zh-CN"/>
              </w:rPr>
            </w:pPr>
            <w:r w:rsidRPr="00BD66CC">
              <w:rPr>
                <w:rFonts w:cs="Calibri"/>
                <w:sz w:val="20"/>
                <w:szCs w:val="20"/>
                <w:lang w:eastAsia="zh-CN"/>
              </w:rPr>
              <w:t>Luo et al. (2010)</w:t>
            </w:r>
          </w:p>
        </w:tc>
        <w:tc>
          <w:tcPr>
            <w:tcW w:w="3334" w:type="pct"/>
          </w:tcPr>
          <w:p w14:paraId="67407857" w14:textId="1EC66580" w:rsidR="00631ED8" w:rsidRDefault="00BD66CC" w:rsidP="00BD66CC">
            <w:pPr>
              <w:jc w:val="center"/>
              <w:rPr>
                <w:rFonts w:eastAsiaTheme="minorEastAsia" w:cs="Calibri"/>
                <w:sz w:val="20"/>
                <w:szCs w:val="20"/>
                <w:lang w:eastAsia="zh-CN"/>
              </w:rPr>
            </w:pPr>
            <w:r w:rsidRPr="00BD66CC">
              <w:rPr>
                <w:rFonts w:eastAsiaTheme="minorEastAsia" w:cs="Calibri"/>
                <w:sz w:val="20"/>
                <w:szCs w:val="20"/>
                <w:lang w:eastAsia="zh-CN"/>
              </w:rPr>
              <w:t>bank efficiency increased by almost 5% after</w:t>
            </w:r>
            <w:r>
              <w:rPr>
                <w:rFonts w:eastAsiaTheme="minorEastAsia" w:cs="Calibri" w:hint="eastAsia"/>
                <w:sz w:val="20"/>
                <w:szCs w:val="20"/>
                <w:lang w:eastAsia="zh-CN"/>
              </w:rPr>
              <w:t xml:space="preserve"> </w:t>
            </w:r>
            <w:r w:rsidRPr="00BD66CC">
              <w:rPr>
                <w:rFonts w:eastAsiaTheme="minorEastAsia" w:cs="Calibri"/>
                <w:sz w:val="20"/>
                <w:szCs w:val="20"/>
                <w:lang w:eastAsia="zh-CN"/>
              </w:rPr>
              <w:t>listing. Despite the fact that Joint Equity Banks (JEBs) still perform better</w:t>
            </w:r>
            <w:r>
              <w:rPr>
                <w:rFonts w:eastAsiaTheme="minorEastAsia" w:cs="Calibri" w:hint="eastAsia"/>
                <w:sz w:val="20"/>
                <w:szCs w:val="20"/>
                <w:lang w:eastAsia="zh-CN"/>
              </w:rPr>
              <w:t xml:space="preserve"> </w:t>
            </w:r>
            <w:r w:rsidRPr="00BD66CC">
              <w:rPr>
                <w:rFonts w:eastAsiaTheme="minorEastAsia" w:cs="Calibri"/>
                <w:sz w:val="20"/>
                <w:szCs w:val="20"/>
                <w:lang w:eastAsia="zh-CN"/>
              </w:rPr>
              <w:t>than SOBs, the latter manage to catch up and reduce the efficiency gap</w:t>
            </w:r>
            <w:r>
              <w:rPr>
                <w:rFonts w:eastAsiaTheme="minorEastAsia" w:cs="Calibri" w:hint="eastAsia"/>
                <w:sz w:val="20"/>
                <w:szCs w:val="20"/>
                <w:lang w:eastAsia="zh-CN"/>
              </w:rPr>
              <w:t xml:space="preserve"> </w:t>
            </w:r>
            <w:r w:rsidRPr="00BD66CC">
              <w:rPr>
                <w:rFonts w:eastAsiaTheme="minorEastAsia" w:cs="Calibri"/>
                <w:sz w:val="20"/>
                <w:szCs w:val="20"/>
                <w:lang w:eastAsia="zh-CN"/>
              </w:rPr>
              <w:t>with the former during the past few years. This in part explains why the</w:t>
            </w:r>
            <w:r>
              <w:rPr>
                <w:rFonts w:eastAsiaTheme="minorEastAsia" w:cs="Calibri" w:hint="eastAsia"/>
                <w:sz w:val="20"/>
                <w:szCs w:val="20"/>
                <w:lang w:eastAsia="zh-CN"/>
              </w:rPr>
              <w:t xml:space="preserve"> </w:t>
            </w:r>
            <w:r w:rsidRPr="00BD66CC">
              <w:rPr>
                <w:rFonts w:eastAsiaTheme="minorEastAsia" w:cs="Calibri"/>
                <w:sz w:val="20"/>
                <w:szCs w:val="20"/>
                <w:lang w:eastAsia="zh-CN"/>
              </w:rPr>
              <w:t>Chinese banking system has been less affected by the current world</w:t>
            </w:r>
            <w:r>
              <w:rPr>
                <w:rFonts w:eastAsiaTheme="minorEastAsia" w:cs="Calibri" w:hint="eastAsia"/>
                <w:sz w:val="20"/>
                <w:szCs w:val="20"/>
                <w:lang w:eastAsia="zh-CN"/>
              </w:rPr>
              <w:t xml:space="preserve"> </w:t>
            </w:r>
            <w:r w:rsidRPr="00BD66CC">
              <w:rPr>
                <w:rFonts w:eastAsiaTheme="minorEastAsia" w:cs="Calibri"/>
                <w:sz w:val="20"/>
                <w:szCs w:val="20"/>
                <w:lang w:eastAsia="zh-CN"/>
              </w:rPr>
              <w:t>financial crisis than their western counterparts, leading to an important</w:t>
            </w:r>
            <w:r>
              <w:rPr>
                <w:rFonts w:eastAsiaTheme="minorEastAsia" w:cs="Calibri" w:hint="eastAsia"/>
                <w:sz w:val="20"/>
                <w:szCs w:val="20"/>
                <w:lang w:eastAsia="zh-CN"/>
              </w:rPr>
              <w:t xml:space="preserve"> </w:t>
            </w:r>
            <w:r w:rsidRPr="00BD66CC">
              <w:rPr>
                <w:rFonts w:eastAsiaTheme="minorEastAsia" w:cs="Calibri"/>
                <w:sz w:val="20"/>
                <w:szCs w:val="20"/>
                <w:lang w:eastAsia="zh-CN"/>
              </w:rPr>
              <w:t>conclusion that SOB reforms in China over the past 10 years have</w:t>
            </w:r>
            <w:r>
              <w:rPr>
                <w:rFonts w:eastAsiaTheme="minorEastAsia" w:cs="Calibri" w:hint="eastAsia"/>
                <w:sz w:val="20"/>
                <w:szCs w:val="20"/>
                <w:lang w:eastAsia="zh-CN"/>
              </w:rPr>
              <w:t xml:space="preserve"> </w:t>
            </w:r>
            <w:r w:rsidRPr="00BD66CC">
              <w:rPr>
                <w:rFonts w:eastAsiaTheme="minorEastAsia" w:cs="Calibri"/>
                <w:sz w:val="20"/>
                <w:szCs w:val="20"/>
                <w:lang w:eastAsia="zh-CN"/>
              </w:rPr>
              <w:t>produced remarkable results.</w:t>
            </w:r>
          </w:p>
        </w:tc>
      </w:tr>
      <w:tr w:rsidR="00631ED8" w:rsidRPr="00CE5391" w14:paraId="770930DD" w14:textId="77777777" w:rsidTr="008D3857">
        <w:trPr>
          <w:trHeight w:val="284"/>
        </w:trPr>
        <w:tc>
          <w:tcPr>
            <w:tcW w:w="1666" w:type="pct"/>
          </w:tcPr>
          <w:p w14:paraId="01A38598" w14:textId="77777777" w:rsidR="00631ED8" w:rsidRPr="00C414AD" w:rsidRDefault="00631ED8" w:rsidP="008D3857">
            <w:pPr>
              <w:jc w:val="center"/>
              <w:rPr>
                <w:rFonts w:cs="Calibri"/>
                <w:sz w:val="20"/>
                <w:szCs w:val="20"/>
                <w:lang w:eastAsia="zh-CN"/>
              </w:rPr>
            </w:pPr>
          </w:p>
        </w:tc>
        <w:tc>
          <w:tcPr>
            <w:tcW w:w="3334" w:type="pct"/>
          </w:tcPr>
          <w:p w14:paraId="7948C061" w14:textId="77777777" w:rsidR="00631ED8" w:rsidRDefault="00631ED8" w:rsidP="00196BEC">
            <w:pPr>
              <w:jc w:val="center"/>
              <w:rPr>
                <w:rFonts w:eastAsiaTheme="minorEastAsia" w:cs="Calibri"/>
                <w:sz w:val="20"/>
                <w:szCs w:val="20"/>
                <w:lang w:eastAsia="zh-CN"/>
              </w:rPr>
            </w:pPr>
          </w:p>
        </w:tc>
      </w:tr>
      <w:tr w:rsidR="00631ED8" w:rsidRPr="00CE5391" w14:paraId="49BD2D39" w14:textId="77777777" w:rsidTr="008D3857">
        <w:trPr>
          <w:trHeight w:val="284"/>
        </w:trPr>
        <w:tc>
          <w:tcPr>
            <w:tcW w:w="1666" w:type="pct"/>
          </w:tcPr>
          <w:p w14:paraId="36A47BC2" w14:textId="77777777" w:rsidR="00631ED8" w:rsidRPr="00C414AD" w:rsidRDefault="00631ED8" w:rsidP="008D3857">
            <w:pPr>
              <w:jc w:val="center"/>
              <w:rPr>
                <w:rFonts w:cs="Calibri"/>
                <w:sz w:val="20"/>
                <w:szCs w:val="20"/>
                <w:lang w:eastAsia="zh-CN"/>
              </w:rPr>
            </w:pPr>
          </w:p>
        </w:tc>
        <w:tc>
          <w:tcPr>
            <w:tcW w:w="3334" w:type="pct"/>
          </w:tcPr>
          <w:p w14:paraId="5F2C837D" w14:textId="77777777" w:rsidR="00631ED8" w:rsidRDefault="00631ED8" w:rsidP="00196BEC">
            <w:pPr>
              <w:jc w:val="center"/>
              <w:rPr>
                <w:rFonts w:eastAsiaTheme="minorEastAsia" w:cs="Calibri"/>
                <w:sz w:val="20"/>
                <w:szCs w:val="20"/>
                <w:lang w:eastAsia="zh-CN"/>
              </w:rPr>
            </w:pPr>
          </w:p>
        </w:tc>
      </w:tr>
      <w:tr w:rsidR="00631ED8" w:rsidRPr="00CE5391" w14:paraId="35112BA3" w14:textId="77777777" w:rsidTr="008D3857">
        <w:trPr>
          <w:trHeight w:val="284"/>
        </w:trPr>
        <w:tc>
          <w:tcPr>
            <w:tcW w:w="1666" w:type="pct"/>
          </w:tcPr>
          <w:p w14:paraId="797CC33D" w14:textId="77777777" w:rsidR="00631ED8" w:rsidRPr="00C414AD" w:rsidRDefault="00631ED8" w:rsidP="008D3857">
            <w:pPr>
              <w:jc w:val="center"/>
              <w:rPr>
                <w:rFonts w:cs="Calibri"/>
                <w:sz w:val="20"/>
                <w:szCs w:val="20"/>
                <w:lang w:eastAsia="zh-CN"/>
              </w:rPr>
            </w:pPr>
          </w:p>
        </w:tc>
        <w:tc>
          <w:tcPr>
            <w:tcW w:w="3334" w:type="pct"/>
          </w:tcPr>
          <w:p w14:paraId="425AEBB4" w14:textId="77777777" w:rsidR="00631ED8" w:rsidRDefault="00631ED8" w:rsidP="00196BEC">
            <w:pPr>
              <w:jc w:val="center"/>
              <w:rPr>
                <w:rFonts w:eastAsiaTheme="minorEastAsia" w:cs="Calibri"/>
                <w:sz w:val="20"/>
                <w:szCs w:val="20"/>
                <w:lang w:eastAsia="zh-CN"/>
              </w:rPr>
            </w:pPr>
          </w:p>
        </w:tc>
      </w:tr>
    </w:tbl>
    <w:p w14:paraId="058EB2AD" w14:textId="77777777" w:rsidR="00980FBF" w:rsidRPr="00CE5391" w:rsidRDefault="00980FBF" w:rsidP="00980FBF">
      <w:pPr>
        <w:pStyle w:val="ListParagraph"/>
        <w:ind w:left="360"/>
        <w:jc w:val="both"/>
        <w:rPr>
          <w:rFonts w:ascii="Times New Roman" w:hAnsi="Times New Roman" w:cs="Times New Roman"/>
          <w:sz w:val="24"/>
          <w:szCs w:val="24"/>
        </w:rPr>
      </w:pPr>
    </w:p>
    <w:p w14:paraId="4E695004" w14:textId="77777777" w:rsidR="00980FBF" w:rsidRPr="00CE5391" w:rsidRDefault="00980FBF" w:rsidP="00980FBF">
      <w:pPr>
        <w:pStyle w:val="ListParagraph"/>
        <w:spacing w:after="0" w:line="240" w:lineRule="auto"/>
        <w:ind w:left="360"/>
        <w:jc w:val="both"/>
        <w:rPr>
          <w:rFonts w:ascii="Calibri" w:eastAsia="Calibri" w:hAnsi="Calibri" w:cs="Calibri"/>
          <w:sz w:val="20"/>
          <w:szCs w:val="20"/>
        </w:rPr>
      </w:pPr>
      <w:bookmarkStart w:id="1" w:name="_Hlk67408864"/>
      <w:bookmarkEnd w:id="0"/>
      <w:r w:rsidRPr="00CE5391">
        <w:rPr>
          <w:rFonts w:ascii="Calibri" w:eastAsia="Calibri" w:hAnsi="Calibri" w:cs="Calibri"/>
          <w:b/>
          <w:bCs/>
          <w:sz w:val="20"/>
          <w:szCs w:val="20"/>
        </w:rPr>
        <w:t>Table 3:</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models used within DEA Analyses for assessing the efficiency of DMUs</w:t>
      </w:r>
      <w:r w:rsidRPr="00CE5391">
        <w:rPr>
          <w:rFonts w:ascii="Calibri" w:eastAsia="Calibri" w:hAnsi="Calibri" w:cs="Calibri"/>
          <w:sz w:val="20"/>
          <w:szCs w:val="20"/>
        </w:rPr>
        <w:t xml:space="preserve"> (guidelines: (a) the names of the models should be provided; (b) if statistical tests are used for </w:t>
      </w:r>
      <w:proofErr w:type="spellStart"/>
      <w:r w:rsidRPr="00CE5391">
        <w:rPr>
          <w:rFonts w:ascii="Calibri" w:eastAsia="Calibri" w:hAnsi="Calibri" w:cs="Calibri"/>
          <w:sz w:val="20"/>
          <w:szCs w:val="20"/>
        </w:rPr>
        <w:t>analysing</w:t>
      </w:r>
      <w:proofErr w:type="spellEnd"/>
      <w:r w:rsidRPr="00CE5391">
        <w:rPr>
          <w:rFonts w:ascii="Calibri" w:eastAsia="Calibri" w:hAnsi="Calibri" w:cs="Calibri"/>
          <w:sz w:val="20"/>
          <w:szCs w:val="20"/>
        </w:rPr>
        <w:t xml:space="preserve">/comparing categories of DMUs, you should report them; (c) when a paper uses a single stage analysis, columns 3 and 4 should be filled with n/a; (d) when a paper uses a two-stage analysis, column 4 should be filled with n/a; (e) </w:t>
      </w:r>
      <w:proofErr w:type="spellStart"/>
      <w:r w:rsidRPr="00CE5391">
        <w:rPr>
          <w:rFonts w:ascii="Calibri" w:eastAsia="Calibri" w:hAnsi="Calibri" w:cs="Calibri"/>
          <w:sz w:val="20"/>
          <w:szCs w:val="20"/>
        </w:rPr>
        <w:t>analyse</w:t>
      </w:r>
      <w:proofErr w:type="spellEnd"/>
      <w:r w:rsidRPr="00CE5391">
        <w:rPr>
          <w:rFonts w:ascii="Calibri" w:eastAsia="Calibri" w:hAnsi="Calibri" w:cs="Calibri"/>
          <w:sz w:val="20"/>
          <w:szCs w:val="20"/>
        </w:rPr>
        <w:t xml:space="preserve"> this table by type of DEA approach and model and discuss such classifications in the main text)</w:t>
      </w:r>
    </w:p>
    <w:tbl>
      <w:tblPr>
        <w:tblStyle w:val="TableGrid"/>
        <w:tblW w:w="5239" w:type="pct"/>
        <w:tblInd w:w="355" w:type="dxa"/>
        <w:tblLook w:val="04A0" w:firstRow="1" w:lastRow="0" w:firstColumn="1" w:lastColumn="0" w:noHBand="0" w:noVBand="1"/>
      </w:tblPr>
      <w:tblGrid>
        <w:gridCol w:w="2996"/>
        <w:gridCol w:w="2267"/>
        <w:gridCol w:w="2267"/>
        <w:gridCol w:w="2267"/>
      </w:tblGrid>
      <w:tr w:rsidR="00354ACD" w:rsidRPr="00CE5391" w14:paraId="5D3094BC" w14:textId="77777777" w:rsidTr="00B429DD">
        <w:trPr>
          <w:trHeight w:val="284"/>
        </w:trPr>
        <w:tc>
          <w:tcPr>
            <w:tcW w:w="1529" w:type="pct"/>
          </w:tcPr>
          <w:bookmarkEnd w:id="1"/>
          <w:p w14:paraId="392F99FF" w14:textId="77777777" w:rsidR="00980FBF" w:rsidRPr="00CE5391" w:rsidRDefault="00980FBF" w:rsidP="00DC1865">
            <w:pPr>
              <w:jc w:val="center"/>
              <w:rPr>
                <w:rFonts w:cs="Calibri"/>
                <w:b/>
                <w:bCs/>
                <w:sz w:val="20"/>
                <w:szCs w:val="20"/>
              </w:rPr>
            </w:pPr>
            <w:r w:rsidRPr="00CE5391">
              <w:rPr>
                <w:rFonts w:cs="Calibri"/>
                <w:b/>
                <w:bCs/>
                <w:sz w:val="20"/>
                <w:szCs w:val="20"/>
              </w:rPr>
              <w:t>Reference</w:t>
            </w:r>
          </w:p>
        </w:tc>
        <w:tc>
          <w:tcPr>
            <w:tcW w:w="1157" w:type="pct"/>
          </w:tcPr>
          <w:p w14:paraId="72339EBB" w14:textId="77777777" w:rsidR="00980FBF" w:rsidRPr="00CE5391" w:rsidRDefault="00980FBF" w:rsidP="00DC1865">
            <w:pPr>
              <w:jc w:val="center"/>
              <w:rPr>
                <w:rFonts w:cs="Calibri"/>
                <w:b/>
                <w:bCs/>
                <w:sz w:val="20"/>
                <w:szCs w:val="20"/>
              </w:rPr>
            </w:pPr>
            <w:r w:rsidRPr="00CE5391">
              <w:rPr>
                <w:rFonts w:cs="Calibri"/>
                <w:b/>
                <w:bCs/>
                <w:sz w:val="20"/>
                <w:szCs w:val="20"/>
              </w:rPr>
              <w:t>First Stage Model</w:t>
            </w:r>
          </w:p>
        </w:tc>
        <w:tc>
          <w:tcPr>
            <w:tcW w:w="1157" w:type="pct"/>
          </w:tcPr>
          <w:p w14:paraId="415D56A2" w14:textId="77777777" w:rsidR="00980FBF" w:rsidRPr="00CE5391" w:rsidRDefault="00980FBF" w:rsidP="00DC1865">
            <w:pPr>
              <w:jc w:val="center"/>
              <w:rPr>
                <w:rFonts w:cs="Calibri"/>
                <w:b/>
                <w:bCs/>
                <w:sz w:val="20"/>
                <w:szCs w:val="20"/>
              </w:rPr>
            </w:pPr>
            <w:r w:rsidRPr="00CE5391">
              <w:rPr>
                <w:rFonts w:cs="Calibri"/>
                <w:b/>
                <w:bCs/>
                <w:sz w:val="20"/>
                <w:szCs w:val="20"/>
              </w:rPr>
              <w:t>Second Stage Model</w:t>
            </w:r>
          </w:p>
        </w:tc>
        <w:tc>
          <w:tcPr>
            <w:tcW w:w="1157" w:type="pct"/>
          </w:tcPr>
          <w:p w14:paraId="34D15181" w14:textId="77777777" w:rsidR="00980FBF" w:rsidRPr="00CE5391" w:rsidRDefault="00980FBF" w:rsidP="00DC1865">
            <w:pPr>
              <w:jc w:val="center"/>
              <w:rPr>
                <w:rFonts w:cs="Calibri"/>
                <w:b/>
                <w:bCs/>
                <w:sz w:val="20"/>
                <w:szCs w:val="20"/>
              </w:rPr>
            </w:pPr>
            <w:r w:rsidRPr="00CE5391">
              <w:rPr>
                <w:rFonts w:cs="Calibri"/>
                <w:b/>
                <w:bCs/>
                <w:sz w:val="20"/>
                <w:szCs w:val="20"/>
              </w:rPr>
              <w:t>Third Stage Model</w:t>
            </w:r>
          </w:p>
        </w:tc>
      </w:tr>
      <w:tr w:rsidR="00354ACD" w:rsidRPr="00CE5391" w14:paraId="10E5FC59" w14:textId="77777777" w:rsidTr="00B429DD">
        <w:trPr>
          <w:trHeight w:val="284"/>
        </w:trPr>
        <w:tc>
          <w:tcPr>
            <w:tcW w:w="1529" w:type="pct"/>
          </w:tcPr>
          <w:p w14:paraId="2BC6C617" w14:textId="282CBE65" w:rsidR="00AB1BD9" w:rsidRPr="00CE5391" w:rsidRDefault="00CC1490" w:rsidP="00AB1BD9">
            <w:pPr>
              <w:jc w:val="center"/>
              <w:rPr>
                <w:rFonts w:cs="Calibri"/>
                <w:sz w:val="20"/>
                <w:szCs w:val="20"/>
                <w:lang w:eastAsia="zh-CN"/>
              </w:rPr>
            </w:pPr>
            <w:r w:rsidRPr="00CC1490">
              <w:rPr>
                <w:rFonts w:cs="Calibri"/>
                <w:sz w:val="20"/>
                <w:szCs w:val="20"/>
                <w:lang w:eastAsia="zh-CN"/>
              </w:rPr>
              <w:lastRenderedPageBreak/>
              <w:t>Matthews, et al. (2010)</w:t>
            </w:r>
          </w:p>
        </w:tc>
        <w:tc>
          <w:tcPr>
            <w:tcW w:w="1157" w:type="pct"/>
          </w:tcPr>
          <w:p w14:paraId="03AA3960" w14:textId="78B367E1" w:rsidR="00AB1BD9" w:rsidRPr="00CE5391" w:rsidRDefault="007F7221" w:rsidP="00707B52">
            <w:pPr>
              <w:jc w:val="center"/>
              <w:rPr>
                <w:rFonts w:eastAsia="Arial Unicode MS" w:cs="Arial Unicode MS"/>
                <w:color w:val="000000" w:themeColor="text1"/>
                <w:sz w:val="20"/>
                <w:szCs w:val="20"/>
                <w:lang w:eastAsia="zh-CN"/>
              </w:rPr>
            </w:pPr>
            <w:r w:rsidRPr="007F7221">
              <w:rPr>
                <w:rFonts w:eastAsia="Arial Unicode MS" w:cs="Arial Unicode MS"/>
                <w:color w:val="000000" w:themeColor="text1"/>
                <w:sz w:val="20"/>
                <w:szCs w:val="20"/>
                <w:lang w:eastAsia="zh-CN"/>
              </w:rPr>
              <w:t>Polyhedral cone-ratio DEA model</w:t>
            </w:r>
            <w:r>
              <w:rPr>
                <w:rFonts w:eastAsia="Arial Unicode MS" w:cs="Arial Unicode MS"/>
                <w:color w:val="000000" w:themeColor="text1"/>
                <w:sz w:val="20"/>
                <w:szCs w:val="20"/>
                <w:lang w:eastAsia="zh-CN"/>
              </w:rPr>
              <w:t xml:space="preserve"> [</w:t>
            </w:r>
            <w:r w:rsidRPr="007F7221">
              <w:rPr>
                <w:rFonts w:eastAsia="Arial Unicode MS" w:cs="Arial Unicode MS"/>
                <w:color w:val="000000" w:themeColor="text1"/>
                <w:sz w:val="20"/>
                <w:szCs w:val="20"/>
                <w:lang w:eastAsia="zh-CN"/>
              </w:rPr>
              <w:t>Charnes</w:t>
            </w:r>
            <w:r>
              <w:rPr>
                <w:rFonts w:eastAsia="Arial Unicode MS" w:cs="Arial Unicode MS"/>
                <w:color w:val="000000" w:themeColor="text1"/>
                <w:sz w:val="20"/>
                <w:szCs w:val="20"/>
                <w:lang w:eastAsia="zh-CN"/>
              </w:rPr>
              <w:t xml:space="preserve"> (1990)]</w:t>
            </w:r>
          </w:p>
        </w:tc>
        <w:tc>
          <w:tcPr>
            <w:tcW w:w="1157" w:type="pct"/>
          </w:tcPr>
          <w:p w14:paraId="3467C342" w14:textId="4F8F1DFB" w:rsidR="00AB1BD9" w:rsidRPr="00CE5391" w:rsidRDefault="00AB1BD9" w:rsidP="00707B52">
            <w:pPr>
              <w:jc w:val="center"/>
              <w:rPr>
                <w:rFonts w:cs="Calibri"/>
                <w:sz w:val="20"/>
                <w:szCs w:val="20"/>
              </w:rPr>
            </w:pPr>
            <w:r>
              <w:t xml:space="preserve"> </w:t>
            </w:r>
            <w:r w:rsidR="00707B52" w:rsidRPr="00707B52">
              <w:t>n/a</w:t>
            </w:r>
          </w:p>
        </w:tc>
        <w:tc>
          <w:tcPr>
            <w:tcW w:w="1157" w:type="pct"/>
          </w:tcPr>
          <w:p w14:paraId="0BBA9B56" w14:textId="5A94272D" w:rsidR="00AB1BD9" w:rsidRPr="00CE5391" w:rsidRDefault="00707B52" w:rsidP="00AB1BD9">
            <w:pPr>
              <w:jc w:val="center"/>
              <w:rPr>
                <w:rFonts w:cs="Calibri"/>
                <w:sz w:val="20"/>
                <w:szCs w:val="20"/>
              </w:rPr>
            </w:pPr>
            <w:r w:rsidRPr="00707B52">
              <w:t>n/a</w:t>
            </w:r>
            <w:r w:rsidR="00AB1BD9">
              <w:t xml:space="preserve"> </w:t>
            </w:r>
          </w:p>
        </w:tc>
      </w:tr>
      <w:tr w:rsidR="00354ACD" w:rsidRPr="00CE5391" w14:paraId="1A97AE19" w14:textId="77777777" w:rsidTr="00B429DD">
        <w:trPr>
          <w:trHeight w:val="284"/>
        </w:trPr>
        <w:tc>
          <w:tcPr>
            <w:tcW w:w="1529" w:type="pct"/>
          </w:tcPr>
          <w:p w14:paraId="620EAE75" w14:textId="5010A81F" w:rsidR="00AB1BD9" w:rsidRPr="00CE5391" w:rsidRDefault="00AB1BD9" w:rsidP="008D3857">
            <w:pPr>
              <w:jc w:val="center"/>
              <w:rPr>
                <w:rFonts w:cs="Calibri"/>
                <w:sz w:val="20"/>
                <w:szCs w:val="20"/>
                <w:lang w:eastAsia="zh-CN"/>
              </w:rPr>
            </w:pPr>
            <w:r w:rsidRPr="00AB1BD9">
              <w:rPr>
                <w:rFonts w:cs="Calibri"/>
                <w:sz w:val="20"/>
                <w:szCs w:val="20"/>
                <w:lang w:val="en-US" w:eastAsia="zh-CN"/>
              </w:rPr>
              <w:t xml:space="preserve">Hou, </w:t>
            </w:r>
            <w:r w:rsidR="008D3857" w:rsidRPr="008D3857">
              <w:rPr>
                <w:rFonts w:cs="Calibri"/>
                <w:sz w:val="20"/>
                <w:szCs w:val="20"/>
                <w:lang w:val="en-US" w:eastAsia="zh-CN"/>
              </w:rPr>
              <w:t>et</w:t>
            </w:r>
            <w:r w:rsidR="008D3857">
              <w:rPr>
                <w:rFonts w:cs="Calibri"/>
                <w:sz w:val="20"/>
                <w:szCs w:val="20"/>
                <w:lang w:val="en-US" w:eastAsia="zh-CN"/>
              </w:rPr>
              <w:t xml:space="preserve"> al. </w:t>
            </w:r>
            <w:r w:rsidRPr="00AB1BD9">
              <w:rPr>
                <w:rFonts w:cs="Calibri"/>
                <w:sz w:val="20"/>
                <w:szCs w:val="20"/>
                <w:lang w:val="en-US" w:eastAsia="zh-CN"/>
              </w:rPr>
              <w:t>(2014)</w:t>
            </w:r>
          </w:p>
        </w:tc>
        <w:tc>
          <w:tcPr>
            <w:tcW w:w="1157" w:type="pct"/>
          </w:tcPr>
          <w:p w14:paraId="6847AD52" w14:textId="625EC58F" w:rsidR="00AB1BD9" w:rsidRPr="00CE5391" w:rsidRDefault="00395C24" w:rsidP="00AB1BD9">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CCR</w:t>
            </w:r>
          </w:p>
        </w:tc>
        <w:tc>
          <w:tcPr>
            <w:tcW w:w="1157" w:type="pct"/>
          </w:tcPr>
          <w:p w14:paraId="20D1156E" w14:textId="235650AC" w:rsidR="00AB1BD9" w:rsidRPr="00CE5391" w:rsidRDefault="00747112" w:rsidP="00AB1BD9">
            <w:pPr>
              <w:jc w:val="center"/>
              <w:rPr>
                <w:rFonts w:cs="Calibri"/>
                <w:sz w:val="20"/>
                <w:szCs w:val="20"/>
              </w:rPr>
            </w:pPr>
            <w:r w:rsidRPr="00747112">
              <w:rPr>
                <w:rFonts w:cs="Calibri"/>
                <w:sz w:val="20"/>
                <w:szCs w:val="20"/>
              </w:rPr>
              <w:t>Tobit</w:t>
            </w:r>
          </w:p>
        </w:tc>
        <w:tc>
          <w:tcPr>
            <w:tcW w:w="1157" w:type="pct"/>
          </w:tcPr>
          <w:p w14:paraId="102FF35B" w14:textId="2A9E2854" w:rsidR="00AB1BD9" w:rsidRPr="00CE5391" w:rsidRDefault="00AB1BD9" w:rsidP="00AB1BD9">
            <w:pPr>
              <w:jc w:val="center"/>
              <w:rPr>
                <w:rFonts w:cs="Calibri"/>
                <w:sz w:val="20"/>
                <w:szCs w:val="20"/>
              </w:rPr>
            </w:pPr>
            <w:r w:rsidRPr="00DF4A70">
              <w:rPr>
                <w:rFonts w:cs="Calibri"/>
                <w:sz w:val="20"/>
                <w:szCs w:val="20"/>
              </w:rPr>
              <w:t>n/a</w:t>
            </w:r>
          </w:p>
        </w:tc>
      </w:tr>
      <w:tr w:rsidR="00AB1BD9" w:rsidRPr="00CE5391" w14:paraId="04110A98" w14:textId="77777777" w:rsidTr="00B429DD">
        <w:trPr>
          <w:trHeight w:val="284"/>
        </w:trPr>
        <w:tc>
          <w:tcPr>
            <w:tcW w:w="1529" w:type="pct"/>
          </w:tcPr>
          <w:p w14:paraId="1079DB0A" w14:textId="4DCA7FCD" w:rsidR="00AB1BD9" w:rsidRPr="00EF20BD" w:rsidRDefault="00747112" w:rsidP="00AB1BD9">
            <w:pPr>
              <w:jc w:val="center"/>
              <w:rPr>
                <w:rFonts w:cs="Calibri"/>
                <w:sz w:val="20"/>
                <w:szCs w:val="20"/>
                <w:lang w:eastAsia="zh-CN"/>
              </w:rPr>
            </w:pPr>
            <w:r w:rsidRPr="00747112">
              <w:rPr>
                <w:rFonts w:cs="Calibri"/>
                <w:sz w:val="20"/>
                <w:szCs w:val="20"/>
                <w:lang w:eastAsia="zh-CN"/>
              </w:rPr>
              <w:t>Fukuyama, H., Tan, Y.</w:t>
            </w:r>
            <w:r w:rsidR="008D3857" w:rsidRPr="00AB1BD9">
              <w:rPr>
                <w:rFonts w:cs="Calibri"/>
                <w:sz w:val="20"/>
                <w:szCs w:val="20"/>
                <w:lang w:eastAsia="zh-CN"/>
              </w:rPr>
              <w:t xml:space="preserve"> </w:t>
            </w:r>
            <w:r w:rsidR="00AB1BD9" w:rsidRPr="00AB1BD9">
              <w:rPr>
                <w:rFonts w:cs="Calibri"/>
                <w:sz w:val="20"/>
                <w:szCs w:val="20"/>
                <w:lang w:eastAsia="zh-CN"/>
              </w:rPr>
              <w:t>(2021)</w:t>
            </w:r>
          </w:p>
        </w:tc>
        <w:tc>
          <w:tcPr>
            <w:tcW w:w="1157" w:type="pct"/>
          </w:tcPr>
          <w:p w14:paraId="2DD4BDD7" w14:textId="5F13A182" w:rsidR="00AB1BD9" w:rsidRDefault="00AB1BD9" w:rsidP="00AB1BD9">
            <w:pPr>
              <w:jc w:val="center"/>
              <w:rPr>
                <w:rFonts w:eastAsia="Arial Unicode MS" w:cs="Arial Unicode MS"/>
                <w:color w:val="000000" w:themeColor="text1"/>
                <w:sz w:val="20"/>
                <w:szCs w:val="20"/>
                <w:lang w:eastAsia="zh-CN"/>
              </w:rPr>
            </w:pPr>
            <w:r w:rsidRPr="00F14A86">
              <w:rPr>
                <w:rFonts w:eastAsia="Arial Unicode MS" w:cs="Arial Unicode MS"/>
                <w:color w:val="000000" w:themeColor="text1"/>
                <w:sz w:val="20"/>
                <w:szCs w:val="20"/>
                <w:lang w:eastAsia="zh-CN"/>
              </w:rPr>
              <w:t>network SBI models</w:t>
            </w:r>
          </w:p>
        </w:tc>
        <w:tc>
          <w:tcPr>
            <w:tcW w:w="1157" w:type="pct"/>
          </w:tcPr>
          <w:p w14:paraId="5583A537" w14:textId="2D45A63A" w:rsidR="00AB1BD9" w:rsidRPr="00907FC2" w:rsidRDefault="00747112" w:rsidP="00AB1BD9">
            <w:pPr>
              <w:jc w:val="center"/>
              <w:rPr>
                <w:rFonts w:cs="Calibri"/>
                <w:sz w:val="20"/>
                <w:szCs w:val="20"/>
              </w:rPr>
            </w:pPr>
            <w:r w:rsidRPr="00747112">
              <w:rPr>
                <w:rFonts w:cs="Calibri"/>
                <w:sz w:val="20"/>
                <w:szCs w:val="20"/>
              </w:rPr>
              <w:t>regression analysis</w:t>
            </w:r>
          </w:p>
        </w:tc>
        <w:tc>
          <w:tcPr>
            <w:tcW w:w="1157" w:type="pct"/>
          </w:tcPr>
          <w:p w14:paraId="36660D17" w14:textId="12BA6695" w:rsidR="00AB1BD9" w:rsidRPr="00DF4A70" w:rsidRDefault="00747112" w:rsidP="00AB1BD9">
            <w:pPr>
              <w:jc w:val="center"/>
              <w:rPr>
                <w:rFonts w:cs="Calibri"/>
                <w:sz w:val="20"/>
                <w:szCs w:val="20"/>
              </w:rPr>
            </w:pPr>
            <w:r>
              <w:rPr>
                <w:rFonts w:asciiTheme="minorEastAsia" w:eastAsiaTheme="minorEastAsia" w:hAnsiTheme="minorEastAsia" w:cs="Calibri" w:hint="eastAsia"/>
                <w:sz w:val="20"/>
                <w:szCs w:val="20"/>
                <w:lang w:eastAsia="zh-CN"/>
              </w:rPr>
              <w:t>n/</w:t>
            </w:r>
            <w:r>
              <w:rPr>
                <w:rFonts w:cs="Calibri"/>
                <w:sz w:val="20"/>
                <w:szCs w:val="20"/>
              </w:rPr>
              <w:t>a</w:t>
            </w:r>
          </w:p>
        </w:tc>
      </w:tr>
      <w:tr w:rsidR="00354ACD" w:rsidRPr="00CE5391" w14:paraId="1BFB1052" w14:textId="77777777" w:rsidTr="00B429DD">
        <w:trPr>
          <w:trHeight w:val="284"/>
        </w:trPr>
        <w:tc>
          <w:tcPr>
            <w:tcW w:w="1529" w:type="pct"/>
          </w:tcPr>
          <w:p w14:paraId="37AD4D8F" w14:textId="1FE3EFDE" w:rsidR="00354ACD" w:rsidRPr="00EF20BD" w:rsidRDefault="008D3857" w:rsidP="00354ACD">
            <w:pPr>
              <w:jc w:val="center"/>
              <w:rPr>
                <w:rFonts w:cs="Calibri"/>
                <w:sz w:val="20"/>
                <w:szCs w:val="20"/>
                <w:lang w:eastAsia="zh-CN"/>
              </w:rPr>
            </w:pPr>
            <w:r w:rsidRPr="008D3857">
              <w:rPr>
                <w:rFonts w:cs="Calibri"/>
                <w:sz w:val="20"/>
                <w:szCs w:val="20"/>
                <w:lang w:eastAsia="zh-CN"/>
              </w:rPr>
              <w:t>Fukuyama, et al. (2021)</w:t>
            </w:r>
          </w:p>
        </w:tc>
        <w:tc>
          <w:tcPr>
            <w:tcW w:w="1157" w:type="pct"/>
          </w:tcPr>
          <w:p w14:paraId="0E853541" w14:textId="4D740824" w:rsidR="00354ACD" w:rsidRDefault="00693308" w:rsidP="00354ACD">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B</w:t>
            </w:r>
            <w:r>
              <w:rPr>
                <w:rFonts w:eastAsia="Arial Unicode MS" w:cs="Arial Unicode MS"/>
                <w:color w:val="000000" w:themeColor="text1"/>
                <w:sz w:val="20"/>
                <w:szCs w:val="20"/>
                <w:lang w:eastAsia="zh-CN"/>
              </w:rPr>
              <w:t>CC</w:t>
            </w:r>
          </w:p>
        </w:tc>
        <w:tc>
          <w:tcPr>
            <w:tcW w:w="1157" w:type="pct"/>
          </w:tcPr>
          <w:p w14:paraId="2758AAF9" w14:textId="19AC9B7E" w:rsidR="00354ACD" w:rsidRPr="00693308" w:rsidRDefault="00083334" w:rsidP="00354ACD">
            <w:pPr>
              <w:jc w:val="center"/>
              <w:rPr>
                <w:rFonts w:eastAsiaTheme="minorEastAsia" w:cs="Calibri"/>
                <w:sz w:val="20"/>
                <w:szCs w:val="20"/>
                <w:lang w:eastAsia="zh-CN"/>
              </w:rPr>
            </w:pPr>
            <w:r w:rsidRPr="00083334">
              <w:rPr>
                <w:rFonts w:eastAsiaTheme="minorEastAsia" w:cs="Calibri"/>
                <w:sz w:val="20"/>
                <w:szCs w:val="20"/>
                <w:lang w:eastAsia="zh-CN"/>
              </w:rPr>
              <w:t>Bootstrapped truncated regression</w:t>
            </w:r>
            <w:r>
              <w:rPr>
                <w:rFonts w:eastAsiaTheme="minorEastAsia" w:cs="Calibri"/>
                <w:sz w:val="20"/>
                <w:szCs w:val="20"/>
                <w:lang w:eastAsia="zh-CN"/>
              </w:rPr>
              <w:t xml:space="preserve"> &amp; </w:t>
            </w:r>
            <w:r w:rsidRPr="00083334">
              <w:rPr>
                <w:rFonts w:eastAsiaTheme="minorEastAsia" w:cs="Calibri"/>
                <w:sz w:val="20"/>
                <w:szCs w:val="20"/>
                <w:lang w:eastAsia="zh-CN"/>
              </w:rPr>
              <w:t>Ordinary least square regression</w:t>
            </w:r>
          </w:p>
        </w:tc>
        <w:tc>
          <w:tcPr>
            <w:tcW w:w="1157" w:type="pct"/>
          </w:tcPr>
          <w:p w14:paraId="0FA3DA51" w14:textId="388B34A5" w:rsidR="00354ACD" w:rsidRPr="00DF4A70" w:rsidRDefault="00354ACD" w:rsidP="00354ACD">
            <w:pPr>
              <w:jc w:val="center"/>
              <w:rPr>
                <w:rFonts w:cs="Calibri"/>
                <w:sz w:val="20"/>
                <w:szCs w:val="20"/>
              </w:rPr>
            </w:pPr>
            <w:r>
              <w:rPr>
                <w:rFonts w:cs="Calibri"/>
                <w:sz w:val="20"/>
                <w:szCs w:val="20"/>
              </w:rPr>
              <w:t>n/a</w:t>
            </w:r>
          </w:p>
        </w:tc>
      </w:tr>
      <w:tr w:rsidR="00354ACD" w:rsidRPr="00CE5391" w14:paraId="102F02D0" w14:textId="77777777" w:rsidTr="00B429DD">
        <w:trPr>
          <w:trHeight w:val="284"/>
        </w:trPr>
        <w:tc>
          <w:tcPr>
            <w:tcW w:w="1529" w:type="pct"/>
          </w:tcPr>
          <w:p w14:paraId="52DD968B" w14:textId="034F9ACA" w:rsidR="00354ACD" w:rsidRPr="00EF20BD" w:rsidRDefault="003242E9" w:rsidP="00354ACD">
            <w:pPr>
              <w:jc w:val="center"/>
              <w:rPr>
                <w:rFonts w:cs="Calibri"/>
                <w:sz w:val="20"/>
                <w:szCs w:val="20"/>
                <w:lang w:eastAsia="zh-CN"/>
              </w:rPr>
            </w:pPr>
            <w:r w:rsidRPr="003242E9">
              <w:rPr>
                <w:rFonts w:cs="Calibri"/>
                <w:sz w:val="20"/>
                <w:szCs w:val="20"/>
                <w:lang w:eastAsia="zh-CN"/>
              </w:rPr>
              <w:t>Dong et al. (2016)</w:t>
            </w:r>
          </w:p>
        </w:tc>
        <w:tc>
          <w:tcPr>
            <w:tcW w:w="1157" w:type="pct"/>
          </w:tcPr>
          <w:p w14:paraId="19E52FDC" w14:textId="2CC18081" w:rsidR="00354ACD" w:rsidRDefault="00C414AD" w:rsidP="00354ACD">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S</w:t>
            </w:r>
            <w:r>
              <w:rPr>
                <w:rFonts w:eastAsia="Arial Unicode MS" w:cs="Arial Unicode MS"/>
                <w:color w:val="000000" w:themeColor="text1"/>
                <w:sz w:val="20"/>
                <w:szCs w:val="20"/>
                <w:lang w:eastAsia="zh-CN"/>
              </w:rPr>
              <w:t>FA</w:t>
            </w:r>
          </w:p>
        </w:tc>
        <w:tc>
          <w:tcPr>
            <w:tcW w:w="1157" w:type="pct"/>
          </w:tcPr>
          <w:p w14:paraId="0869CAD7" w14:textId="28BB362A" w:rsidR="00354ACD" w:rsidRPr="00C414AD" w:rsidRDefault="00C414AD"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c>
          <w:tcPr>
            <w:tcW w:w="1157" w:type="pct"/>
          </w:tcPr>
          <w:p w14:paraId="5D974B42" w14:textId="37D7C0D0" w:rsidR="00354ACD" w:rsidRPr="00C414AD" w:rsidRDefault="00C414AD"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r>
      <w:tr w:rsidR="00354ACD" w:rsidRPr="00CE5391" w14:paraId="30F7D51E" w14:textId="77777777" w:rsidTr="00B429DD">
        <w:trPr>
          <w:trHeight w:val="284"/>
        </w:trPr>
        <w:tc>
          <w:tcPr>
            <w:tcW w:w="1529" w:type="pct"/>
          </w:tcPr>
          <w:p w14:paraId="4FCED0E6" w14:textId="20E04E23" w:rsidR="00354ACD" w:rsidRPr="00EF20BD" w:rsidRDefault="00C414AD" w:rsidP="00354ACD">
            <w:pPr>
              <w:jc w:val="center"/>
              <w:rPr>
                <w:rFonts w:cs="Calibri"/>
                <w:sz w:val="20"/>
                <w:szCs w:val="20"/>
                <w:lang w:eastAsia="zh-CN"/>
              </w:rPr>
            </w:pPr>
            <w:r w:rsidRPr="00C414AD">
              <w:rPr>
                <w:rFonts w:cs="Calibri"/>
                <w:sz w:val="20"/>
                <w:szCs w:val="20"/>
                <w:lang w:eastAsia="zh-CN"/>
              </w:rPr>
              <w:t>Luo et al. (2011)</w:t>
            </w:r>
          </w:p>
        </w:tc>
        <w:tc>
          <w:tcPr>
            <w:tcW w:w="1157" w:type="pct"/>
          </w:tcPr>
          <w:p w14:paraId="4C30E54A" w14:textId="7C7CD2C4" w:rsidR="00354ACD" w:rsidRPr="00196BEC" w:rsidRDefault="00083334" w:rsidP="00196BEC">
            <w:pPr>
              <w:jc w:val="center"/>
              <w:rPr>
                <w:lang w:eastAsia="zh-CN"/>
              </w:rPr>
            </w:pPr>
            <w:r w:rsidRPr="00083334">
              <w:rPr>
                <w:lang w:eastAsia="zh-CN"/>
              </w:rPr>
              <w:t>CCR-CRS</w:t>
            </w:r>
            <w:r w:rsidR="00196BEC">
              <w:rPr>
                <w:lang w:eastAsia="zh-CN"/>
              </w:rPr>
              <w:t xml:space="preserve"> &amp; </w:t>
            </w:r>
            <w:r w:rsidRPr="00083334">
              <w:rPr>
                <w:lang w:eastAsia="zh-CN"/>
              </w:rPr>
              <w:t>BCC-VRS</w:t>
            </w:r>
          </w:p>
        </w:tc>
        <w:tc>
          <w:tcPr>
            <w:tcW w:w="1157" w:type="pct"/>
          </w:tcPr>
          <w:p w14:paraId="0AD92AA4" w14:textId="63DBEE89" w:rsidR="00354ACD" w:rsidRPr="00196BEC" w:rsidRDefault="00196BEC"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c>
          <w:tcPr>
            <w:tcW w:w="1157" w:type="pct"/>
          </w:tcPr>
          <w:p w14:paraId="4845987D" w14:textId="4298ECB9" w:rsidR="00354ACD" w:rsidRPr="00196BEC" w:rsidRDefault="00196BEC"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r>
      <w:tr w:rsidR="00631ED8" w:rsidRPr="00CE5391" w14:paraId="18E06655" w14:textId="77777777" w:rsidTr="00B429DD">
        <w:trPr>
          <w:trHeight w:val="284"/>
        </w:trPr>
        <w:tc>
          <w:tcPr>
            <w:tcW w:w="1529" w:type="pct"/>
          </w:tcPr>
          <w:p w14:paraId="2D3EF673" w14:textId="22FEC9BF" w:rsidR="00631ED8" w:rsidRPr="00C414AD" w:rsidRDefault="00EE2037" w:rsidP="00354ACD">
            <w:pPr>
              <w:jc w:val="center"/>
              <w:rPr>
                <w:rFonts w:cs="Calibri"/>
                <w:sz w:val="20"/>
                <w:szCs w:val="20"/>
                <w:lang w:eastAsia="zh-CN"/>
              </w:rPr>
            </w:pPr>
            <w:r w:rsidRPr="00EE2037">
              <w:rPr>
                <w:rFonts w:cs="Calibri"/>
                <w:sz w:val="20"/>
                <w:szCs w:val="20"/>
                <w:lang w:eastAsia="zh-CN"/>
              </w:rPr>
              <w:t>Antunes et al. (2022)</w:t>
            </w:r>
          </w:p>
        </w:tc>
        <w:tc>
          <w:tcPr>
            <w:tcW w:w="1157" w:type="pct"/>
          </w:tcPr>
          <w:p w14:paraId="63815F29" w14:textId="39FA7F86" w:rsidR="00631ED8" w:rsidRPr="00B732C1" w:rsidRDefault="00B732C1" w:rsidP="00196BEC">
            <w:pPr>
              <w:jc w:val="center"/>
              <w:rPr>
                <w:rFonts w:eastAsiaTheme="minorEastAsia"/>
                <w:lang w:eastAsia="zh-CN"/>
              </w:rPr>
            </w:pPr>
            <w:r>
              <w:rPr>
                <w:rFonts w:eastAsiaTheme="minorEastAsia" w:hint="eastAsia"/>
                <w:lang w:eastAsia="zh-CN"/>
              </w:rPr>
              <w:t>S</w:t>
            </w:r>
            <w:r>
              <w:rPr>
                <w:rFonts w:eastAsiaTheme="minorEastAsia"/>
                <w:lang w:eastAsia="zh-CN"/>
              </w:rPr>
              <w:t>BM</w:t>
            </w:r>
          </w:p>
        </w:tc>
        <w:tc>
          <w:tcPr>
            <w:tcW w:w="1157" w:type="pct"/>
          </w:tcPr>
          <w:p w14:paraId="0D44FC9A" w14:textId="77777777" w:rsidR="00B732C1" w:rsidRPr="00B732C1" w:rsidRDefault="00B732C1" w:rsidP="00B732C1">
            <w:pPr>
              <w:jc w:val="center"/>
              <w:rPr>
                <w:rFonts w:eastAsiaTheme="minorEastAsia" w:cs="Calibri"/>
                <w:sz w:val="20"/>
                <w:szCs w:val="20"/>
                <w:lang w:eastAsia="zh-CN"/>
              </w:rPr>
            </w:pPr>
            <w:r w:rsidRPr="00B732C1">
              <w:rPr>
                <w:rFonts w:eastAsiaTheme="minorEastAsia" w:cs="Calibri"/>
                <w:sz w:val="20"/>
                <w:szCs w:val="20"/>
                <w:lang w:eastAsia="zh-CN"/>
              </w:rPr>
              <w:t>Robust</w:t>
            </w:r>
          </w:p>
          <w:p w14:paraId="752C8960" w14:textId="2A9B561F" w:rsidR="00631ED8" w:rsidRDefault="00B732C1" w:rsidP="00B732C1">
            <w:pPr>
              <w:jc w:val="center"/>
              <w:rPr>
                <w:rFonts w:eastAsiaTheme="minorEastAsia" w:cs="Calibri"/>
                <w:sz w:val="20"/>
                <w:szCs w:val="20"/>
                <w:lang w:eastAsia="zh-CN"/>
              </w:rPr>
            </w:pPr>
            <w:r w:rsidRPr="00B732C1">
              <w:rPr>
                <w:rFonts w:eastAsiaTheme="minorEastAsia" w:cs="Calibri"/>
                <w:sz w:val="20"/>
                <w:szCs w:val="20"/>
                <w:lang w:eastAsia="zh-CN"/>
              </w:rPr>
              <w:t>Endogenous Neural Network Analysis</w:t>
            </w:r>
          </w:p>
        </w:tc>
        <w:tc>
          <w:tcPr>
            <w:tcW w:w="1157" w:type="pct"/>
          </w:tcPr>
          <w:p w14:paraId="489F0DC7" w14:textId="2606BA93" w:rsidR="00631ED8" w:rsidRDefault="005F0C5C"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r>
      <w:tr w:rsidR="00631ED8" w:rsidRPr="00CE5391" w14:paraId="032525E1" w14:textId="77777777" w:rsidTr="00B429DD">
        <w:trPr>
          <w:trHeight w:val="284"/>
        </w:trPr>
        <w:tc>
          <w:tcPr>
            <w:tcW w:w="1529" w:type="pct"/>
          </w:tcPr>
          <w:p w14:paraId="73C298F4" w14:textId="06E6C75E" w:rsidR="00631ED8" w:rsidRPr="00C414AD" w:rsidRDefault="00B429DD" w:rsidP="00354ACD">
            <w:pPr>
              <w:jc w:val="center"/>
              <w:rPr>
                <w:rFonts w:cs="Calibri"/>
                <w:sz w:val="20"/>
                <w:szCs w:val="20"/>
                <w:lang w:eastAsia="zh-CN"/>
              </w:rPr>
            </w:pPr>
            <w:proofErr w:type="spellStart"/>
            <w:r w:rsidRPr="00B429DD">
              <w:rPr>
                <w:rFonts w:cs="Calibri"/>
                <w:sz w:val="20"/>
                <w:szCs w:val="20"/>
                <w:lang w:eastAsia="zh-CN"/>
              </w:rPr>
              <w:t>Bingquan</w:t>
            </w:r>
            <w:proofErr w:type="spellEnd"/>
            <w:r w:rsidRPr="00B429DD">
              <w:rPr>
                <w:rFonts w:cs="Calibri"/>
                <w:sz w:val="20"/>
                <w:szCs w:val="20"/>
                <w:lang w:eastAsia="zh-CN"/>
              </w:rPr>
              <w:t xml:space="preserve"> et al. (2019)</w:t>
            </w:r>
          </w:p>
        </w:tc>
        <w:tc>
          <w:tcPr>
            <w:tcW w:w="1157" w:type="pct"/>
          </w:tcPr>
          <w:p w14:paraId="0B72ACD3" w14:textId="0E4EC9F1" w:rsidR="00631ED8" w:rsidRDefault="00EC2311" w:rsidP="00196BEC">
            <w:pPr>
              <w:jc w:val="center"/>
              <w:rPr>
                <w:lang w:eastAsia="zh-CN"/>
              </w:rPr>
            </w:pPr>
            <w:r w:rsidRPr="00EC2311">
              <w:rPr>
                <w:lang w:eastAsia="zh-CN"/>
              </w:rPr>
              <w:t>spatial Durbin</w:t>
            </w:r>
            <w:r>
              <w:rPr>
                <w:lang w:eastAsia="zh-CN"/>
              </w:rPr>
              <w:t xml:space="preserve"> </w:t>
            </w:r>
            <w:r w:rsidRPr="00EC2311">
              <w:rPr>
                <w:lang w:eastAsia="zh-CN"/>
              </w:rPr>
              <w:t>production frontier</w:t>
            </w:r>
            <w:r>
              <w:rPr>
                <w:lang w:eastAsia="zh-CN"/>
              </w:rPr>
              <w:t xml:space="preserve"> model</w:t>
            </w:r>
          </w:p>
        </w:tc>
        <w:tc>
          <w:tcPr>
            <w:tcW w:w="1157" w:type="pct"/>
          </w:tcPr>
          <w:p w14:paraId="495CC895" w14:textId="7B3B5526" w:rsidR="00631ED8" w:rsidRPr="00EC2311" w:rsidRDefault="00EC2311"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c>
          <w:tcPr>
            <w:tcW w:w="1157" w:type="pct"/>
          </w:tcPr>
          <w:p w14:paraId="0787E33C" w14:textId="0FDD5657" w:rsidR="00631ED8" w:rsidRDefault="00EC2311"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r>
      <w:tr w:rsidR="00631ED8" w:rsidRPr="00CE5391" w14:paraId="67924562" w14:textId="77777777" w:rsidTr="00B429DD">
        <w:trPr>
          <w:trHeight w:val="284"/>
        </w:trPr>
        <w:tc>
          <w:tcPr>
            <w:tcW w:w="1529" w:type="pct"/>
          </w:tcPr>
          <w:p w14:paraId="432ADB3D" w14:textId="7D844A47" w:rsidR="00631ED8" w:rsidRPr="00C414AD" w:rsidRDefault="00BD66CC" w:rsidP="00354ACD">
            <w:pPr>
              <w:jc w:val="center"/>
              <w:rPr>
                <w:rFonts w:cs="Calibri"/>
                <w:sz w:val="20"/>
                <w:szCs w:val="20"/>
                <w:lang w:eastAsia="zh-CN"/>
              </w:rPr>
            </w:pPr>
            <w:r w:rsidRPr="00BD66CC">
              <w:rPr>
                <w:rFonts w:cs="Calibri"/>
                <w:sz w:val="20"/>
                <w:szCs w:val="20"/>
                <w:lang w:eastAsia="zh-CN"/>
              </w:rPr>
              <w:t>Luo et al. (2010)</w:t>
            </w:r>
          </w:p>
        </w:tc>
        <w:tc>
          <w:tcPr>
            <w:tcW w:w="1157" w:type="pct"/>
          </w:tcPr>
          <w:p w14:paraId="5E299D56" w14:textId="43FC1C79" w:rsidR="00631ED8" w:rsidRPr="00BD66CC" w:rsidRDefault="00BD66CC" w:rsidP="00196BEC">
            <w:pPr>
              <w:jc w:val="center"/>
              <w:rPr>
                <w:rFonts w:eastAsiaTheme="minorEastAsia"/>
                <w:lang w:eastAsia="zh-CN"/>
              </w:rPr>
            </w:pPr>
            <w:r>
              <w:rPr>
                <w:rFonts w:eastAsiaTheme="minorEastAsia" w:hint="eastAsia"/>
                <w:lang w:eastAsia="zh-CN"/>
              </w:rPr>
              <w:t>C</w:t>
            </w:r>
            <w:r>
              <w:rPr>
                <w:rFonts w:eastAsiaTheme="minorEastAsia"/>
                <w:lang w:eastAsia="zh-CN"/>
              </w:rPr>
              <w:t>CR &amp; BCC</w:t>
            </w:r>
          </w:p>
        </w:tc>
        <w:tc>
          <w:tcPr>
            <w:tcW w:w="1157" w:type="pct"/>
          </w:tcPr>
          <w:p w14:paraId="7D85C57A" w14:textId="285745F1" w:rsidR="00631ED8" w:rsidRDefault="00BD66CC"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c>
          <w:tcPr>
            <w:tcW w:w="1157" w:type="pct"/>
          </w:tcPr>
          <w:p w14:paraId="0FF5E657" w14:textId="0585AD01" w:rsidR="00631ED8" w:rsidRDefault="00BD66CC" w:rsidP="00354ACD">
            <w:pPr>
              <w:jc w:val="center"/>
              <w:rPr>
                <w:rFonts w:eastAsiaTheme="minorEastAsia" w:cs="Calibri"/>
                <w:sz w:val="20"/>
                <w:szCs w:val="20"/>
                <w:lang w:eastAsia="zh-CN"/>
              </w:rPr>
            </w:pPr>
            <w:r>
              <w:rPr>
                <w:rFonts w:eastAsiaTheme="minorEastAsia" w:cs="Calibri" w:hint="eastAsia"/>
                <w:sz w:val="20"/>
                <w:szCs w:val="20"/>
                <w:lang w:eastAsia="zh-CN"/>
              </w:rPr>
              <w:t>n</w:t>
            </w:r>
            <w:r>
              <w:rPr>
                <w:rFonts w:eastAsiaTheme="minorEastAsia" w:cs="Calibri"/>
                <w:sz w:val="20"/>
                <w:szCs w:val="20"/>
                <w:lang w:eastAsia="zh-CN"/>
              </w:rPr>
              <w:t>/a</w:t>
            </w:r>
          </w:p>
        </w:tc>
      </w:tr>
      <w:tr w:rsidR="00631ED8" w:rsidRPr="00CE5391" w14:paraId="7C1F7072" w14:textId="77777777" w:rsidTr="00B429DD">
        <w:trPr>
          <w:trHeight w:val="284"/>
        </w:trPr>
        <w:tc>
          <w:tcPr>
            <w:tcW w:w="1529" w:type="pct"/>
          </w:tcPr>
          <w:p w14:paraId="717CC020" w14:textId="77777777" w:rsidR="00631ED8" w:rsidRPr="00C414AD" w:rsidRDefault="00631ED8" w:rsidP="00354ACD">
            <w:pPr>
              <w:jc w:val="center"/>
              <w:rPr>
                <w:rFonts w:cs="Calibri"/>
                <w:sz w:val="20"/>
                <w:szCs w:val="20"/>
                <w:lang w:eastAsia="zh-CN"/>
              </w:rPr>
            </w:pPr>
          </w:p>
        </w:tc>
        <w:tc>
          <w:tcPr>
            <w:tcW w:w="1157" w:type="pct"/>
          </w:tcPr>
          <w:p w14:paraId="59E391AC" w14:textId="77777777" w:rsidR="00631ED8" w:rsidRDefault="00631ED8" w:rsidP="00196BEC">
            <w:pPr>
              <w:jc w:val="center"/>
              <w:rPr>
                <w:lang w:eastAsia="zh-CN"/>
              </w:rPr>
            </w:pPr>
          </w:p>
        </w:tc>
        <w:tc>
          <w:tcPr>
            <w:tcW w:w="1157" w:type="pct"/>
          </w:tcPr>
          <w:p w14:paraId="0A584BAE" w14:textId="77777777" w:rsidR="00631ED8" w:rsidRDefault="00631ED8" w:rsidP="00354ACD">
            <w:pPr>
              <w:jc w:val="center"/>
              <w:rPr>
                <w:rFonts w:eastAsiaTheme="minorEastAsia" w:cs="Calibri"/>
                <w:sz w:val="20"/>
                <w:szCs w:val="20"/>
                <w:lang w:eastAsia="zh-CN"/>
              </w:rPr>
            </w:pPr>
          </w:p>
        </w:tc>
        <w:tc>
          <w:tcPr>
            <w:tcW w:w="1157" w:type="pct"/>
          </w:tcPr>
          <w:p w14:paraId="785BFDAB" w14:textId="77777777" w:rsidR="00631ED8" w:rsidRDefault="00631ED8" w:rsidP="00354ACD">
            <w:pPr>
              <w:jc w:val="center"/>
              <w:rPr>
                <w:rFonts w:eastAsiaTheme="minorEastAsia" w:cs="Calibri"/>
                <w:sz w:val="20"/>
                <w:szCs w:val="20"/>
                <w:lang w:eastAsia="zh-CN"/>
              </w:rPr>
            </w:pPr>
          </w:p>
        </w:tc>
      </w:tr>
      <w:tr w:rsidR="00631ED8" w:rsidRPr="00CE5391" w14:paraId="7E1F6D79" w14:textId="77777777" w:rsidTr="00B429DD">
        <w:trPr>
          <w:trHeight w:val="284"/>
        </w:trPr>
        <w:tc>
          <w:tcPr>
            <w:tcW w:w="1529" w:type="pct"/>
          </w:tcPr>
          <w:p w14:paraId="5D29B1D5" w14:textId="77777777" w:rsidR="00631ED8" w:rsidRPr="00C414AD" w:rsidRDefault="00631ED8" w:rsidP="00354ACD">
            <w:pPr>
              <w:jc w:val="center"/>
              <w:rPr>
                <w:rFonts w:cs="Calibri"/>
                <w:sz w:val="20"/>
                <w:szCs w:val="20"/>
                <w:lang w:eastAsia="zh-CN"/>
              </w:rPr>
            </w:pPr>
          </w:p>
        </w:tc>
        <w:tc>
          <w:tcPr>
            <w:tcW w:w="1157" w:type="pct"/>
          </w:tcPr>
          <w:p w14:paraId="2398324A" w14:textId="77777777" w:rsidR="00631ED8" w:rsidRDefault="00631ED8" w:rsidP="00196BEC">
            <w:pPr>
              <w:jc w:val="center"/>
              <w:rPr>
                <w:lang w:eastAsia="zh-CN"/>
              </w:rPr>
            </w:pPr>
          </w:p>
        </w:tc>
        <w:tc>
          <w:tcPr>
            <w:tcW w:w="1157" w:type="pct"/>
          </w:tcPr>
          <w:p w14:paraId="20CE08AB" w14:textId="77777777" w:rsidR="00631ED8" w:rsidRDefault="00631ED8" w:rsidP="00354ACD">
            <w:pPr>
              <w:jc w:val="center"/>
              <w:rPr>
                <w:rFonts w:eastAsiaTheme="minorEastAsia" w:cs="Calibri"/>
                <w:sz w:val="20"/>
                <w:szCs w:val="20"/>
                <w:lang w:eastAsia="zh-CN"/>
              </w:rPr>
            </w:pPr>
          </w:p>
        </w:tc>
        <w:tc>
          <w:tcPr>
            <w:tcW w:w="1157" w:type="pct"/>
          </w:tcPr>
          <w:p w14:paraId="1B2F3C0D" w14:textId="77777777" w:rsidR="00631ED8" w:rsidRDefault="00631ED8" w:rsidP="00354ACD">
            <w:pPr>
              <w:jc w:val="center"/>
              <w:rPr>
                <w:rFonts w:eastAsiaTheme="minorEastAsia" w:cs="Calibri"/>
                <w:sz w:val="20"/>
                <w:szCs w:val="20"/>
                <w:lang w:eastAsia="zh-CN"/>
              </w:rPr>
            </w:pPr>
          </w:p>
        </w:tc>
      </w:tr>
      <w:tr w:rsidR="00631ED8" w:rsidRPr="00CE5391" w14:paraId="7C21FB50" w14:textId="77777777" w:rsidTr="00B429DD">
        <w:trPr>
          <w:trHeight w:val="284"/>
        </w:trPr>
        <w:tc>
          <w:tcPr>
            <w:tcW w:w="1529" w:type="pct"/>
          </w:tcPr>
          <w:p w14:paraId="16B7C859" w14:textId="77777777" w:rsidR="00631ED8" w:rsidRPr="00C414AD" w:rsidRDefault="00631ED8" w:rsidP="00354ACD">
            <w:pPr>
              <w:jc w:val="center"/>
              <w:rPr>
                <w:rFonts w:cs="Calibri"/>
                <w:sz w:val="20"/>
                <w:szCs w:val="20"/>
                <w:lang w:eastAsia="zh-CN"/>
              </w:rPr>
            </w:pPr>
          </w:p>
        </w:tc>
        <w:tc>
          <w:tcPr>
            <w:tcW w:w="1157" w:type="pct"/>
          </w:tcPr>
          <w:p w14:paraId="238DCEE2" w14:textId="77777777" w:rsidR="00631ED8" w:rsidRDefault="00631ED8" w:rsidP="00196BEC">
            <w:pPr>
              <w:jc w:val="center"/>
              <w:rPr>
                <w:lang w:eastAsia="zh-CN"/>
              </w:rPr>
            </w:pPr>
          </w:p>
        </w:tc>
        <w:tc>
          <w:tcPr>
            <w:tcW w:w="1157" w:type="pct"/>
          </w:tcPr>
          <w:p w14:paraId="124671B2" w14:textId="77777777" w:rsidR="00631ED8" w:rsidRDefault="00631ED8" w:rsidP="00354ACD">
            <w:pPr>
              <w:jc w:val="center"/>
              <w:rPr>
                <w:rFonts w:eastAsiaTheme="minorEastAsia" w:cs="Calibri"/>
                <w:sz w:val="20"/>
                <w:szCs w:val="20"/>
                <w:lang w:eastAsia="zh-CN"/>
              </w:rPr>
            </w:pPr>
          </w:p>
        </w:tc>
        <w:tc>
          <w:tcPr>
            <w:tcW w:w="1157" w:type="pct"/>
          </w:tcPr>
          <w:p w14:paraId="338478FB" w14:textId="77777777" w:rsidR="00631ED8" w:rsidRDefault="00631ED8" w:rsidP="00354ACD">
            <w:pPr>
              <w:jc w:val="center"/>
              <w:rPr>
                <w:rFonts w:eastAsiaTheme="minorEastAsia" w:cs="Calibri"/>
                <w:sz w:val="20"/>
                <w:szCs w:val="20"/>
                <w:lang w:eastAsia="zh-CN"/>
              </w:rPr>
            </w:pPr>
          </w:p>
        </w:tc>
      </w:tr>
    </w:tbl>
    <w:p w14:paraId="47FEA5DC" w14:textId="77777777" w:rsidR="00980FBF" w:rsidRDefault="00980FBF" w:rsidP="00980FBF">
      <w:pPr>
        <w:pStyle w:val="ListParagraph"/>
        <w:ind w:left="360"/>
        <w:jc w:val="both"/>
        <w:rPr>
          <w:rFonts w:ascii="Times New Roman" w:hAnsi="Times New Roman" w:cs="Times New Roman"/>
          <w:sz w:val="24"/>
          <w:szCs w:val="24"/>
        </w:rPr>
      </w:pPr>
    </w:p>
    <w:p w14:paraId="0F2DCC48" w14:textId="77777777" w:rsidR="00980FBF" w:rsidRPr="00CE5391" w:rsidRDefault="00980FBF" w:rsidP="00980FBF">
      <w:pPr>
        <w:pStyle w:val="ListParagraph"/>
        <w:spacing w:after="0" w:line="240" w:lineRule="auto"/>
        <w:ind w:left="360"/>
        <w:jc w:val="both"/>
        <w:rPr>
          <w:rFonts w:ascii="Calibri" w:eastAsia="Calibri" w:hAnsi="Calibri" w:cs="Calibri"/>
          <w:sz w:val="20"/>
          <w:szCs w:val="20"/>
        </w:rPr>
      </w:pPr>
      <w:r w:rsidRPr="00CE5391">
        <w:rPr>
          <w:rFonts w:ascii="Calibri" w:eastAsia="Calibri" w:hAnsi="Calibri" w:cs="Calibri"/>
          <w:b/>
          <w:bCs/>
          <w:sz w:val="20"/>
          <w:szCs w:val="20"/>
        </w:rPr>
        <w:t>Table 4:</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Inputs &amp; Outputs and</w:t>
      </w:r>
      <w:r w:rsidRPr="00B732C1">
        <w:rPr>
          <w:rFonts w:ascii="Calibri" w:eastAsia="Calibri" w:hAnsi="Calibri" w:cs="Calibri"/>
          <w:b/>
          <w:bCs/>
          <w:sz w:val="20"/>
          <w:szCs w:val="20"/>
          <w:u w:val="single"/>
        </w:rPr>
        <w:t xml:space="preserve"> their measures</w:t>
      </w:r>
      <w:r w:rsidRPr="00CE5391">
        <w:rPr>
          <w:rFonts w:ascii="Calibri" w:eastAsia="Calibri" w:hAnsi="Calibri" w:cs="Calibri"/>
          <w:sz w:val="20"/>
          <w:szCs w:val="20"/>
          <w:u w:val="single"/>
        </w:rPr>
        <w:t xml:space="preserve"> used in assessing the efficiency of DMUs and the perspective, also referred to as approach, from which the analysis is performed</w:t>
      </w:r>
      <w:r w:rsidRPr="00CE5391">
        <w:rPr>
          <w:rFonts w:ascii="Calibri" w:eastAsia="Calibri" w:hAnsi="Calibri" w:cs="Calibri"/>
          <w:sz w:val="20"/>
          <w:szCs w:val="20"/>
        </w:rPr>
        <w:t xml:space="preserve"> – we shall refer to this perspective as the assessment perspective; the assessment perspective shapes the choice of inputs and outputs (guidelines: </w:t>
      </w:r>
      <w:proofErr w:type="spellStart"/>
      <w:r w:rsidRPr="00CE5391">
        <w:rPr>
          <w:rFonts w:ascii="Calibri" w:eastAsia="Calibri" w:hAnsi="Calibri" w:cs="Calibri"/>
          <w:sz w:val="20"/>
          <w:szCs w:val="20"/>
        </w:rPr>
        <w:t>analyse</w:t>
      </w:r>
      <w:proofErr w:type="spellEnd"/>
      <w:r w:rsidRPr="00CE5391">
        <w:rPr>
          <w:rFonts w:ascii="Calibri" w:eastAsia="Calibri" w:hAnsi="Calibri" w:cs="Calibri"/>
          <w:sz w:val="20"/>
          <w:szCs w:val="20"/>
        </w:rPr>
        <w:t xml:space="preserve"> this table by perspective and for each perspective classify inputs and outputs in meaningful categories and discuss them in the main text)</w:t>
      </w:r>
    </w:p>
    <w:tbl>
      <w:tblPr>
        <w:tblStyle w:val="TableGrid"/>
        <w:tblW w:w="4803" w:type="pct"/>
        <w:tblInd w:w="355" w:type="dxa"/>
        <w:tblLook w:val="04A0" w:firstRow="1" w:lastRow="0" w:firstColumn="1" w:lastColumn="0" w:noHBand="0" w:noVBand="1"/>
      </w:tblPr>
      <w:tblGrid>
        <w:gridCol w:w="2992"/>
        <w:gridCol w:w="1998"/>
        <w:gridCol w:w="1998"/>
        <w:gridCol w:w="1994"/>
      </w:tblGrid>
      <w:tr w:rsidR="00980FBF" w:rsidRPr="00CE5391" w14:paraId="5405A8A6" w14:textId="77777777" w:rsidTr="008D3857">
        <w:trPr>
          <w:trHeight w:val="284"/>
        </w:trPr>
        <w:tc>
          <w:tcPr>
            <w:tcW w:w="1666" w:type="pct"/>
          </w:tcPr>
          <w:p w14:paraId="6B029416" w14:textId="77777777" w:rsidR="00980FBF" w:rsidRPr="00CE5391" w:rsidRDefault="00980FBF" w:rsidP="00DC1865">
            <w:pPr>
              <w:jc w:val="center"/>
              <w:rPr>
                <w:rFonts w:cs="Calibri"/>
                <w:b/>
                <w:bCs/>
                <w:sz w:val="20"/>
                <w:szCs w:val="20"/>
              </w:rPr>
            </w:pPr>
            <w:r w:rsidRPr="00CE5391">
              <w:rPr>
                <w:rFonts w:cs="Calibri"/>
                <w:b/>
                <w:bCs/>
                <w:sz w:val="20"/>
                <w:szCs w:val="20"/>
              </w:rPr>
              <w:t>Reference</w:t>
            </w:r>
          </w:p>
        </w:tc>
        <w:tc>
          <w:tcPr>
            <w:tcW w:w="1112" w:type="pct"/>
          </w:tcPr>
          <w:p w14:paraId="5CF7F718" w14:textId="77777777" w:rsidR="00980FBF" w:rsidRPr="00CE5391" w:rsidRDefault="00980FBF" w:rsidP="00DC1865">
            <w:pPr>
              <w:jc w:val="center"/>
              <w:rPr>
                <w:rFonts w:cs="Calibri"/>
                <w:b/>
                <w:bCs/>
                <w:sz w:val="20"/>
                <w:szCs w:val="20"/>
              </w:rPr>
            </w:pPr>
            <w:r w:rsidRPr="00CE5391">
              <w:rPr>
                <w:rFonts w:cs="Calibri"/>
                <w:b/>
                <w:bCs/>
                <w:sz w:val="20"/>
                <w:szCs w:val="20"/>
              </w:rPr>
              <w:t>Assessment Perspective</w:t>
            </w:r>
          </w:p>
        </w:tc>
        <w:tc>
          <w:tcPr>
            <w:tcW w:w="1112" w:type="pct"/>
          </w:tcPr>
          <w:p w14:paraId="2FCF2B29" w14:textId="77777777" w:rsidR="00980FBF" w:rsidRPr="00CE5391" w:rsidRDefault="00980FBF" w:rsidP="00DC1865">
            <w:pPr>
              <w:jc w:val="center"/>
              <w:rPr>
                <w:rFonts w:cs="Calibri"/>
                <w:b/>
                <w:bCs/>
                <w:sz w:val="20"/>
                <w:szCs w:val="20"/>
              </w:rPr>
            </w:pPr>
            <w:r w:rsidRPr="00CE5391">
              <w:rPr>
                <w:rFonts w:cs="Calibri"/>
                <w:b/>
                <w:bCs/>
                <w:sz w:val="20"/>
                <w:szCs w:val="20"/>
              </w:rPr>
              <w:t>Inputs</w:t>
            </w:r>
          </w:p>
        </w:tc>
        <w:tc>
          <w:tcPr>
            <w:tcW w:w="1110" w:type="pct"/>
          </w:tcPr>
          <w:p w14:paraId="39B79CC3" w14:textId="77777777" w:rsidR="00980FBF" w:rsidRPr="00CE5391" w:rsidRDefault="00980FBF" w:rsidP="00DC1865">
            <w:pPr>
              <w:jc w:val="center"/>
              <w:rPr>
                <w:rFonts w:cs="Calibri"/>
                <w:b/>
                <w:bCs/>
                <w:sz w:val="20"/>
                <w:szCs w:val="20"/>
              </w:rPr>
            </w:pPr>
            <w:r w:rsidRPr="00CE5391">
              <w:rPr>
                <w:rFonts w:cs="Calibri"/>
                <w:b/>
                <w:bCs/>
                <w:sz w:val="20"/>
                <w:szCs w:val="20"/>
              </w:rPr>
              <w:t>Outputs</w:t>
            </w:r>
          </w:p>
        </w:tc>
      </w:tr>
      <w:tr w:rsidR="00AB1BD9" w:rsidRPr="00CE5391" w14:paraId="6FCED7A3" w14:textId="77777777" w:rsidTr="008D3857">
        <w:trPr>
          <w:trHeight w:val="284"/>
        </w:trPr>
        <w:tc>
          <w:tcPr>
            <w:tcW w:w="1666" w:type="pct"/>
          </w:tcPr>
          <w:p w14:paraId="7823D0E7" w14:textId="1786A03A" w:rsidR="00AB1BD9" w:rsidRPr="00CE5391" w:rsidRDefault="00CC1490" w:rsidP="00AB1BD9">
            <w:pPr>
              <w:jc w:val="center"/>
              <w:rPr>
                <w:rFonts w:cs="Calibri"/>
                <w:sz w:val="20"/>
                <w:szCs w:val="20"/>
                <w:lang w:eastAsia="zh-CN"/>
              </w:rPr>
            </w:pPr>
            <w:r w:rsidRPr="00CC1490">
              <w:rPr>
                <w:rFonts w:cs="Calibri"/>
                <w:sz w:val="20"/>
                <w:szCs w:val="20"/>
                <w:lang w:eastAsia="zh-CN"/>
              </w:rPr>
              <w:t>Matthews, et al. (2010)</w:t>
            </w:r>
          </w:p>
        </w:tc>
        <w:tc>
          <w:tcPr>
            <w:tcW w:w="1112" w:type="pct"/>
          </w:tcPr>
          <w:p w14:paraId="2A36D58C" w14:textId="4567D6C5" w:rsidR="00AB1BD9" w:rsidRDefault="00AB1BD9" w:rsidP="00AB1BD9">
            <w:pPr>
              <w:jc w:val="center"/>
              <w:rPr>
                <w:rFonts w:eastAsia="Arial Unicode MS" w:cs="Arial Unicode MS"/>
                <w:color w:val="000000" w:themeColor="text1"/>
                <w:sz w:val="20"/>
                <w:szCs w:val="20"/>
                <w:lang w:eastAsia="zh-CN"/>
              </w:rPr>
            </w:pPr>
            <w:r w:rsidRPr="00395810">
              <w:rPr>
                <w:rFonts w:eastAsia="Arial Unicode MS" w:cs="Arial Unicode MS"/>
                <w:color w:val="000000" w:themeColor="text1"/>
                <w:sz w:val="20"/>
                <w:szCs w:val="20"/>
                <w:lang w:eastAsia="zh-CN"/>
              </w:rPr>
              <w:t>performance criteria</w:t>
            </w:r>
            <w:r>
              <w:rPr>
                <w:rFonts w:eastAsia="Arial Unicode MS" w:cs="Arial Unicode MS"/>
                <w:color w:val="000000" w:themeColor="text1"/>
                <w:sz w:val="20"/>
                <w:szCs w:val="20"/>
                <w:lang w:eastAsia="zh-CN"/>
              </w:rPr>
              <w:t xml:space="preserve">: </w:t>
            </w:r>
          </w:p>
          <w:p w14:paraId="524053D7" w14:textId="7A77E850" w:rsidR="00AB1BD9" w:rsidRDefault="00BF2F9D" w:rsidP="00AB1BD9">
            <w:pPr>
              <w:jc w:val="center"/>
              <w:rPr>
                <w:rFonts w:eastAsia="Arial Unicode MS" w:cs="Arial Unicode MS"/>
                <w:color w:val="000000" w:themeColor="text1"/>
                <w:sz w:val="20"/>
                <w:szCs w:val="20"/>
                <w:lang w:eastAsia="zh-CN"/>
              </w:rPr>
            </w:pPr>
            <w:r w:rsidRPr="00BF2F9D">
              <w:rPr>
                <w:rFonts w:eastAsia="Arial Unicode MS" w:cs="Arial Unicode MS"/>
                <w:color w:val="000000" w:themeColor="text1"/>
                <w:sz w:val="20"/>
                <w:szCs w:val="20"/>
                <w:lang w:eastAsia="zh-CN"/>
              </w:rPr>
              <w:t>a hybrid between the intermediation and production approaches</w:t>
            </w:r>
            <w:r w:rsidR="00580D53">
              <w:rPr>
                <w:rFonts w:eastAsia="Arial Unicode MS" w:cs="Arial Unicode MS"/>
                <w:color w:val="000000" w:themeColor="text1"/>
                <w:sz w:val="20"/>
                <w:szCs w:val="20"/>
                <w:lang w:eastAsia="zh-CN"/>
              </w:rPr>
              <w:t xml:space="preserve"> (IA &amp; PA)</w:t>
            </w:r>
          </w:p>
          <w:p w14:paraId="11121DA4" w14:textId="2270DBDC" w:rsidR="00BF2F9D" w:rsidRPr="00CE5391" w:rsidRDefault="00CC1490" w:rsidP="00B732C1">
            <w:pP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 xml:space="preserve"> </w:t>
            </w:r>
          </w:p>
        </w:tc>
        <w:tc>
          <w:tcPr>
            <w:tcW w:w="1112" w:type="pct"/>
          </w:tcPr>
          <w:p w14:paraId="2896E72A" w14:textId="3937FF38" w:rsidR="00580D53" w:rsidRDefault="00580D53" w:rsidP="00AB1BD9">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I</w:t>
            </w:r>
            <w:r>
              <w:rPr>
                <w:rFonts w:eastAsia="Arial Unicode MS" w:cs="Arial Unicode MS"/>
                <w:color w:val="000000" w:themeColor="text1"/>
                <w:sz w:val="20"/>
                <w:szCs w:val="20"/>
                <w:lang w:eastAsia="zh-CN"/>
              </w:rPr>
              <w:t>A:</w:t>
            </w:r>
          </w:p>
          <w:p w14:paraId="7F07C975" w14:textId="41EFD3A3" w:rsidR="00AB1BD9" w:rsidRPr="008C0F5E" w:rsidRDefault="007F7221" w:rsidP="00AB1BD9">
            <w:pPr>
              <w:jc w:val="center"/>
              <w:rPr>
                <w:rFonts w:eastAsia="Arial Unicode MS" w:cs="Arial Unicode MS"/>
                <w:color w:val="000000" w:themeColor="text1"/>
                <w:sz w:val="20"/>
                <w:szCs w:val="20"/>
                <w:lang w:eastAsia="zh-CN"/>
              </w:rPr>
            </w:pPr>
            <w:r w:rsidRPr="007F7221">
              <w:rPr>
                <w:rFonts w:eastAsia="Arial Unicode MS" w:cs="Arial Unicode MS"/>
                <w:color w:val="000000" w:themeColor="text1"/>
                <w:sz w:val="20"/>
                <w:szCs w:val="20"/>
                <w:lang w:eastAsia="zh-CN"/>
              </w:rPr>
              <w:t>Deposits (RDEP), overheads (ROHD), fixed assets (RFA)</w:t>
            </w:r>
          </w:p>
        </w:tc>
        <w:tc>
          <w:tcPr>
            <w:tcW w:w="1110" w:type="pct"/>
          </w:tcPr>
          <w:p w14:paraId="29B07A58" w14:textId="3CA6B36C" w:rsidR="007F7221" w:rsidRPr="00395810" w:rsidRDefault="00580D53" w:rsidP="007F7221">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I</w:t>
            </w:r>
            <w:r>
              <w:rPr>
                <w:rFonts w:eastAsia="Arial Unicode MS" w:cs="Arial Unicode MS"/>
                <w:color w:val="000000" w:themeColor="text1"/>
                <w:sz w:val="20"/>
                <w:szCs w:val="20"/>
                <w:lang w:eastAsia="zh-CN"/>
              </w:rPr>
              <w:t>A:</w:t>
            </w:r>
          </w:p>
          <w:p w14:paraId="7E834288" w14:textId="77777777" w:rsidR="00580D53" w:rsidRDefault="007F7221" w:rsidP="00AB1BD9">
            <w:pPr>
              <w:jc w:val="center"/>
              <w:rPr>
                <w:rFonts w:eastAsia="Arial Unicode MS" w:cs="Arial Unicode MS"/>
                <w:color w:val="000000" w:themeColor="text1"/>
                <w:sz w:val="20"/>
                <w:szCs w:val="20"/>
                <w:lang w:eastAsia="zh-CN"/>
              </w:rPr>
            </w:pPr>
            <w:r w:rsidRPr="007F7221">
              <w:rPr>
                <w:rFonts w:eastAsia="Arial Unicode MS" w:cs="Arial Unicode MS"/>
                <w:color w:val="000000" w:themeColor="text1"/>
                <w:sz w:val="20"/>
                <w:szCs w:val="20"/>
                <w:lang w:eastAsia="zh-CN"/>
              </w:rPr>
              <w:t xml:space="preserve">Loans (RLOAN), </w:t>
            </w:r>
          </w:p>
          <w:p w14:paraId="667E9550" w14:textId="77777777" w:rsidR="00580D53" w:rsidRDefault="00580D53" w:rsidP="00AB1BD9">
            <w:pPr>
              <w:jc w:val="center"/>
              <w:rPr>
                <w:rFonts w:eastAsia="Arial Unicode MS" w:cs="Arial Unicode MS"/>
                <w:color w:val="000000" w:themeColor="text1"/>
                <w:sz w:val="20"/>
                <w:szCs w:val="20"/>
                <w:lang w:eastAsia="zh-CN"/>
              </w:rPr>
            </w:pPr>
          </w:p>
          <w:p w14:paraId="411A0881" w14:textId="1A014765" w:rsidR="00580D53" w:rsidRDefault="00580D53" w:rsidP="00AB1BD9">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P</w:t>
            </w:r>
            <w:r>
              <w:rPr>
                <w:rFonts w:eastAsia="Arial Unicode MS" w:cs="Arial Unicode MS"/>
                <w:color w:val="000000" w:themeColor="text1"/>
                <w:sz w:val="20"/>
                <w:szCs w:val="20"/>
                <w:lang w:eastAsia="zh-CN"/>
              </w:rPr>
              <w:t>A:</w:t>
            </w:r>
          </w:p>
          <w:p w14:paraId="7A378F69" w14:textId="0C9C6295" w:rsidR="00AB1BD9" w:rsidRPr="00395810" w:rsidRDefault="007F7221" w:rsidP="00AB1BD9">
            <w:pPr>
              <w:jc w:val="center"/>
              <w:rPr>
                <w:rFonts w:eastAsia="Arial Unicode MS" w:cs="Arial Unicode MS"/>
                <w:color w:val="000000" w:themeColor="text1"/>
                <w:sz w:val="20"/>
                <w:szCs w:val="20"/>
                <w:lang w:eastAsia="zh-CN"/>
              </w:rPr>
            </w:pPr>
            <w:r w:rsidRPr="007F7221">
              <w:rPr>
                <w:rFonts w:eastAsia="Arial Unicode MS" w:cs="Arial Unicode MS"/>
                <w:color w:val="000000" w:themeColor="text1"/>
                <w:sz w:val="20"/>
                <w:szCs w:val="20"/>
                <w:lang w:eastAsia="zh-CN"/>
              </w:rPr>
              <w:t>other earning assets (ROEA), RFEE (net fee income)</w:t>
            </w:r>
          </w:p>
          <w:p w14:paraId="68C88623" w14:textId="77777777" w:rsidR="00AB1BD9" w:rsidRPr="000121A4" w:rsidRDefault="00AB1BD9" w:rsidP="00AB1BD9">
            <w:pPr>
              <w:jc w:val="center"/>
              <w:rPr>
                <w:rFonts w:cs="Calibri"/>
                <w:sz w:val="20"/>
                <w:szCs w:val="20"/>
              </w:rPr>
            </w:pPr>
          </w:p>
        </w:tc>
      </w:tr>
      <w:tr w:rsidR="008D3857" w:rsidRPr="00CE5391" w14:paraId="2C10AF6F" w14:textId="77777777" w:rsidTr="008D3857">
        <w:trPr>
          <w:trHeight w:val="284"/>
        </w:trPr>
        <w:tc>
          <w:tcPr>
            <w:tcW w:w="1666" w:type="pct"/>
          </w:tcPr>
          <w:p w14:paraId="6D3369C5" w14:textId="02F286BD" w:rsidR="008D3857" w:rsidRPr="00CE5391" w:rsidRDefault="008D3857" w:rsidP="008D3857">
            <w:pPr>
              <w:jc w:val="center"/>
              <w:rPr>
                <w:rFonts w:cs="Calibri"/>
                <w:sz w:val="20"/>
                <w:szCs w:val="20"/>
                <w:lang w:eastAsia="zh-CN"/>
              </w:rPr>
            </w:pPr>
            <w:r w:rsidRPr="00AB1BD9">
              <w:rPr>
                <w:rFonts w:cs="Calibri"/>
                <w:sz w:val="20"/>
                <w:szCs w:val="20"/>
                <w:lang w:val="en-US" w:eastAsia="zh-CN"/>
              </w:rPr>
              <w:t xml:space="preserve">Hou, </w:t>
            </w:r>
            <w:r w:rsidRPr="008D3857">
              <w:rPr>
                <w:rFonts w:cs="Calibri"/>
                <w:sz w:val="20"/>
                <w:szCs w:val="20"/>
                <w:lang w:val="en-US" w:eastAsia="zh-CN"/>
              </w:rPr>
              <w:t>et</w:t>
            </w:r>
            <w:r>
              <w:rPr>
                <w:rFonts w:cs="Calibri"/>
                <w:sz w:val="20"/>
                <w:szCs w:val="20"/>
                <w:lang w:val="en-US" w:eastAsia="zh-CN"/>
              </w:rPr>
              <w:t xml:space="preserve"> al. </w:t>
            </w:r>
            <w:r w:rsidRPr="00AB1BD9">
              <w:rPr>
                <w:rFonts w:cs="Calibri"/>
                <w:sz w:val="20"/>
                <w:szCs w:val="20"/>
                <w:lang w:val="en-US" w:eastAsia="zh-CN"/>
              </w:rPr>
              <w:t>(2014)</w:t>
            </w:r>
          </w:p>
        </w:tc>
        <w:tc>
          <w:tcPr>
            <w:tcW w:w="1112" w:type="pct"/>
          </w:tcPr>
          <w:p w14:paraId="46B223ED" w14:textId="4E031AC9"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 xml:space="preserve">performance criteria: </w:t>
            </w:r>
            <w:r w:rsidR="00580D53">
              <w:rPr>
                <w:rFonts w:eastAsia="Arial Unicode MS" w:cs="Arial Unicode MS"/>
                <w:color w:val="000000" w:themeColor="text1"/>
                <w:sz w:val="20"/>
                <w:szCs w:val="20"/>
                <w:lang w:eastAsia="zh-CN"/>
              </w:rPr>
              <w:t>IA</w:t>
            </w:r>
          </w:p>
          <w:p w14:paraId="686D9796" w14:textId="5EAF4629" w:rsidR="008D3857" w:rsidRPr="00CE5391" w:rsidRDefault="008D3857" w:rsidP="00B732C1">
            <w:pPr>
              <w:rPr>
                <w:rFonts w:eastAsia="Arial Unicode MS" w:cs="Arial Unicode MS"/>
                <w:color w:val="000000" w:themeColor="text1"/>
                <w:sz w:val="20"/>
                <w:szCs w:val="20"/>
                <w:lang w:eastAsia="zh-CN"/>
              </w:rPr>
            </w:pPr>
          </w:p>
        </w:tc>
        <w:tc>
          <w:tcPr>
            <w:tcW w:w="1112" w:type="pct"/>
          </w:tcPr>
          <w:p w14:paraId="1AAD3D13" w14:textId="7133482A"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total deposits</w:t>
            </w:r>
            <w:r w:rsidRPr="008C0F5E">
              <w:rPr>
                <w:rFonts w:eastAsia="Arial Unicode MS" w:cs="Arial Unicode MS"/>
                <w:color w:val="000000" w:themeColor="text1"/>
                <w:sz w:val="20"/>
                <w:szCs w:val="20"/>
                <w:lang w:eastAsia="zh-CN"/>
              </w:rPr>
              <w:t xml:space="preserve"> </w:t>
            </w:r>
            <w:r>
              <w:rPr>
                <w:rFonts w:eastAsia="Arial Unicode MS" w:cs="Arial Unicode MS"/>
                <w:color w:val="000000" w:themeColor="text1"/>
                <w:sz w:val="20"/>
                <w:szCs w:val="20"/>
                <w:lang w:eastAsia="zh-CN"/>
              </w:rPr>
              <w:t>(</w:t>
            </w:r>
            <m:oMath>
              <m:r>
                <w:rPr>
                  <w:rFonts w:ascii="Cambria Math" w:eastAsia="Arial Unicode MS" w:hAnsi="Cambria Math" w:cs="Arial Unicode MS"/>
                  <w:color w:val="000000" w:themeColor="text1"/>
                  <w:sz w:val="20"/>
                  <w:szCs w:val="20"/>
                  <w:lang w:eastAsia="zh-CN"/>
                </w:rPr>
                <m:t>TDEPOSITS</m:t>
              </m:r>
            </m:oMath>
            <w:r>
              <w:rPr>
                <w:rFonts w:eastAsia="Arial Unicode MS" w:cs="Arial Unicode MS"/>
                <w:color w:val="000000" w:themeColor="text1"/>
                <w:sz w:val="20"/>
                <w:szCs w:val="20"/>
                <w:lang w:eastAsia="zh-CN"/>
              </w:rPr>
              <w:t>),</w:t>
            </w:r>
          </w:p>
          <w:p w14:paraId="7864CC65" w14:textId="15953BB2"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fixed assets</w:t>
            </w:r>
            <w:r w:rsidRPr="008C0F5E">
              <w:rPr>
                <w:rFonts w:eastAsia="Arial Unicode MS" w:cs="Arial Unicode MS"/>
                <w:color w:val="000000" w:themeColor="text1"/>
                <w:sz w:val="20"/>
                <w:szCs w:val="20"/>
                <w:lang w:eastAsia="zh-CN"/>
              </w:rPr>
              <w:t xml:space="preserve"> </w:t>
            </w:r>
            <w:r>
              <w:rPr>
                <w:rFonts w:eastAsia="Arial Unicode MS" w:cs="Arial Unicode MS"/>
                <w:color w:val="000000" w:themeColor="text1"/>
                <w:sz w:val="20"/>
                <w:szCs w:val="20"/>
                <w:lang w:eastAsia="zh-CN"/>
              </w:rPr>
              <w:t>(</w:t>
            </w:r>
            <m:oMath>
              <m:r>
                <w:rPr>
                  <w:rFonts w:ascii="Cambria Math" w:eastAsia="Arial Unicode MS" w:hAnsi="Cambria Math" w:cs="Arial Unicode MS"/>
                  <w:color w:val="000000" w:themeColor="text1"/>
                  <w:sz w:val="20"/>
                  <w:szCs w:val="20"/>
                  <w:lang w:eastAsia="zh-CN"/>
                </w:rPr>
                <m:t>FASSETS</m:t>
              </m:r>
            </m:oMath>
            <w:r>
              <w:rPr>
                <w:rFonts w:eastAsia="Arial Unicode MS" w:cs="Arial Unicode MS"/>
                <w:color w:val="000000" w:themeColor="text1"/>
                <w:sz w:val="20"/>
                <w:szCs w:val="20"/>
                <w:lang w:eastAsia="zh-CN"/>
              </w:rPr>
              <w:t>),</w:t>
            </w:r>
          </w:p>
          <w:p w14:paraId="4F5D3A6C" w14:textId="10971ECC" w:rsidR="008D3857" w:rsidRPr="00EF362E"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number of</w:t>
            </w:r>
            <w:r>
              <w:rPr>
                <w:rFonts w:eastAsia="Arial Unicode MS" w:cs="Arial Unicode MS" w:hint="eastAsia"/>
                <w:color w:val="000000" w:themeColor="text1"/>
                <w:sz w:val="20"/>
                <w:szCs w:val="20"/>
                <w:lang w:eastAsia="zh-CN"/>
              </w:rPr>
              <w:t xml:space="preserve"> </w:t>
            </w:r>
            <w:r w:rsidRPr="00EF362E">
              <w:rPr>
                <w:rFonts w:eastAsia="Arial Unicode MS" w:cs="Arial Unicode MS"/>
                <w:color w:val="000000" w:themeColor="text1"/>
                <w:sz w:val="20"/>
                <w:szCs w:val="20"/>
                <w:lang w:eastAsia="zh-CN"/>
              </w:rPr>
              <w:t>employees (</w:t>
            </w:r>
            <m:oMath>
              <m:r>
                <w:rPr>
                  <w:rFonts w:ascii="Cambria Math" w:eastAsia="Arial Unicode MS" w:hAnsi="Cambria Math" w:cs="Arial Unicode MS"/>
                  <w:color w:val="000000" w:themeColor="text1"/>
                  <w:sz w:val="20"/>
                  <w:szCs w:val="20"/>
                  <w:lang w:eastAsia="zh-CN"/>
                </w:rPr>
                <m:t>EMPLOYEES</m:t>
              </m:r>
            </m:oMath>
            <w:r w:rsidRPr="00EF362E">
              <w:rPr>
                <w:rFonts w:eastAsia="Arial Unicode MS" w:cs="Arial Unicode MS"/>
                <w:color w:val="000000" w:themeColor="text1"/>
                <w:sz w:val="20"/>
                <w:szCs w:val="20"/>
                <w:lang w:eastAsia="zh-CN"/>
              </w:rPr>
              <w:t>),</w:t>
            </w:r>
          </w:p>
        </w:tc>
        <w:tc>
          <w:tcPr>
            <w:tcW w:w="1110" w:type="pct"/>
          </w:tcPr>
          <w:p w14:paraId="0042D426" w14:textId="324CE901"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total net loan</w:t>
            </w:r>
            <w:r w:rsidRPr="008C0F5E">
              <w:rPr>
                <w:rFonts w:eastAsia="Arial Unicode MS" w:cs="Arial Unicode MS"/>
                <w:color w:val="000000" w:themeColor="text1"/>
                <w:sz w:val="20"/>
                <w:szCs w:val="20"/>
                <w:lang w:eastAsia="zh-CN"/>
              </w:rPr>
              <w:t xml:space="preserve"> </w:t>
            </w:r>
            <w:r>
              <w:rPr>
                <w:rFonts w:eastAsia="Arial Unicode MS" w:cs="Arial Unicode MS"/>
                <w:color w:val="000000" w:themeColor="text1"/>
                <w:sz w:val="20"/>
                <w:szCs w:val="20"/>
                <w:lang w:eastAsia="zh-CN"/>
              </w:rPr>
              <w:t>(</w:t>
            </w:r>
            <m:oMath>
              <m:r>
                <w:rPr>
                  <w:rFonts w:ascii="Cambria Math" w:eastAsia="Arial Unicode MS" w:hAnsi="Cambria Math" w:cs="Arial Unicode MS"/>
                  <w:color w:val="000000" w:themeColor="text1"/>
                  <w:sz w:val="20"/>
                  <w:szCs w:val="20"/>
                  <w:lang w:eastAsia="zh-CN"/>
                </w:rPr>
                <m:t>TNLOAN</m:t>
              </m:r>
            </m:oMath>
            <w:r>
              <w:rPr>
                <w:rFonts w:eastAsia="Arial Unicode MS" w:cs="Arial Unicode MS"/>
                <w:color w:val="000000" w:themeColor="text1"/>
                <w:sz w:val="20"/>
                <w:szCs w:val="20"/>
                <w:lang w:eastAsia="zh-CN"/>
              </w:rPr>
              <w:t>),</w:t>
            </w:r>
          </w:p>
          <w:p w14:paraId="4CEBC3EE" w14:textId="03DBB66F"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other earning assets</w:t>
            </w:r>
            <w:r w:rsidRPr="008C0F5E">
              <w:rPr>
                <w:rFonts w:eastAsia="Arial Unicode MS" w:cs="Arial Unicode MS"/>
                <w:color w:val="000000" w:themeColor="text1"/>
                <w:sz w:val="20"/>
                <w:szCs w:val="20"/>
                <w:lang w:eastAsia="zh-CN"/>
              </w:rPr>
              <w:t xml:space="preserve"> </w:t>
            </w:r>
            <w:r>
              <w:rPr>
                <w:rFonts w:eastAsia="Arial Unicode MS" w:cs="Arial Unicode MS"/>
                <w:color w:val="000000" w:themeColor="text1"/>
                <w:sz w:val="20"/>
                <w:szCs w:val="20"/>
                <w:lang w:eastAsia="zh-CN"/>
              </w:rPr>
              <w:t>(</w:t>
            </w:r>
            <m:oMath>
              <m:r>
                <w:rPr>
                  <w:rFonts w:ascii="Cambria Math" w:eastAsia="Arial Unicode MS" w:hAnsi="Cambria Math" w:cs="Arial Unicode MS"/>
                  <w:color w:val="000000" w:themeColor="text1"/>
                  <w:sz w:val="20"/>
                  <w:szCs w:val="20"/>
                  <w:lang w:eastAsia="zh-CN"/>
                </w:rPr>
                <m:t>OEA</m:t>
              </m:r>
            </m:oMath>
            <w:r>
              <w:rPr>
                <w:rFonts w:eastAsia="Arial Unicode MS" w:cs="Arial Unicode MS"/>
                <w:color w:val="000000" w:themeColor="text1"/>
                <w:sz w:val="20"/>
                <w:szCs w:val="20"/>
                <w:lang w:eastAsia="zh-CN"/>
              </w:rPr>
              <w:t>),</w:t>
            </w:r>
          </w:p>
          <w:p w14:paraId="46970E69" w14:textId="77777777" w:rsidR="008D3857" w:rsidRPr="00EF362E" w:rsidRDefault="008D3857" w:rsidP="008D3857">
            <w:pPr>
              <w:jc w:val="center"/>
              <w:rPr>
                <w:rFonts w:cs="Calibri"/>
                <w:sz w:val="20"/>
                <w:szCs w:val="20"/>
              </w:rPr>
            </w:pPr>
          </w:p>
        </w:tc>
      </w:tr>
      <w:tr w:rsidR="008D3857" w:rsidRPr="00CE5391" w14:paraId="6FE26AD8" w14:textId="77777777" w:rsidTr="008D3857">
        <w:trPr>
          <w:trHeight w:val="284"/>
        </w:trPr>
        <w:tc>
          <w:tcPr>
            <w:tcW w:w="1666" w:type="pct"/>
          </w:tcPr>
          <w:p w14:paraId="20F16A6F" w14:textId="6539AB47" w:rsidR="008D3857" w:rsidRPr="00EF20BD" w:rsidRDefault="008D3857" w:rsidP="008D3857">
            <w:pPr>
              <w:jc w:val="center"/>
              <w:rPr>
                <w:rFonts w:cs="Calibri"/>
                <w:sz w:val="20"/>
                <w:szCs w:val="20"/>
                <w:lang w:eastAsia="zh-CN"/>
              </w:rPr>
            </w:pPr>
            <w:r w:rsidRPr="00AB1BD9">
              <w:rPr>
                <w:rFonts w:cs="Calibri"/>
                <w:sz w:val="20"/>
                <w:szCs w:val="20"/>
                <w:lang w:eastAsia="zh-CN"/>
              </w:rPr>
              <w:t>Fukuyama,</w:t>
            </w:r>
            <w:r>
              <w:rPr>
                <w:rFonts w:cs="Calibri"/>
                <w:sz w:val="20"/>
                <w:szCs w:val="20"/>
                <w:lang w:eastAsia="zh-CN"/>
              </w:rPr>
              <w:t xml:space="preserve"> et al.</w:t>
            </w:r>
            <w:r w:rsidRPr="00AB1BD9">
              <w:rPr>
                <w:rFonts w:cs="Calibri"/>
                <w:sz w:val="20"/>
                <w:szCs w:val="20"/>
                <w:lang w:eastAsia="zh-CN"/>
              </w:rPr>
              <w:t xml:space="preserve"> (2021)</w:t>
            </w:r>
          </w:p>
        </w:tc>
        <w:tc>
          <w:tcPr>
            <w:tcW w:w="1112" w:type="pct"/>
          </w:tcPr>
          <w:p w14:paraId="289F616B" w14:textId="016241D1"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 xml:space="preserve">performance criteria: </w:t>
            </w:r>
          </w:p>
          <w:p w14:paraId="0568FE72" w14:textId="18125FCA" w:rsidR="008D3857" w:rsidRPr="00CA3EA5" w:rsidRDefault="00580D53"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P</w:t>
            </w:r>
            <w:r>
              <w:rPr>
                <w:rFonts w:eastAsia="Arial Unicode MS" w:cs="Arial Unicode MS"/>
                <w:color w:val="000000" w:themeColor="text1"/>
                <w:sz w:val="20"/>
                <w:szCs w:val="20"/>
                <w:lang w:eastAsia="zh-CN"/>
              </w:rPr>
              <w:t>A</w:t>
            </w:r>
          </w:p>
          <w:p w14:paraId="688CE3B6" w14:textId="0523786D" w:rsidR="008D3857" w:rsidRPr="00EF362E" w:rsidRDefault="008D3857" w:rsidP="008D3857">
            <w:pPr>
              <w:jc w:val="center"/>
              <w:rPr>
                <w:rFonts w:eastAsia="Arial Unicode MS" w:cs="Arial Unicode MS"/>
                <w:color w:val="000000" w:themeColor="text1"/>
                <w:sz w:val="20"/>
                <w:szCs w:val="20"/>
                <w:lang w:eastAsia="zh-CN"/>
              </w:rPr>
            </w:pPr>
          </w:p>
        </w:tc>
        <w:tc>
          <w:tcPr>
            <w:tcW w:w="1112" w:type="pct"/>
          </w:tcPr>
          <w:p w14:paraId="6A60BB44" w14:textId="77777777" w:rsidR="008D3857" w:rsidRPr="00CA3EA5" w:rsidRDefault="008D3857" w:rsidP="008D3857">
            <w:pPr>
              <w:jc w:val="center"/>
              <w:rPr>
                <w:rFonts w:eastAsia="Arial Unicode MS" w:cs="Arial Unicode MS"/>
                <w:color w:val="000000" w:themeColor="text1"/>
                <w:sz w:val="20"/>
                <w:szCs w:val="20"/>
                <w:lang w:eastAsia="zh-CN"/>
              </w:rPr>
            </w:pPr>
            <w:r w:rsidRPr="00CA3EA5">
              <w:rPr>
                <w:rFonts w:eastAsia="Arial Unicode MS" w:cs="Arial Unicode MS"/>
                <w:color w:val="000000" w:themeColor="text1"/>
                <w:sz w:val="20"/>
                <w:szCs w:val="20"/>
                <w:lang w:eastAsia="zh-CN"/>
              </w:rPr>
              <w:t>Personnel</w:t>
            </w:r>
          </w:p>
          <w:p w14:paraId="04A7F021" w14:textId="68277BF1" w:rsidR="008D3857" w:rsidRDefault="008D3857" w:rsidP="008D3857">
            <w:pPr>
              <w:jc w:val="center"/>
              <w:rPr>
                <w:rFonts w:eastAsia="Arial Unicode MS" w:cs="Arial Unicode MS"/>
                <w:color w:val="000000" w:themeColor="text1"/>
                <w:sz w:val="20"/>
                <w:szCs w:val="20"/>
                <w:lang w:eastAsia="zh-CN"/>
              </w:rPr>
            </w:pPr>
            <w:r w:rsidRPr="00CA3EA5">
              <w:rPr>
                <w:rFonts w:eastAsia="Arial Unicode MS" w:cs="Arial Unicode MS"/>
                <w:color w:val="000000" w:themeColor="text1"/>
                <w:sz w:val="20"/>
                <w:szCs w:val="20"/>
                <w:lang w:eastAsia="zh-CN"/>
              </w:rPr>
              <w:t xml:space="preserve">expenses </w:t>
            </w:r>
          </w:p>
          <w:p w14:paraId="39B3E473" w14:textId="1FA715DD" w:rsidR="008D3857" w:rsidRDefault="008D3857" w:rsidP="008D3857">
            <w:pPr>
              <w:jc w:val="center"/>
              <w:rPr>
                <w:rFonts w:eastAsia="Arial Unicode MS" w:cs="Arial Unicode MS"/>
                <w:color w:val="000000" w:themeColor="text1"/>
                <w:sz w:val="20"/>
                <w:szCs w:val="20"/>
                <w:lang w:eastAsia="zh-CN"/>
              </w:rPr>
            </w:pPr>
            <w:r w:rsidRPr="00CA3EA5">
              <w:rPr>
                <w:rFonts w:eastAsia="Arial Unicode MS" w:cs="Arial Unicode MS"/>
                <w:color w:val="000000" w:themeColor="text1"/>
                <w:sz w:val="20"/>
                <w:szCs w:val="20"/>
                <w:lang w:eastAsia="zh-CN"/>
              </w:rPr>
              <w:t>Equity capital</w:t>
            </w:r>
            <w:r w:rsidR="00580D53">
              <w:rPr>
                <w:rFonts w:eastAsia="Arial Unicode MS" w:cs="Arial Unicode MS"/>
                <w:color w:val="000000" w:themeColor="text1"/>
                <w:sz w:val="20"/>
                <w:szCs w:val="20"/>
                <w:lang w:eastAsia="zh-CN"/>
              </w:rPr>
              <w:t>,</w:t>
            </w:r>
          </w:p>
          <w:p w14:paraId="0008B096" w14:textId="73862EAD" w:rsidR="008D3857" w:rsidRPr="00EF362E" w:rsidRDefault="008D3857" w:rsidP="008D3857">
            <w:pPr>
              <w:jc w:val="center"/>
              <w:rPr>
                <w:rFonts w:eastAsia="Arial Unicode MS" w:cs="Arial Unicode MS"/>
                <w:color w:val="000000" w:themeColor="text1"/>
                <w:sz w:val="20"/>
                <w:szCs w:val="20"/>
                <w:lang w:eastAsia="zh-CN"/>
              </w:rPr>
            </w:pPr>
            <w:r w:rsidRPr="00CA3EA5">
              <w:rPr>
                <w:rFonts w:eastAsia="Arial Unicode MS" w:cs="Arial Unicode MS"/>
                <w:color w:val="000000" w:themeColor="text1"/>
                <w:sz w:val="20"/>
                <w:szCs w:val="20"/>
                <w:lang w:eastAsia="zh-CN"/>
              </w:rPr>
              <w:t>Fixed assets</w:t>
            </w:r>
            <w:r w:rsidRPr="00EF362E">
              <w:rPr>
                <w:rFonts w:eastAsia="Arial Unicode MS" w:cs="Arial Unicode MS"/>
                <w:color w:val="000000" w:themeColor="text1"/>
                <w:sz w:val="20"/>
                <w:szCs w:val="20"/>
                <w:lang w:eastAsia="zh-CN"/>
              </w:rPr>
              <w:t xml:space="preserve"> </w:t>
            </w:r>
          </w:p>
        </w:tc>
        <w:tc>
          <w:tcPr>
            <w:tcW w:w="1110" w:type="pct"/>
          </w:tcPr>
          <w:p w14:paraId="686B1A72" w14:textId="4C5CC947" w:rsidR="008D3857" w:rsidRPr="00EF362E" w:rsidRDefault="008D3857" w:rsidP="008D3857">
            <w:pPr>
              <w:jc w:val="center"/>
              <w:rPr>
                <w:rFonts w:eastAsia="Arial Unicode MS" w:cs="Arial Unicode MS"/>
                <w:color w:val="000000" w:themeColor="text1"/>
                <w:sz w:val="20"/>
                <w:szCs w:val="20"/>
                <w:lang w:eastAsia="zh-CN"/>
              </w:rPr>
            </w:pPr>
            <w:r w:rsidRPr="00CA3EA5">
              <w:rPr>
                <w:rFonts w:eastAsia="Arial Unicode MS" w:cs="Arial Unicode MS"/>
                <w:color w:val="000000" w:themeColor="text1"/>
                <w:sz w:val="20"/>
                <w:szCs w:val="20"/>
                <w:lang w:eastAsia="zh-CN"/>
              </w:rPr>
              <w:t>Loan loss</w:t>
            </w:r>
            <w:r>
              <w:rPr>
                <w:rFonts w:eastAsia="Arial Unicode MS" w:cs="Arial Unicode MS" w:hint="eastAsia"/>
                <w:color w:val="000000" w:themeColor="text1"/>
                <w:sz w:val="20"/>
                <w:szCs w:val="20"/>
                <w:lang w:eastAsia="zh-CN"/>
              </w:rPr>
              <w:t xml:space="preserve"> </w:t>
            </w:r>
            <w:r w:rsidRPr="00CA3EA5">
              <w:rPr>
                <w:rFonts w:eastAsia="Arial Unicode MS" w:cs="Arial Unicode MS"/>
                <w:color w:val="000000" w:themeColor="text1"/>
                <w:sz w:val="20"/>
                <w:szCs w:val="20"/>
                <w:lang w:eastAsia="zh-CN"/>
              </w:rPr>
              <w:t>reserves</w:t>
            </w:r>
            <w:r>
              <w:rPr>
                <w:rFonts w:eastAsia="Arial Unicode MS" w:cs="Arial Unicode MS"/>
                <w:color w:val="000000" w:themeColor="text1"/>
                <w:sz w:val="20"/>
                <w:szCs w:val="20"/>
                <w:lang w:eastAsia="zh-CN"/>
              </w:rPr>
              <w:t xml:space="preserve"> (LLRs)</w:t>
            </w:r>
          </w:p>
        </w:tc>
      </w:tr>
      <w:tr w:rsidR="008D3857" w:rsidRPr="00CE5391" w14:paraId="10E3058D" w14:textId="77777777" w:rsidTr="008D3857">
        <w:trPr>
          <w:trHeight w:val="284"/>
        </w:trPr>
        <w:tc>
          <w:tcPr>
            <w:tcW w:w="1666" w:type="pct"/>
          </w:tcPr>
          <w:p w14:paraId="36044B5D" w14:textId="15371CB2" w:rsidR="008D3857" w:rsidRPr="00EF20BD" w:rsidRDefault="008D3857" w:rsidP="008D3857">
            <w:pPr>
              <w:jc w:val="center"/>
              <w:rPr>
                <w:rFonts w:cs="Calibri"/>
                <w:sz w:val="20"/>
                <w:szCs w:val="20"/>
                <w:lang w:eastAsia="zh-CN"/>
              </w:rPr>
            </w:pPr>
            <w:r w:rsidRPr="008D3857">
              <w:rPr>
                <w:rFonts w:cs="Calibri"/>
                <w:sz w:val="20"/>
                <w:szCs w:val="20"/>
                <w:lang w:eastAsia="zh-CN"/>
              </w:rPr>
              <w:lastRenderedPageBreak/>
              <w:t>Fukuyama, et al. (2021)</w:t>
            </w:r>
          </w:p>
        </w:tc>
        <w:tc>
          <w:tcPr>
            <w:tcW w:w="1112" w:type="pct"/>
          </w:tcPr>
          <w:p w14:paraId="12330194" w14:textId="34A79BE2" w:rsidR="008D3857" w:rsidRDefault="008D3857" w:rsidP="008D3857">
            <w:pPr>
              <w:jc w:val="center"/>
              <w:rPr>
                <w:rFonts w:eastAsia="Arial Unicode MS" w:cs="Arial Unicode MS"/>
                <w:color w:val="000000" w:themeColor="text1"/>
                <w:sz w:val="20"/>
                <w:szCs w:val="20"/>
                <w:lang w:eastAsia="zh-CN"/>
              </w:rPr>
            </w:pPr>
            <w:r w:rsidRPr="00EF362E">
              <w:rPr>
                <w:rFonts w:eastAsia="Arial Unicode MS" w:cs="Arial Unicode MS"/>
                <w:color w:val="000000" w:themeColor="text1"/>
                <w:sz w:val="20"/>
                <w:szCs w:val="20"/>
                <w:lang w:eastAsia="zh-CN"/>
              </w:rPr>
              <w:t xml:space="preserve">performance criteria: </w:t>
            </w:r>
          </w:p>
          <w:p w14:paraId="06E82A89" w14:textId="6ECD346B" w:rsidR="00580D53" w:rsidRDefault="00580D53"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P</w:t>
            </w:r>
            <w:r>
              <w:rPr>
                <w:rFonts w:eastAsia="Arial Unicode MS" w:cs="Arial Unicode MS"/>
                <w:color w:val="000000" w:themeColor="text1"/>
                <w:sz w:val="20"/>
                <w:szCs w:val="20"/>
                <w:lang w:eastAsia="zh-CN"/>
              </w:rPr>
              <w:t>OA</w:t>
            </w:r>
          </w:p>
          <w:p w14:paraId="5DCBFC56" w14:textId="3CCFA5CB" w:rsidR="008D3857" w:rsidRPr="00354ACD" w:rsidRDefault="008D3857" w:rsidP="00B732C1"/>
        </w:tc>
        <w:tc>
          <w:tcPr>
            <w:tcW w:w="1112" w:type="pct"/>
          </w:tcPr>
          <w:p w14:paraId="759C4901" w14:textId="3D8EF242" w:rsidR="008D3857" w:rsidRPr="00EF362E" w:rsidRDefault="008D3857" w:rsidP="008D3857">
            <w:pPr>
              <w:jc w:val="center"/>
              <w:rPr>
                <w:rFonts w:eastAsia="Arial Unicode MS" w:cs="Arial Unicode MS"/>
                <w:color w:val="000000" w:themeColor="text1"/>
                <w:sz w:val="20"/>
                <w:szCs w:val="20"/>
                <w:lang w:eastAsia="zh-CN"/>
              </w:rPr>
            </w:pPr>
            <w:r w:rsidRPr="00AB1BD9">
              <w:rPr>
                <w:rFonts w:eastAsia="Arial Unicode MS" w:cs="Arial Unicode MS"/>
                <w:color w:val="000000" w:themeColor="text1"/>
                <w:sz w:val="20"/>
                <w:szCs w:val="20"/>
                <w:lang w:eastAsia="zh-CN"/>
              </w:rPr>
              <w:t>number of employees, fixed assets</w:t>
            </w:r>
            <w:r>
              <w:rPr>
                <w:rFonts w:eastAsia="Arial Unicode MS" w:cs="Arial Unicode MS"/>
                <w:color w:val="000000" w:themeColor="text1"/>
                <w:sz w:val="20"/>
                <w:szCs w:val="20"/>
                <w:lang w:eastAsia="zh-CN"/>
              </w:rPr>
              <w:t xml:space="preserve">, </w:t>
            </w:r>
            <w:r w:rsidRPr="00AB1BD9">
              <w:rPr>
                <w:rFonts w:eastAsia="Arial Unicode MS" w:cs="Arial Unicode MS"/>
                <w:color w:val="000000" w:themeColor="text1"/>
                <w:sz w:val="20"/>
                <w:szCs w:val="20"/>
                <w:lang w:eastAsia="zh-CN"/>
              </w:rPr>
              <w:t>deposit</w:t>
            </w:r>
          </w:p>
        </w:tc>
        <w:tc>
          <w:tcPr>
            <w:tcW w:w="1110" w:type="pct"/>
          </w:tcPr>
          <w:p w14:paraId="07A99C6F" w14:textId="0F642B60" w:rsidR="008D3857" w:rsidRPr="00AB1BD9" w:rsidRDefault="008D3857" w:rsidP="008D3857">
            <w:pPr>
              <w:jc w:val="center"/>
              <w:rPr>
                <w:rFonts w:eastAsia="Arial Unicode MS" w:cs="Arial Unicode MS"/>
                <w:color w:val="000000" w:themeColor="text1"/>
                <w:sz w:val="20"/>
                <w:szCs w:val="20"/>
                <w:lang w:eastAsia="zh-CN"/>
              </w:rPr>
            </w:pPr>
            <w:r w:rsidRPr="00AB1BD9">
              <w:rPr>
                <w:rFonts w:eastAsia="Arial Unicode MS" w:cs="Arial Unicode MS"/>
                <w:color w:val="000000" w:themeColor="text1"/>
                <w:sz w:val="20"/>
                <w:szCs w:val="20"/>
                <w:lang w:eastAsia="zh-CN"/>
              </w:rPr>
              <w:t>interest income</w:t>
            </w:r>
            <w:r>
              <w:rPr>
                <w:rFonts w:eastAsia="Arial Unicode MS" w:cs="Arial Unicode MS" w:hint="eastAsia"/>
                <w:color w:val="000000" w:themeColor="text1"/>
                <w:sz w:val="20"/>
                <w:szCs w:val="20"/>
                <w:lang w:eastAsia="zh-CN"/>
              </w:rPr>
              <w:t>,</w:t>
            </w:r>
            <w:r>
              <w:rPr>
                <w:rFonts w:eastAsia="Arial Unicode MS" w:cs="Arial Unicode MS"/>
                <w:color w:val="000000" w:themeColor="text1"/>
                <w:sz w:val="20"/>
                <w:szCs w:val="20"/>
                <w:lang w:eastAsia="zh-CN"/>
              </w:rPr>
              <w:t xml:space="preserve"> </w:t>
            </w:r>
            <w:r w:rsidRPr="00AB1BD9">
              <w:rPr>
                <w:rFonts w:eastAsia="Arial Unicode MS" w:cs="Arial Unicode MS"/>
                <w:color w:val="000000" w:themeColor="text1"/>
                <w:sz w:val="20"/>
                <w:szCs w:val="20"/>
                <w:lang w:eastAsia="zh-CN"/>
              </w:rPr>
              <w:t>non-interest income</w:t>
            </w:r>
          </w:p>
        </w:tc>
      </w:tr>
      <w:tr w:rsidR="008D3857" w:rsidRPr="00CE5391" w14:paraId="44999DB3" w14:textId="77777777" w:rsidTr="008D3857">
        <w:trPr>
          <w:trHeight w:val="284"/>
        </w:trPr>
        <w:tc>
          <w:tcPr>
            <w:tcW w:w="1666" w:type="pct"/>
          </w:tcPr>
          <w:p w14:paraId="0D6CA702" w14:textId="2689F3A7" w:rsidR="008D3857" w:rsidRPr="00EF20BD" w:rsidRDefault="003242E9" w:rsidP="008D3857">
            <w:pPr>
              <w:jc w:val="center"/>
              <w:rPr>
                <w:rFonts w:cs="Calibri"/>
                <w:sz w:val="20"/>
                <w:szCs w:val="20"/>
                <w:lang w:eastAsia="zh-CN"/>
              </w:rPr>
            </w:pPr>
            <w:r w:rsidRPr="003242E9">
              <w:rPr>
                <w:rFonts w:cs="Calibri"/>
                <w:sz w:val="20"/>
                <w:szCs w:val="20"/>
                <w:lang w:eastAsia="zh-CN"/>
              </w:rPr>
              <w:t>Dong et al. (2016)</w:t>
            </w:r>
          </w:p>
        </w:tc>
        <w:tc>
          <w:tcPr>
            <w:tcW w:w="1112" w:type="pct"/>
          </w:tcPr>
          <w:p w14:paraId="6307FC2B" w14:textId="77777777" w:rsidR="00C414AD" w:rsidRPr="00C414AD" w:rsidRDefault="00C414AD" w:rsidP="00C414AD">
            <w:pPr>
              <w:jc w:val="center"/>
              <w:rPr>
                <w:rFonts w:eastAsia="Arial Unicode MS" w:cs="Arial Unicode MS"/>
                <w:color w:val="000000" w:themeColor="text1"/>
                <w:sz w:val="20"/>
                <w:szCs w:val="20"/>
                <w:lang w:eastAsia="zh-CN"/>
              </w:rPr>
            </w:pPr>
            <w:r w:rsidRPr="00C414AD">
              <w:rPr>
                <w:rFonts w:eastAsia="Arial Unicode MS" w:cs="Arial Unicode MS"/>
                <w:color w:val="000000" w:themeColor="text1"/>
                <w:sz w:val="20"/>
                <w:szCs w:val="20"/>
                <w:lang w:eastAsia="zh-CN"/>
              </w:rPr>
              <w:t>performance criteria: IA</w:t>
            </w:r>
          </w:p>
          <w:p w14:paraId="4461EC97" w14:textId="77777777" w:rsidR="00C414AD" w:rsidRPr="00C414AD" w:rsidRDefault="00C414AD" w:rsidP="00C414AD">
            <w:pPr>
              <w:jc w:val="center"/>
              <w:rPr>
                <w:rFonts w:eastAsia="Arial Unicode MS" w:cs="Arial Unicode MS"/>
                <w:color w:val="000000" w:themeColor="text1"/>
                <w:sz w:val="20"/>
                <w:szCs w:val="20"/>
                <w:lang w:eastAsia="zh-CN"/>
              </w:rPr>
            </w:pPr>
          </w:p>
          <w:p w14:paraId="1C4F9D31" w14:textId="05183F6E" w:rsidR="008D3857" w:rsidRPr="00EF362E" w:rsidRDefault="008D3857" w:rsidP="00B732C1">
            <w:pPr>
              <w:rPr>
                <w:rFonts w:eastAsia="Arial Unicode MS" w:cs="Arial Unicode MS"/>
                <w:color w:val="000000" w:themeColor="text1"/>
                <w:sz w:val="20"/>
                <w:szCs w:val="20"/>
                <w:lang w:eastAsia="zh-CN"/>
              </w:rPr>
            </w:pPr>
          </w:p>
        </w:tc>
        <w:tc>
          <w:tcPr>
            <w:tcW w:w="1112" w:type="pct"/>
          </w:tcPr>
          <w:p w14:paraId="1C8F6AEA" w14:textId="77777777" w:rsidR="00F5584A" w:rsidRPr="00F5584A"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Price of total borrowed funds (w1) (ratio of total interest expenses to total borrowed funds)</w:t>
            </w:r>
          </w:p>
          <w:p w14:paraId="4505491B" w14:textId="77777777" w:rsidR="00F5584A" w:rsidRPr="00F5584A"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Price of physical capital (w2), also known as the flow factor price for capital (measured by the ratio of other operating expenses to fixed assets)</w:t>
            </w:r>
          </w:p>
          <w:p w14:paraId="76D27030" w14:textId="77777777" w:rsidR="00F5584A" w:rsidRPr="00F5584A"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 xml:space="preserve">Price of </w:t>
            </w:r>
            <w:proofErr w:type="spellStart"/>
            <w:r w:rsidRPr="00F5584A">
              <w:rPr>
                <w:rFonts w:eastAsia="Arial Unicode MS" w:cs="Arial Unicode MS"/>
                <w:color w:val="000000" w:themeColor="text1"/>
                <w:sz w:val="20"/>
                <w:szCs w:val="20"/>
                <w:lang w:eastAsia="zh-CN"/>
              </w:rPr>
              <w:t>labor</w:t>
            </w:r>
            <w:proofErr w:type="spellEnd"/>
            <w:r w:rsidRPr="00F5584A">
              <w:rPr>
                <w:rFonts w:eastAsia="Arial Unicode MS" w:cs="Arial Unicode MS"/>
                <w:color w:val="000000" w:themeColor="text1"/>
                <w:sz w:val="20"/>
                <w:szCs w:val="20"/>
                <w:lang w:eastAsia="zh-CN"/>
              </w:rPr>
              <w:t xml:space="preserve"> (w3) (using the ratio of personnel expenses to the number of employees as a proxy)</w:t>
            </w:r>
          </w:p>
          <w:p w14:paraId="354E33BF" w14:textId="0226EA69" w:rsidR="008D3857" w:rsidRPr="00EF362E"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Total equity capital (z) (as a quasi-fixed input)</w:t>
            </w:r>
          </w:p>
        </w:tc>
        <w:tc>
          <w:tcPr>
            <w:tcW w:w="1110" w:type="pct"/>
          </w:tcPr>
          <w:p w14:paraId="278D30D1" w14:textId="77777777" w:rsidR="00F5584A" w:rsidRPr="00F5584A"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Total loans (y1)</w:t>
            </w:r>
          </w:p>
          <w:p w14:paraId="6E9695C5" w14:textId="77777777" w:rsidR="00F5584A" w:rsidRPr="00F5584A"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Other earning assets (y2)</w:t>
            </w:r>
          </w:p>
          <w:p w14:paraId="14240327" w14:textId="21FC8A39" w:rsidR="008D3857" w:rsidRPr="00EF362E" w:rsidRDefault="00F5584A" w:rsidP="00F5584A">
            <w:pPr>
              <w:jc w:val="center"/>
              <w:rPr>
                <w:rFonts w:eastAsia="Arial Unicode MS" w:cs="Arial Unicode MS"/>
                <w:color w:val="000000" w:themeColor="text1"/>
                <w:sz w:val="20"/>
                <w:szCs w:val="20"/>
                <w:lang w:eastAsia="zh-CN"/>
              </w:rPr>
            </w:pPr>
            <w:r w:rsidRPr="00F5584A">
              <w:rPr>
                <w:rFonts w:eastAsia="Arial Unicode MS" w:cs="Arial Unicode MS"/>
                <w:color w:val="000000" w:themeColor="text1"/>
                <w:sz w:val="20"/>
                <w:szCs w:val="20"/>
                <w:lang w:eastAsia="zh-CN"/>
              </w:rPr>
              <w:t>Non-interest income (y3)</w:t>
            </w:r>
          </w:p>
        </w:tc>
      </w:tr>
      <w:tr w:rsidR="008D3857" w:rsidRPr="00CE5391" w14:paraId="4B2A49A0" w14:textId="77777777" w:rsidTr="008D3857">
        <w:trPr>
          <w:trHeight w:val="284"/>
        </w:trPr>
        <w:tc>
          <w:tcPr>
            <w:tcW w:w="1666" w:type="pct"/>
          </w:tcPr>
          <w:p w14:paraId="79D173EE" w14:textId="36E7D7FF" w:rsidR="008D3857" w:rsidRPr="00EF20BD" w:rsidRDefault="00C414AD" w:rsidP="008D3857">
            <w:pPr>
              <w:jc w:val="center"/>
              <w:rPr>
                <w:rFonts w:cs="Calibri"/>
                <w:sz w:val="20"/>
                <w:szCs w:val="20"/>
                <w:lang w:eastAsia="zh-CN"/>
              </w:rPr>
            </w:pPr>
            <w:r w:rsidRPr="00C414AD">
              <w:rPr>
                <w:rFonts w:cs="Calibri"/>
                <w:sz w:val="20"/>
                <w:szCs w:val="20"/>
                <w:lang w:eastAsia="zh-CN"/>
              </w:rPr>
              <w:t>Luo et al. (2011)</w:t>
            </w:r>
          </w:p>
        </w:tc>
        <w:tc>
          <w:tcPr>
            <w:tcW w:w="1112" w:type="pct"/>
          </w:tcPr>
          <w:p w14:paraId="3337AFCC" w14:textId="77777777" w:rsidR="00A35BAF" w:rsidRPr="00A35BAF" w:rsidRDefault="00A35BAF" w:rsidP="00A35BAF">
            <w:pPr>
              <w:jc w:val="center"/>
              <w:rPr>
                <w:rFonts w:eastAsia="Arial Unicode MS" w:cs="Arial Unicode MS"/>
                <w:color w:val="000000" w:themeColor="text1"/>
                <w:sz w:val="20"/>
                <w:szCs w:val="20"/>
                <w:lang w:eastAsia="zh-CN"/>
              </w:rPr>
            </w:pPr>
            <w:r w:rsidRPr="00A35BAF">
              <w:rPr>
                <w:rFonts w:eastAsia="Arial Unicode MS" w:cs="Arial Unicode MS"/>
                <w:color w:val="000000" w:themeColor="text1"/>
                <w:sz w:val="20"/>
                <w:szCs w:val="20"/>
                <w:lang w:eastAsia="zh-CN"/>
              </w:rPr>
              <w:t>performance criteria: IA</w:t>
            </w:r>
          </w:p>
          <w:p w14:paraId="7A6005D7" w14:textId="77777777" w:rsidR="00A35BAF" w:rsidRPr="00A35BAF" w:rsidRDefault="00A35BAF" w:rsidP="00A35BAF">
            <w:pPr>
              <w:jc w:val="center"/>
              <w:rPr>
                <w:rFonts w:eastAsia="Arial Unicode MS" w:cs="Arial Unicode MS"/>
                <w:color w:val="000000" w:themeColor="text1"/>
                <w:sz w:val="20"/>
                <w:szCs w:val="20"/>
                <w:lang w:eastAsia="zh-CN"/>
              </w:rPr>
            </w:pPr>
          </w:p>
          <w:p w14:paraId="73597029" w14:textId="0E461AE8" w:rsidR="008D3857" w:rsidRPr="00EF362E" w:rsidRDefault="008D3857" w:rsidP="00A35BAF">
            <w:pPr>
              <w:jc w:val="center"/>
              <w:rPr>
                <w:rFonts w:eastAsia="Arial Unicode MS" w:cs="Arial Unicode MS"/>
                <w:color w:val="000000" w:themeColor="text1"/>
                <w:sz w:val="20"/>
                <w:szCs w:val="20"/>
                <w:lang w:eastAsia="zh-CN"/>
              </w:rPr>
            </w:pPr>
          </w:p>
        </w:tc>
        <w:tc>
          <w:tcPr>
            <w:tcW w:w="1112" w:type="pct"/>
          </w:tcPr>
          <w:p w14:paraId="1B2697F5" w14:textId="5B18A228" w:rsidR="00A35BAF" w:rsidRPr="00A35BAF" w:rsidRDefault="00A35BAF" w:rsidP="00A35BAF">
            <w:pPr>
              <w:jc w:val="center"/>
              <w:rPr>
                <w:rFonts w:eastAsia="Arial Unicode MS" w:cs="Arial Unicode MS"/>
                <w:color w:val="000000" w:themeColor="text1"/>
                <w:sz w:val="20"/>
                <w:szCs w:val="20"/>
                <w:lang w:eastAsia="zh-CN"/>
              </w:rPr>
            </w:pPr>
            <w:r w:rsidRPr="00A35BAF">
              <w:rPr>
                <w:rFonts w:eastAsia="Arial Unicode MS" w:cs="Arial Unicode MS"/>
                <w:color w:val="000000" w:themeColor="text1"/>
                <w:sz w:val="20"/>
                <w:szCs w:val="20"/>
                <w:lang w:eastAsia="zh-CN"/>
              </w:rPr>
              <w:t>Number of employees</w:t>
            </w:r>
            <w:r>
              <w:rPr>
                <w:rFonts w:eastAsia="Arial Unicode MS" w:cs="Arial Unicode MS"/>
                <w:color w:val="000000" w:themeColor="text1"/>
                <w:sz w:val="20"/>
                <w:szCs w:val="20"/>
                <w:lang w:eastAsia="zh-CN"/>
              </w:rPr>
              <w:t>,</w:t>
            </w:r>
          </w:p>
          <w:p w14:paraId="32A05571" w14:textId="5B11B61E" w:rsidR="00A35BAF" w:rsidRPr="00A35BAF" w:rsidRDefault="00A35BAF" w:rsidP="00A35BAF">
            <w:pPr>
              <w:jc w:val="center"/>
              <w:rPr>
                <w:rFonts w:eastAsia="Arial Unicode MS" w:cs="Arial Unicode MS"/>
                <w:color w:val="000000" w:themeColor="text1"/>
                <w:sz w:val="20"/>
                <w:szCs w:val="20"/>
                <w:lang w:eastAsia="zh-CN"/>
              </w:rPr>
            </w:pPr>
            <w:r w:rsidRPr="00A35BAF">
              <w:rPr>
                <w:rFonts w:eastAsia="Arial Unicode MS" w:cs="Arial Unicode MS"/>
                <w:color w:val="000000" w:themeColor="text1"/>
                <w:sz w:val="20"/>
                <w:szCs w:val="20"/>
                <w:lang w:eastAsia="zh-CN"/>
              </w:rPr>
              <w:t>Fixed assets</w:t>
            </w:r>
            <w:r>
              <w:rPr>
                <w:rFonts w:eastAsia="Arial Unicode MS" w:cs="Arial Unicode MS"/>
                <w:color w:val="000000" w:themeColor="text1"/>
                <w:sz w:val="20"/>
                <w:szCs w:val="20"/>
                <w:lang w:eastAsia="zh-CN"/>
              </w:rPr>
              <w:t>,</w:t>
            </w:r>
          </w:p>
          <w:p w14:paraId="4930DB17" w14:textId="4BFA95CF" w:rsidR="008D3857" w:rsidRPr="00EF362E" w:rsidRDefault="00A35BAF" w:rsidP="00A35BAF">
            <w:pPr>
              <w:jc w:val="center"/>
              <w:rPr>
                <w:rFonts w:eastAsia="Arial Unicode MS" w:cs="Arial Unicode MS"/>
                <w:color w:val="000000" w:themeColor="text1"/>
                <w:sz w:val="20"/>
                <w:szCs w:val="20"/>
                <w:lang w:eastAsia="zh-CN"/>
              </w:rPr>
            </w:pPr>
            <w:r w:rsidRPr="00A35BAF">
              <w:rPr>
                <w:rFonts w:eastAsia="Arial Unicode MS" w:cs="Arial Unicode MS"/>
                <w:color w:val="000000" w:themeColor="text1"/>
                <w:sz w:val="20"/>
                <w:szCs w:val="20"/>
                <w:lang w:eastAsia="zh-CN"/>
              </w:rPr>
              <w:t>Deposits</w:t>
            </w:r>
          </w:p>
        </w:tc>
        <w:tc>
          <w:tcPr>
            <w:tcW w:w="1110" w:type="pct"/>
          </w:tcPr>
          <w:p w14:paraId="49714759" w14:textId="41D6956C" w:rsidR="00A35BAF" w:rsidRPr="00A35BAF" w:rsidRDefault="00A35BAF" w:rsidP="00A35BAF">
            <w:pPr>
              <w:jc w:val="center"/>
              <w:rPr>
                <w:rFonts w:eastAsia="Arial Unicode MS" w:cs="Arial Unicode MS"/>
                <w:color w:val="000000" w:themeColor="text1"/>
                <w:sz w:val="20"/>
                <w:szCs w:val="20"/>
                <w:lang w:eastAsia="zh-CN"/>
              </w:rPr>
            </w:pPr>
            <w:r w:rsidRPr="00A35BAF">
              <w:rPr>
                <w:rFonts w:eastAsia="Arial Unicode MS" w:cs="Arial Unicode MS"/>
                <w:color w:val="000000" w:themeColor="text1"/>
                <w:sz w:val="20"/>
                <w:szCs w:val="20"/>
                <w:lang w:eastAsia="zh-CN"/>
              </w:rPr>
              <w:t>Total loans</w:t>
            </w:r>
            <w:r>
              <w:rPr>
                <w:rFonts w:eastAsia="Arial Unicode MS" w:cs="Arial Unicode MS"/>
                <w:color w:val="000000" w:themeColor="text1"/>
                <w:sz w:val="20"/>
                <w:szCs w:val="20"/>
                <w:lang w:eastAsia="zh-CN"/>
              </w:rPr>
              <w:t xml:space="preserve">, </w:t>
            </w:r>
          </w:p>
          <w:p w14:paraId="7251E77B" w14:textId="19CAF46E" w:rsidR="008D3857" w:rsidRPr="00EF362E" w:rsidRDefault="00A35BAF" w:rsidP="00A35BAF">
            <w:pPr>
              <w:jc w:val="center"/>
              <w:rPr>
                <w:rFonts w:eastAsia="Arial Unicode MS" w:cs="Arial Unicode MS"/>
                <w:color w:val="000000" w:themeColor="text1"/>
                <w:sz w:val="20"/>
                <w:szCs w:val="20"/>
                <w:lang w:eastAsia="zh-CN"/>
              </w:rPr>
            </w:pPr>
            <w:r w:rsidRPr="00A35BAF">
              <w:rPr>
                <w:rFonts w:eastAsia="Arial Unicode MS" w:cs="Arial Unicode MS"/>
                <w:color w:val="000000" w:themeColor="text1"/>
                <w:sz w:val="20"/>
                <w:szCs w:val="20"/>
                <w:lang w:eastAsia="zh-CN"/>
              </w:rPr>
              <w:t>Other earning assets</w:t>
            </w:r>
          </w:p>
        </w:tc>
      </w:tr>
      <w:tr w:rsidR="00631ED8" w:rsidRPr="00CE5391" w14:paraId="3A8BBBA4" w14:textId="77777777" w:rsidTr="008D3857">
        <w:trPr>
          <w:trHeight w:val="284"/>
        </w:trPr>
        <w:tc>
          <w:tcPr>
            <w:tcW w:w="1666" w:type="pct"/>
          </w:tcPr>
          <w:p w14:paraId="1F113A73" w14:textId="371BF65D" w:rsidR="00631ED8" w:rsidRPr="00C414AD" w:rsidRDefault="00EE2037" w:rsidP="008D3857">
            <w:pPr>
              <w:jc w:val="center"/>
              <w:rPr>
                <w:rFonts w:cs="Calibri"/>
                <w:sz w:val="20"/>
                <w:szCs w:val="20"/>
                <w:lang w:eastAsia="zh-CN"/>
              </w:rPr>
            </w:pPr>
            <w:r w:rsidRPr="00EE2037">
              <w:rPr>
                <w:rFonts w:cs="Calibri"/>
                <w:sz w:val="20"/>
                <w:szCs w:val="20"/>
                <w:lang w:eastAsia="zh-CN"/>
              </w:rPr>
              <w:t>Antunes et al. (2022)</w:t>
            </w:r>
          </w:p>
        </w:tc>
        <w:tc>
          <w:tcPr>
            <w:tcW w:w="1112" w:type="pct"/>
          </w:tcPr>
          <w:p w14:paraId="758439BE" w14:textId="77777777" w:rsidR="00631ED8" w:rsidRDefault="00B632BE" w:rsidP="00A35BAF">
            <w:pPr>
              <w:jc w:val="center"/>
              <w:rPr>
                <w:rFonts w:eastAsia="Arial Unicode MS" w:cs="Arial Unicode MS"/>
                <w:color w:val="000000" w:themeColor="text1"/>
                <w:sz w:val="20"/>
                <w:szCs w:val="20"/>
                <w:lang w:eastAsia="zh-CN"/>
              </w:rPr>
            </w:pPr>
            <w:r w:rsidRPr="00B632BE">
              <w:rPr>
                <w:rFonts w:eastAsia="Arial Unicode MS" w:cs="Arial Unicode MS"/>
                <w:color w:val="000000" w:themeColor="text1"/>
                <w:sz w:val="20"/>
                <w:szCs w:val="20"/>
                <w:lang w:eastAsia="zh-CN"/>
              </w:rPr>
              <w:t>performance criteria: IA</w:t>
            </w:r>
          </w:p>
          <w:p w14:paraId="0ADCDA94" w14:textId="77777777" w:rsidR="00B632BE" w:rsidRDefault="00B632BE" w:rsidP="00A35BAF">
            <w:pPr>
              <w:jc w:val="center"/>
              <w:rPr>
                <w:rFonts w:eastAsia="Arial Unicode MS" w:cs="Arial Unicode MS"/>
                <w:color w:val="000000" w:themeColor="text1"/>
                <w:sz w:val="20"/>
                <w:szCs w:val="20"/>
                <w:lang w:eastAsia="zh-CN"/>
              </w:rPr>
            </w:pPr>
          </w:p>
          <w:p w14:paraId="72FC199A" w14:textId="651A7474" w:rsidR="00B632BE" w:rsidRPr="00A35BAF" w:rsidRDefault="00B632BE" w:rsidP="00B632BE">
            <w:pPr>
              <w:jc w:val="center"/>
              <w:rPr>
                <w:rFonts w:eastAsia="Arial Unicode MS" w:cs="Arial Unicode MS"/>
                <w:color w:val="000000" w:themeColor="text1"/>
                <w:sz w:val="20"/>
                <w:szCs w:val="20"/>
                <w:lang w:eastAsia="zh-CN"/>
              </w:rPr>
            </w:pPr>
          </w:p>
        </w:tc>
        <w:tc>
          <w:tcPr>
            <w:tcW w:w="1112" w:type="pct"/>
          </w:tcPr>
          <w:p w14:paraId="4C6F2241" w14:textId="52A5E2AA" w:rsidR="00631ED8" w:rsidRPr="00A35BAF" w:rsidRDefault="005F0C5C" w:rsidP="00A35BAF">
            <w:pPr>
              <w:jc w:val="center"/>
              <w:rPr>
                <w:rFonts w:eastAsia="Arial Unicode MS" w:cs="Arial Unicode MS"/>
                <w:color w:val="000000" w:themeColor="text1"/>
                <w:sz w:val="20"/>
                <w:szCs w:val="20"/>
                <w:lang w:eastAsia="zh-CN"/>
              </w:rPr>
            </w:pPr>
            <w:r w:rsidRPr="005F0C5C">
              <w:rPr>
                <w:rFonts w:eastAsia="Arial Unicode MS" w:cs="Arial Unicode MS"/>
                <w:color w:val="000000" w:themeColor="text1"/>
                <w:sz w:val="20"/>
                <w:szCs w:val="20"/>
                <w:lang w:eastAsia="zh-CN"/>
              </w:rPr>
              <w:t>fixed assets, total deposits, and personnel expenses</w:t>
            </w:r>
          </w:p>
        </w:tc>
        <w:tc>
          <w:tcPr>
            <w:tcW w:w="1110" w:type="pct"/>
          </w:tcPr>
          <w:p w14:paraId="5E81F473" w14:textId="0341F1F5" w:rsidR="00631ED8" w:rsidRPr="00A35BAF" w:rsidRDefault="005F0C5C" w:rsidP="00A35BAF">
            <w:pPr>
              <w:jc w:val="center"/>
              <w:rPr>
                <w:rFonts w:eastAsia="Arial Unicode MS" w:cs="Arial Unicode MS"/>
                <w:color w:val="000000" w:themeColor="text1"/>
                <w:sz w:val="20"/>
                <w:szCs w:val="20"/>
                <w:lang w:eastAsia="zh-CN"/>
              </w:rPr>
            </w:pPr>
            <w:r w:rsidRPr="005F0C5C">
              <w:rPr>
                <w:rFonts w:eastAsia="Arial Unicode MS" w:cs="Arial Unicode MS"/>
                <w:color w:val="000000" w:themeColor="text1"/>
                <w:sz w:val="20"/>
                <w:szCs w:val="20"/>
                <w:lang w:eastAsia="zh-CN"/>
              </w:rPr>
              <w:t>total securities and total loans</w:t>
            </w:r>
          </w:p>
        </w:tc>
      </w:tr>
      <w:tr w:rsidR="00631ED8" w:rsidRPr="00CE5391" w14:paraId="1733E2C1" w14:textId="77777777" w:rsidTr="008D3857">
        <w:trPr>
          <w:trHeight w:val="284"/>
        </w:trPr>
        <w:tc>
          <w:tcPr>
            <w:tcW w:w="1666" w:type="pct"/>
          </w:tcPr>
          <w:p w14:paraId="1DAA5095" w14:textId="21A25AD4" w:rsidR="00631ED8" w:rsidRPr="00C414AD" w:rsidRDefault="00B429DD" w:rsidP="008D3857">
            <w:pPr>
              <w:jc w:val="center"/>
              <w:rPr>
                <w:rFonts w:cs="Calibri"/>
                <w:sz w:val="20"/>
                <w:szCs w:val="20"/>
                <w:lang w:eastAsia="zh-CN"/>
              </w:rPr>
            </w:pPr>
            <w:proofErr w:type="spellStart"/>
            <w:r w:rsidRPr="00B429DD">
              <w:rPr>
                <w:rFonts w:cs="Calibri"/>
                <w:sz w:val="20"/>
                <w:szCs w:val="20"/>
                <w:lang w:eastAsia="zh-CN"/>
              </w:rPr>
              <w:t>Bingquan</w:t>
            </w:r>
            <w:proofErr w:type="spellEnd"/>
            <w:r w:rsidRPr="00B429DD">
              <w:rPr>
                <w:rFonts w:cs="Calibri"/>
                <w:sz w:val="20"/>
                <w:szCs w:val="20"/>
                <w:lang w:eastAsia="zh-CN"/>
              </w:rPr>
              <w:t xml:space="preserve"> et al. (2019)</w:t>
            </w:r>
          </w:p>
        </w:tc>
        <w:tc>
          <w:tcPr>
            <w:tcW w:w="1112" w:type="pct"/>
          </w:tcPr>
          <w:p w14:paraId="29E21AFA" w14:textId="0EB6B832" w:rsidR="00631ED8" w:rsidRPr="00A35BAF" w:rsidRDefault="00694715" w:rsidP="00A35BAF">
            <w:pPr>
              <w:jc w:val="center"/>
              <w:rPr>
                <w:rFonts w:eastAsia="Arial Unicode MS" w:cs="Arial Unicode MS"/>
                <w:color w:val="000000" w:themeColor="text1"/>
                <w:sz w:val="20"/>
                <w:szCs w:val="20"/>
                <w:lang w:eastAsia="zh-CN"/>
              </w:rPr>
            </w:pPr>
            <w:r w:rsidRPr="00694715">
              <w:rPr>
                <w:rFonts w:eastAsia="Arial Unicode MS" w:cs="Arial Unicode MS"/>
                <w:color w:val="000000" w:themeColor="text1"/>
                <w:sz w:val="20"/>
                <w:szCs w:val="20"/>
                <w:lang w:eastAsia="zh-CN"/>
              </w:rPr>
              <w:t>performance criteria: IA</w:t>
            </w:r>
          </w:p>
        </w:tc>
        <w:tc>
          <w:tcPr>
            <w:tcW w:w="1112" w:type="pct"/>
          </w:tcPr>
          <w:p w14:paraId="6231C129" w14:textId="00B90BC2" w:rsidR="00631ED8" w:rsidRPr="00A35BAF" w:rsidRDefault="00694715" w:rsidP="00A35BAF">
            <w:pPr>
              <w:jc w:val="center"/>
              <w:rPr>
                <w:rFonts w:eastAsia="Arial Unicode MS" w:cs="Arial Unicode MS"/>
                <w:color w:val="000000" w:themeColor="text1"/>
                <w:sz w:val="20"/>
                <w:szCs w:val="20"/>
                <w:lang w:eastAsia="zh-CN"/>
              </w:rPr>
            </w:pPr>
            <w:r w:rsidRPr="00694715">
              <w:rPr>
                <w:rFonts w:eastAsia="Arial Unicode MS" w:cs="Arial Unicode MS"/>
                <w:color w:val="000000" w:themeColor="text1"/>
                <w:sz w:val="20"/>
                <w:szCs w:val="20"/>
                <w:lang w:eastAsia="zh-CN"/>
              </w:rPr>
              <w:t>deposits, labour and fixed assets</w:t>
            </w:r>
          </w:p>
        </w:tc>
        <w:tc>
          <w:tcPr>
            <w:tcW w:w="1110" w:type="pct"/>
          </w:tcPr>
          <w:p w14:paraId="29CC21A8" w14:textId="01A3063F" w:rsidR="00631ED8" w:rsidRPr="00A35BAF" w:rsidRDefault="00694715" w:rsidP="00A35BAF">
            <w:pPr>
              <w:jc w:val="center"/>
              <w:rPr>
                <w:rFonts w:eastAsia="Arial Unicode MS" w:cs="Arial Unicode MS"/>
                <w:color w:val="000000" w:themeColor="text1"/>
                <w:sz w:val="20"/>
                <w:szCs w:val="20"/>
                <w:lang w:eastAsia="zh-CN"/>
              </w:rPr>
            </w:pPr>
            <w:r w:rsidRPr="00694715">
              <w:rPr>
                <w:rFonts w:eastAsia="Arial Unicode MS" w:cs="Arial Unicode MS"/>
                <w:color w:val="000000" w:themeColor="text1"/>
                <w:sz w:val="20"/>
                <w:szCs w:val="20"/>
                <w:lang w:eastAsia="zh-CN"/>
              </w:rPr>
              <w:t>loans</w:t>
            </w:r>
          </w:p>
        </w:tc>
      </w:tr>
      <w:tr w:rsidR="00BD66CC" w:rsidRPr="00CE5391" w14:paraId="4B5DC9CF" w14:textId="77777777" w:rsidTr="008D3857">
        <w:trPr>
          <w:trHeight w:val="284"/>
        </w:trPr>
        <w:tc>
          <w:tcPr>
            <w:tcW w:w="1666" w:type="pct"/>
          </w:tcPr>
          <w:p w14:paraId="3C8ECCD9" w14:textId="4C36175B" w:rsidR="00BD66CC" w:rsidRPr="00C414AD" w:rsidRDefault="00BD66CC" w:rsidP="00BD66CC">
            <w:pPr>
              <w:jc w:val="center"/>
              <w:rPr>
                <w:rFonts w:cs="Calibri"/>
                <w:sz w:val="20"/>
                <w:szCs w:val="20"/>
                <w:lang w:eastAsia="zh-CN"/>
              </w:rPr>
            </w:pPr>
            <w:r w:rsidRPr="00BD66CC">
              <w:rPr>
                <w:rFonts w:cs="Calibri"/>
                <w:sz w:val="20"/>
                <w:szCs w:val="20"/>
                <w:lang w:eastAsia="zh-CN"/>
              </w:rPr>
              <w:t>Luo et al. (2010)</w:t>
            </w:r>
          </w:p>
        </w:tc>
        <w:tc>
          <w:tcPr>
            <w:tcW w:w="1112" w:type="pct"/>
          </w:tcPr>
          <w:p w14:paraId="4D55664A" w14:textId="76524B36" w:rsidR="00BD66CC" w:rsidRPr="00A35BAF" w:rsidRDefault="00BD66CC" w:rsidP="00BD66CC">
            <w:pPr>
              <w:jc w:val="center"/>
              <w:rPr>
                <w:rFonts w:eastAsia="Arial Unicode MS" w:cs="Arial Unicode MS"/>
                <w:color w:val="000000" w:themeColor="text1"/>
                <w:sz w:val="20"/>
                <w:szCs w:val="20"/>
                <w:lang w:eastAsia="zh-CN"/>
              </w:rPr>
            </w:pPr>
            <w:r w:rsidRPr="00694715">
              <w:rPr>
                <w:rFonts w:eastAsia="Arial Unicode MS" w:cs="Arial Unicode MS"/>
                <w:color w:val="000000" w:themeColor="text1"/>
                <w:sz w:val="20"/>
                <w:szCs w:val="20"/>
                <w:lang w:eastAsia="zh-CN"/>
              </w:rPr>
              <w:t>performance criteria: IA</w:t>
            </w:r>
          </w:p>
        </w:tc>
        <w:tc>
          <w:tcPr>
            <w:tcW w:w="1112" w:type="pct"/>
          </w:tcPr>
          <w:p w14:paraId="60420D55" w14:textId="0EBCA930" w:rsidR="00BD66CC" w:rsidRPr="00A35BAF" w:rsidRDefault="00805E0C" w:rsidP="00BD66CC">
            <w:pPr>
              <w:jc w:val="center"/>
              <w:rPr>
                <w:rFonts w:eastAsia="Arial Unicode MS" w:cs="Arial Unicode MS"/>
                <w:color w:val="000000" w:themeColor="text1"/>
                <w:sz w:val="20"/>
                <w:szCs w:val="20"/>
                <w:lang w:eastAsia="zh-CN"/>
              </w:rPr>
            </w:pPr>
            <w:r w:rsidRPr="00805E0C">
              <w:rPr>
                <w:rFonts w:eastAsia="Arial Unicode MS" w:cs="Arial Unicode MS"/>
                <w:color w:val="000000" w:themeColor="text1"/>
                <w:sz w:val="20"/>
                <w:szCs w:val="20"/>
                <w:lang w:eastAsia="zh-CN"/>
              </w:rPr>
              <w:t>Number of employees, fixed assets, and deposits (estimated due to missing data)</w:t>
            </w:r>
          </w:p>
        </w:tc>
        <w:tc>
          <w:tcPr>
            <w:tcW w:w="1110" w:type="pct"/>
          </w:tcPr>
          <w:p w14:paraId="610657A9" w14:textId="0FD11D66" w:rsidR="00BD66CC" w:rsidRPr="00A35BAF" w:rsidRDefault="00805E0C" w:rsidP="00BD66CC">
            <w:pPr>
              <w:jc w:val="center"/>
              <w:rPr>
                <w:rFonts w:eastAsia="Arial Unicode MS" w:cs="Arial Unicode MS"/>
                <w:color w:val="000000" w:themeColor="text1"/>
                <w:sz w:val="20"/>
                <w:szCs w:val="20"/>
                <w:lang w:eastAsia="zh-CN"/>
              </w:rPr>
            </w:pPr>
            <w:r w:rsidRPr="00805E0C">
              <w:rPr>
                <w:rFonts w:eastAsia="Arial Unicode MS" w:cs="Arial Unicode MS"/>
                <w:color w:val="000000" w:themeColor="text1"/>
                <w:sz w:val="20"/>
                <w:szCs w:val="20"/>
                <w:lang w:eastAsia="zh-CN"/>
              </w:rPr>
              <w:t>Total loans (TLs) and other earning assets.</w:t>
            </w:r>
          </w:p>
        </w:tc>
      </w:tr>
      <w:tr w:rsidR="00BD66CC" w:rsidRPr="00CE5391" w14:paraId="4765E196" w14:textId="77777777" w:rsidTr="008D3857">
        <w:trPr>
          <w:trHeight w:val="284"/>
        </w:trPr>
        <w:tc>
          <w:tcPr>
            <w:tcW w:w="1666" w:type="pct"/>
          </w:tcPr>
          <w:p w14:paraId="6813D4C0" w14:textId="77777777" w:rsidR="00BD66CC" w:rsidRPr="00C414AD" w:rsidRDefault="00BD66CC" w:rsidP="00BD66CC">
            <w:pPr>
              <w:jc w:val="center"/>
              <w:rPr>
                <w:rFonts w:cs="Calibri"/>
                <w:sz w:val="20"/>
                <w:szCs w:val="20"/>
                <w:lang w:eastAsia="zh-CN"/>
              </w:rPr>
            </w:pPr>
          </w:p>
        </w:tc>
        <w:tc>
          <w:tcPr>
            <w:tcW w:w="1112" w:type="pct"/>
          </w:tcPr>
          <w:p w14:paraId="5BD5BFB0" w14:textId="77777777" w:rsidR="00BD66CC" w:rsidRPr="00A35BAF" w:rsidRDefault="00BD66CC" w:rsidP="00BD66CC">
            <w:pPr>
              <w:jc w:val="center"/>
              <w:rPr>
                <w:rFonts w:eastAsia="Arial Unicode MS" w:cs="Arial Unicode MS"/>
                <w:color w:val="000000" w:themeColor="text1"/>
                <w:sz w:val="20"/>
                <w:szCs w:val="20"/>
                <w:lang w:eastAsia="zh-CN"/>
              </w:rPr>
            </w:pPr>
          </w:p>
        </w:tc>
        <w:tc>
          <w:tcPr>
            <w:tcW w:w="1112" w:type="pct"/>
          </w:tcPr>
          <w:p w14:paraId="32279908" w14:textId="77777777" w:rsidR="00BD66CC" w:rsidRPr="00A35BAF" w:rsidRDefault="00BD66CC" w:rsidP="00BD66CC">
            <w:pPr>
              <w:jc w:val="center"/>
              <w:rPr>
                <w:rFonts w:eastAsia="Arial Unicode MS" w:cs="Arial Unicode MS"/>
                <w:color w:val="000000" w:themeColor="text1"/>
                <w:sz w:val="20"/>
                <w:szCs w:val="20"/>
                <w:lang w:eastAsia="zh-CN"/>
              </w:rPr>
            </w:pPr>
          </w:p>
        </w:tc>
        <w:tc>
          <w:tcPr>
            <w:tcW w:w="1110" w:type="pct"/>
          </w:tcPr>
          <w:p w14:paraId="3426966F" w14:textId="77777777" w:rsidR="00BD66CC" w:rsidRPr="00A35BAF" w:rsidRDefault="00BD66CC" w:rsidP="00BD66CC">
            <w:pPr>
              <w:jc w:val="center"/>
              <w:rPr>
                <w:rFonts w:eastAsia="Arial Unicode MS" w:cs="Arial Unicode MS"/>
                <w:color w:val="000000" w:themeColor="text1"/>
                <w:sz w:val="20"/>
                <w:szCs w:val="20"/>
                <w:lang w:eastAsia="zh-CN"/>
              </w:rPr>
            </w:pPr>
          </w:p>
        </w:tc>
      </w:tr>
      <w:tr w:rsidR="00BD66CC" w:rsidRPr="00CE5391" w14:paraId="4A01AC93" w14:textId="77777777" w:rsidTr="008D3857">
        <w:trPr>
          <w:trHeight w:val="284"/>
        </w:trPr>
        <w:tc>
          <w:tcPr>
            <w:tcW w:w="1666" w:type="pct"/>
          </w:tcPr>
          <w:p w14:paraId="2A8C195A" w14:textId="77777777" w:rsidR="00BD66CC" w:rsidRPr="00C414AD" w:rsidRDefault="00BD66CC" w:rsidP="00BD66CC">
            <w:pPr>
              <w:jc w:val="center"/>
              <w:rPr>
                <w:rFonts w:cs="Calibri"/>
                <w:sz w:val="20"/>
                <w:szCs w:val="20"/>
                <w:lang w:eastAsia="zh-CN"/>
              </w:rPr>
            </w:pPr>
          </w:p>
        </w:tc>
        <w:tc>
          <w:tcPr>
            <w:tcW w:w="1112" w:type="pct"/>
          </w:tcPr>
          <w:p w14:paraId="5BB54DB6" w14:textId="77777777" w:rsidR="00BD66CC" w:rsidRPr="00A35BAF" w:rsidRDefault="00BD66CC" w:rsidP="00BD66CC">
            <w:pPr>
              <w:jc w:val="center"/>
              <w:rPr>
                <w:rFonts w:eastAsia="Arial Unicode MS" w:cs="Arial Unicode MS"/>
                <w:color w:val="000000" w:themeColor="text1"/>
                <w:sz w:val="20"/>
                <w:szCs w:val="20"/>
                <w:lang w:eastAsia="zh-CN"/>
              </w:rPr>
            </w:pPr>
          </w:p>
        </w:tc>
        <w:tc>
          <w:tcPr>
            <w:tcW w:w="1112" w:type="pct"/>
          </w:tcPr>
          <w:p w14:paraId="55732BE9" w14:textId="77777777" w:rsidR="00BD66CC" w:rsidRPr="00A35BAF" w:rsidRDefault="00BD66CC" w:rsidP="00BD66CC">
            <w:pPr>
              <w:jc w:val="center"/>
              <w:rPr>
                <w:rFonts w:eastAsia="Arial Unicode MS" w:cs="Arial Unicode MS"/>
                <w:color w:val="000000" w:themeColor="text1"/>
                <w:sz w:val="20"/>
                <w:szCs w:val="20"/>
                <w:lang w:eastAsia="zh-CN"/>
              </w:rPr>
            </w:pPr>
          </w:p>
        </w:tc>
        <w:tc>
          <w:tcPr>
            <w:tcW w:w="1110" w:type="pct"/>
          </w:tcPr>
          <w:p w14:paraId="3E687FF5" w14:textId="77777777" w:rsidR="00BD66CC" w:rsidRPr="00A35BAF" w:rsidRDefault="00BD66CC" w:rsidP="00BD66CC">
            <w:pPr>
              <w:jc w:val="center"/>
              <w:rPr>
                <w:rFonts w:eastAsia="Arial Unicode MS" w:cs="Arial Unicode MS"/>
                <w:color w:val="000000" w:themeColor="text1"/>
                <w:sz w:val="20"/>
                <w:szCs w:val="20"/>
                <w:lang w:eastAsia="zh-CN"/>
              </w:rPr>
            </w:pPr>
          </w:p>
        </w:tc>
      </w:tr>
      <w:tr w:rsidR="00BD66CC" w:rsidRPr="00CE5391" w14:paraId="4712BA0C" w14:textId="77777777" w:rsidTr="008D3857">
        <w:trPr>
          <w:trHeight w:val="284"/>
        </w:trPr>
        <w:tc>
          <w:tcPr>
            <w:tcW w:w="1666" w:type="pct"/>
          </w:tcPr>
          <w:p w14:paraId="3D4663B0" w14:textId="77777777" w:rsidR="00BD66CC" w:rsidRPr="00C414AD" w:rsidRDefault="00BD66CC" w:rsidP="00BD66CC">
            <w:pPr>
              <w:jc w:val="center"/>
              <w:rPr>
                <w:rFonts w:cs="Calibri"/>
                <w:sz w:val="20"/>
                <w:szCs w:val="20"/>
                <w:lang w:eastAsia="zh-CN"/>
              </w:rPr>
            </w:pPr>
          </w:p>
        </w:tc>
        <w:tc>
          <w:tcPr>
            <w:tcW w:w="1112" w:type="pct"/>
          </w:tcPr>
          <w:p w14:paraId="506B1A13" w14:textId="77777777" w:rsidR="00BD66CC" w:rsidRPr="00A35BAF" w:rsidRDefault="00BD66CC" w:rsidP="00BD66CC">
            <w:pPr>
              <w:jc w:val="center"/>
              <w:rPr>
                <w:rFonts w:eastAsia="Arial Unicode MS" w:cs="Arial Unicode MS"/>
                <w:color w:val="000000" w:themeColor="text1"/>
                <w:sz w:val="20"/>
                <w:szCs w:val="20"/>
                <w:lang w:eastAsia="zh-CN"/>
              </w:rPr>
            </w:pPr>
          </w:p>
        </w:tc>
        <w:tc>
          <w:tcPr>
            <w:tcW w:w="1112" w:type="pct"/>
          </w:tcPr>
          <w:p w14:paraId="37D41B27" w14:textId="77777777" w:rsidR="00BD66CC" w:rsidRPr="00A35BAF" w:rsidRDefault="00BD66CC" w:rsidP="00BD66CC">
            <w:pPr>
              <w:jc w:val="center"/>
              <w:rPr>
                <w:rFonts w:eastAsia="Arial Unicode MS" w:cs="Arial Unicode MS"/>
                <w:color w:val="000000" w:themeColor="text1"/>
                <w:sz w:val="20"/>
                <w:szCs w:val="20"/>
                <w:lang w:eastAsia="zh-CN"/>
              </w:rPr>
            </w:pPr>
          </w:p>
        </w:tc>
        <w:tc>
          <w:tcPr>
            <w:tcW w:w="1110" w:type="pct"/>
          </w:tcPr>
          <w:p w14:paraId="5F226F3F" w14:textId="77777777" w:rsidR="00BD66CC" w:rsidRPr="00A35BAF" w:rsidRDefault="00BD66CC" w:rsidP="00BD66CC">
            <w:pPr>
              <w:jc w:val="center"/>
              <w:rPr>
                <w:rFonts w:eastAsia="Arial Unicode MS" w:cs="Arial Unicode MS"/>
                <w:color w:val="000000" w:themeColor="text1"/>
                <w:sz w:val="20"/>
                <w:szCs w:val="20"/>
                <w:lang w:eastAsia="zh-CN"/>
              </w:rPr>
            </w:pPr>
          </w:p>
        </w:tc>
      </w:tr>
    </w:tbl>
    <w:p w14:paraId="1726EE46" w14:textId="77777777" w:rsidR="00980FBF" w:rsidRPr="00CE5391" w:rsidRDefault="00980FBF" w:rsidP="00980FBF">
      <w:pPr>
        <w:pStyle w:val="ListParagraph"/>
        <w:ind w:left="360"/>
        <w:jc w:val="both"/>
        <w:rPr>
          <w:rFonts w:ascii="Calibri" w:eastAsia="Calibri" w:hAnsi="Calibri" w:cs="Calibri"/>
          <w:sz w:val="20"/>
          <w:szCs w:val="20"/>
        </w:rPr>
      </w:pPr>
      <w:r w:rsidRPr="00CE5391">
        <w:rPr>
          <w:rFonts w:ascii="Calibri" w:eastAsia="Calibri" w:hAnsi="Calibri" w:cs="Calibri"/>
          <w:sz w:val="20"/>
          <w:szCs w:val="20"/>
        </w:rPr>
        <w:t>NOTE: Make sure that you report both the performance criteria and their measures; e.g., economy is a criterion and GDP is one of the measures of this criterion.</w:t>
      </w:r>
    </w:p>
    <w:p w14:paraId="4B8FA8B4" w14:textId="77777777" w:rsidR="00980FBF" w:rsidRDefault="00980FBF" w:rsidP="00980FBF">
      <w:pPr>
        <w:pStyle w:val="ListParagraph"/>
        <w:ind w:left="360"/>
        <w:jc w:val="both"/>
        <w:rPr>
          <w:rFonts w:ascii="Times New Roman" w:hAnsi="Times New Roman" w:cs="Times New Roman"/>
          <w:sz w:val="24"/>
          <w:szCs w:val="24"/>
        </w:rPr>
      </w:pPr>
    </w:p>
    <w:p w14:paraId="6147E0D9" w14:textId="77777777" w:rsidR="00980FBF" w:rsidRPr="00CE5391" w:rsidRDefault="00980FBF" w:rsidP="00980FBF">
      <w:pPr>
        <w:pStyle w:val="ListParagraph"/>
        <w:spacing w:after="0"/>
        <w:ind w:left="360"/>
        <w:jc w:val="both"/>
        <w:rPr>
          <w:rFonts w:ascii="Times New Roman" w:hAnsi="Times New Roman" w:cs="Times New Roman"/>
          <w:sz w:val="24"/>
          <w:szCs w:val="24"/>
        </w:rPr>
      </w:pPr>
      <w:r w:rsidRPr="00CE5391">
        <w:rPr>
          <w:rFonts w:ascii="Calibri" w:eastAsia="Calibri" w:hAnsi="Calibri" w:cs="Calibri"/>
          <w:b/>
          <w:bCs/>
          <w:sz w:val="20"/>
          <w:szCs w:val="20"/>
        </w:rPr>
        <w:t>Table 5:</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response and explanatory variables used in the second-stage analysis of two-stage analyses and the perspective that shapes the choice of the explanatory variables</w:t>
      </w:r>
      <w:r w:rsidRPr="00CE5391">
        <w:rPr>
          <w:rFonts w:ascii="Calibri" w:eastAsia="Calibri" w:hAnsi="Calibri" w:cs="Calibri"/>
          <w:sz w:val="20"/>
          <w:szCs w:val="20"/>
        </w:rPr>
        <w:t xml:space="preserve"> – we shall refer to this perspective as the </w:t>
      </w:r>
      <w:proofErr w:type="spellStart"/>
      <w:r w:rsidRPr="00CE5391">
        <w:rPr>
          <w:rFonts w:ascii="Calibri" w:eastAsia="Calibri" w:hAnsi="Calibri" w:cs="Calibri"/>
          <w:sz w:val="20"/>
          <w:szCs w:val="20"/>
        </w:rPr>
        <w:t>behavioural</w:t>
      </w:r>
      <w:proofErr w:type="spellEnd"/>
      <w:r w:rsidRPr="00CE5391">
        <w:rPr>
          <w:rFonts w:ascii="Calibri" w:eastAsia="Calibri" w:hAnsi="Calibri" w:cs="Calibri"/>
          <w:sz w:val="20"/>
          <w:szCs w:val="20"/>
        </w:rPr>
        <w:t xml:space="preserve"> perspective which depending on the aim of the investigation could be the contextual or </w:t>
      </w:r>
      <w:r w:rsidRPr="00CE5391">
        <w:rPr>
          <w:rFonts w:ascii="Calibri" w:eastAsia="Calibri" w:hAnsi="Calibri" w:cs="Calibri"/>
          <w:sz w:val="20"/>
          <w:szCs w:val="20"/>
        </w:rPr>
        <w:lastRenderedPageBreak/>
        <w:t xml:space="preserve">environment perspective or could be event related (guidelines: </w:t>
      </w:r>
      <w:proofErr w:type="spellStart"/>
      <w:r w:rsidRPr="00CE5391">
        <w:rPr>
          <w:rFonts w:ascii="Calibri" w:eastAsia="Calibri" w:hAnsi="Calibri" w:cs="Calibri"/>
          <w:sz w:val="20"/>
          <w:szCs w:val="20"/>
        </w:rPr>
        <w:t>analyse</w:t>
      </w:r>
      <w:proofErr w:type="spellEnd"/>
      <w:r w:rsidRPr="00CE5391">
        <w:rPr>
          <w:rFonts w:ascii="Calibri" w:eastAsia="Calibri" w:hAnsi="Calibri" w:cs="Calibri"/>
          <w:sz w:val="20"/>
          <w:szCs w:val="20"/>
        </w:rPr>
        <w:t xml:space="preserve"> this table by perspective and for each perspective classify explanatory variables in meaningful categories and discuss them in the main text) </w:t>
      </w:r>
    </w:p>
    <w:tbl>
      <w:tblPr>
        <w:tblStyle w:val="GridTable1Light"/>
        <w:tblW w:w="4803"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994"/>
        <w:gridCol w:w="1822"/>
        <w:gridCol w:w="2185"/>
        <w:gridCol w:w="1981"/>
      </w:tblGrid>
      <w:tr w:rsidR="00980FBF" w:rsidRPr="00CE5391" w14:paraId="64F0D89B" w14:textId="77777777" w:rsidTr="00B429D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7" w:type="pct"/>
          </w:tcPr>
          <w:p w14:paraId="1D89CE69" w14:textId="77777777" w:rsidR="00980FBF" w:rsidRPr="00CE5391" w:rsidRDefault="00980FBF" w:rsidP="00DC1865">
            <w:pPr>
              <w:jc w:val="center"/>
              <w:rPr>
                <w:sz w:val="20"/>
                <w:szCs w:val="20"/>
              </w:rPr>
            </w:pPr>
            <w:r w:rsidRPr="00CE5391">
              <w:rPr>
                <w:sz w:val="20"/>
                <w:szCs w:val="20"/>
              </w:rPr>
              <w:t>Reference</w:t>
            </w:r>
          </w:p>
        </w:tc>
        <w:tc>
          <w:tcPr>
            <w:tcW w:w="1014" w:type="pct"/>
          </w:tcPr>
          <w:p w14:paraId="4AC042FF" w14:textId="77777777" w:rsidR="00980FBF" w:rsidRPr="00CE5391" w:rsidRDefault="00980FBF" w:rsidP="00DC186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E5391">
              <w:rPr>
                <w:rFonts w:cs="Calibri"/>
                <w:sz w:val="20"/>
                <w:szCs w:val="20"/>
              </w:rPr>
              <w:t>Behavioural Perspective</w:t>
            </w:r>
          </w:p>
        </w:tc>
        <w:tc>
          <w:tcPr>
            <w:tcW w:w="1216" w:type="pct"/>
          </w:tcPr>
          <w:p w14:paraId="4CD71AF6" w14:textId="77777777" w:rsidR="00980FBF" w:rsidRPr="00CE5391" w:rsidRDefault="00980FBF" w:rsidP="00DC186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E5391">
              <w:rPr>
                <w:sz w:val="20"/>
                <w:szCs w:val="20"/>
              </w:rPr>
              <w:t>Response/dependent variable</w:t>
            </w:r>
          </w:p>
        </w:tc>
        <w:tc>
          <w:tcPr>
            <w:tcW w:w="1103" w:type="pct"/>
          </w:tcPr>
          <w:p w14:paraId="73321F8A" w14:textId="77777777" w:rsidR="00980FBF" w:rsidRPr="00CE5391" w:rsidRDefault="00980FBF" w:rsidP="00DC1865">
            <w:pPr>
              <w:jc w:val="center"/>
              <w:cnfStyle w:val="100000000000" w:firstRow="1" w:lastRow="0" w:firstColumn="0" w:lastColumn="0" w:oddVBand="0" w:evenVBand="0" w:oddHBand="0" w:evenHBand="0" w:firstRowFirstColumn="0" w:firstRowLastColumn="0" w:lastRowFirstColumn="0" w:lastRowLastColumn="0"/>
              <w:rPr>
                <w:sz w:val="20"/>
                <w:szCs w:val="20"/>
              </w:rPr>
            </w:pPr>
            <w:r w:rsidRPr="00CE5391">
              <w:rPr>
                <w:sz w:val="20"/>
                <w:szCs w:val="20"/>
              </w:rPr>
              <w:t>Explanatory variables / drivers</w:t>
            </w:r>
          </w:p>
        </w:tc>
      </w:tr>
      <w:tr w:rsidR="00AB1BD9" w:rsidRPr="00CE5391" w14:paraId="52E921DD"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06B2ACAC" w14:textId="60B3BA64" w:rsidR="00AB1BD9" w:rsidRPr="00AB1BD9" w:rsidRDefault="00CC1490" w:rsidP="00AB1BD9">
            <w:pPr>
              <w:jc w:val="center"/>
              <w:rPr>
                <w:b w:val="0"/>
                <w:bCs w:val="0"/>
                <w:sz w:val="20"/>
                <w:szCs w:val="20"/>
              </w:rPr>
            </w:pPr>
            <w:r w:rsidRPr="00CC1490">
              <w:rPr>
                <w:rFonts w:cs="Calibri"/>
                <w:b w:val="0"/>
                <w:bCs w:val="0"/>
                <w:sz w:val="20"/>
                <w:szCs w:val="20"/>
                <w:lang w:val="en-US" w:eastAsia="zh-CN"/>
              </w:rPr>
              <w:t>Matthews, et al. (2010)</w:t>
            </w:r>
          </w:p>
        </w:tc>
        <w:tc>
          <w:tcPr>
            <w:tcW w:w="1014" w:type="pct"/>
          </w:tcPr>
          <w:p w14:paraId="0F96E75A" w14:textId="33DACBB0" w:rsidR="00AB1BD9" w:rsidRPr="000121A4" w:rsidRDefault="00CC1490" w:rsidP="00AB1BD9">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sz w:val="20"/>
                <w:szCs w:val="20"/>
                <w:lang w:eastAsia="zh-CN"/>
              </w:rPr>
              <w:t>n/a</w:t>
            </w:r>
          </w:p>
        </w:tc>
        <w:tc>
          <w:tcPr>
            <w:tcW w:w="1216" w:type="pct"/>
          </w:tcPr>
          <w:p w14:paraId="2B362942" w14:textId="571389A0" w:rsidR="00AB1BD9" w:rsidRPr="000B3A6A" w:rsidRDefault="00CC1490" w:rsidP="00AB1BD9">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sz w:val="20"/>
                <w:szCs w:val="20"/>
                <w:lang w:eastAsia="zh-CN"/>
              </w:rPr>
              <w:t>n/a</w:t>
            </w:r>
          </w:p>
        </w:tc>
        <w:tc>
          <w:tcPr>
            <w:tcW w:w="1103" w:type="pct"/>
          </w:tcPr>
          <w:p w14:paraId="57D9A058" w14:textId="1E147211" w:rsidR="00AB1BD9" w:rsidRPr="000B3A6A" w:rsidRDefault="00CC1490" w:rsidP="00AB1BD9">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sz w:val="20"/>
                <w:szCs w:val="20"/>
                <w:lang w:eastAsia="zh-CN"/>
              </w:rPr>
              <w:t>n/a</w:t>
            </w:r>
          </w:p>
        </w:tc>
      </w:tr>
      <w:tr w:rsidR="008D3857" w:rsidRPr="00CE5391" w14:paraId="5945F98F"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54C50994" w14:textId="37E03DC7" w:rsidR="008D3857" w:rsidRPr="003242E9" w:rsidRDefault="008D3857" w:rsidP="008D3857">
            <w:pPr>
              <w:jc w:val="center"/>
              <w:rPr>
                <w:b w:val="0"/>
                <w:bCs w:val="0"/>
                <w:sz w:val="20"/>
                <w:szCs w:val="20"/>
              </w:rPr>
            </w:pPr>
            <w:r w:rsidRPr="003242E9">
              <w:rPr>
                <w:rFonts w:cs="Calibri"/>
                <w:b w:val="0"/>
                <w:bCs w:val="0"/>
                <w:sz w:val="20"/>
                <w:szCs w:val="20"/>
                <w:lang w:val="en-US" w:eastAsia="zh-CN"/>
              </w:rPr>
              <w:t>Hou, et al. (2014)</w:t>
            </w:r>
          </w:p>
        </w:tc>
        <w:tc>
          <w:tcPr>
            <w:tcW w:w="1014" w:type="pct"/>
          </w:tcPr>
          <w:p w14:paraId="0FEB6FA1" w14:textId="77777777" w:rsidR="008D3857" w:rsidRPr="00DF4A70" w:rsidRDefault="008D3857" w:rsidP="008D3857">
            <w:pPr>
              <w:jc w:val="both"/>
              <w:cnfStyle w:val="000000000000" w:firstRow="0" w:lastRow="0" w:firstColumn="0" w:lastColumn="0" w:oddVBand="0" w:evenVBand="0" w:oddHBand="0" w:evenHBand="0" w:firstRowFirstColumn="0" w:firstRowLastColumn="0" w:lastRowFirstColumn="0" w:lastRowLastColumn="0"/>
              <w:rPr>
                <w:sz w:val="20"/>
                <w:szCs w:val="20"/>
              </w:rPr>
            </w:pPr>
            <w:r w:rsidRPr="00DF4A70">
              <w:rPr>
                <w:sz w:val="20"/>
                <w:szCs w:val="20"/>
              </w:rPr>
              <w:t>market structure,</w:t>
            </w:r>
          </w:p>
          <w:p w14:paraId="260D5AFE" w14:textId="56263D84" w:rsidR="008D3857" w:rsidRPr="00CE5391" w:rsidRDefault="008D3857" w:rsidP="008D3857">
            <w:pPr>
              <w:jc w:val="both"/>
              <w:cnfStyle w:val="000000000000" w:firstRow="0" w:lastRow="0" w:firstColumn="0" w:lastColumn="0" w:oddVBand="0" w:evenVBand="0" w:oddHBand="0" w:evenHBand="0" w:firstRowFirstColumn="0" w:firstRowLastColumn="0" w:lastRowFirstColumn="0" w:lastRowLastColumn="0"/>
              <w:rPr>
                <w:sz w:val="20"/>
                <w:szCs w:val="20"/>
              </w:rPr>
            </w:pPr>
            <w:r w:rsidRPr="00DF4A70">
              <w:rPr>
                <w:sz w:val="20"/>
                <w:szCs w:val="20"/>
              </w:rPr>
              <w:t>bank risk</w:t>
            </w:r>
          </w:p>
        </w:tc>
        <w:tc>
          <w:tcPr>
            <w:tcW w:w="1216" w:type="pct"/>
          </w:tcPr>
          <w:p w14:paraId="69688F26" w14:textId="6D45B732" w:rsidR="008D3857" w:rsidRPr="00907FC2" w:rsidRDefault="00DD4397" w:rsidP="008D3857">
            <w:pPr>
              <w:jc w:val="both"/>
              <w:cnfStyle w:val="000000000000" w:firstRow="0" w:lastRow="0" w:firstColumn="0" w:lastColumn="0" w:oddVBand="0" w:evenVBand="0" w:oddHBand="0" w:evenHBand="0" w:firstRowFirstColumn="0" w:firstRowLastColumn="0" w:lastRowFirstColumn="0" w:lastRowLastColumn="0"/>
              <w:rPr>
                <w:sz w:val="20"/>
                <w:szCs w:val="20"/>
              </w:rPr>
            </w:pPr>
            <w:r w:rsidRPr="00DD4397">
              <w:rPr>
                <w:rFonts w:eastAsia="Arial Unicode MS" w:cs="Arial Unicode MS"/>
                <w:color w:val="000000" w:themeColor="text1"/>
                <w:sz w:val="20"/>
                <w:szCs w:val="20"/>
                <w:lang w:eastAsia="zh-CN"/>
              </w:rPr>
              <w:t>Technical efficiency</w:t>
            </w:r>
          </w:p>
        </w:tc>
        <w:tc>
          <w:tcPr>
            <w:tcW w:w="1103" w:type="pct"/>
          </w:tcPr>
          <w:p w14:paraId="03FA5709" w14:textId="5FCAA063" w:rsidR="008D3857"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DF4A70">
              <w:rPr>
                <w:rFonts w:eastAsiaTheme="minorEastAsia"/>
                <w:sz w:val="20"/>
                <w:szCs w:val="20"/>
                <w:lang w:eastAsia="zh-CN"/>
              </w:rPr>
              <w:t>Herfindahl-Hirschman Index in deposits</w:t>
            </w:r>
            <w:r>
              <w:rPr>
                <w:rFonts w:eastAsiaTheme="minorEastAsia"/>
                <w:sz w:val="20"/>
                <w:szCs w:val="20"/>
                <w:lang w:eastAsia="zh-CN"/>
              </w:rPr>
              <w:t xml:space="preserve"> (</w:t>
            </w:r>
            <m:oMath>
              <m:r>
                <w:rPr>
                  <w:rFonts w:ascii="Cambria Math" w:eastAsiaTheme="minorEastAsia" w:hAnsi="Cambria Math"/>
                  <w:sz w:val="20"/>
                  <w:szCs w:val="20"/>
                  <w:lang w:eastAsia="zh-CN"/>
                </w:rPr>
                <m:t>DHHI</m:t>
              </m:r>
            </m:oMath>
            <w:r>
              <w:rPr>
                <w:rFonts w:eastAsiaTheme="minorEastAsia"/>
                <w:sz w:val="20"/>
                <w:szCs w:val="20"/>
                <w:lang w:eastAsia="zh-CN"/>
              </w:rPr>
              <w:t>);</w:t>
            </w:r>
          </w:p>
          <w:p w14:paraId="20007A34" w14:textId="3EB98004" w:rsidR="008D3857"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DF4A70">
              <w:rPr>
                <w:rFonts w:eastAsiaTheme="minorEastAsia"/>
                <w:sz w:val="20"/>
                <w:szCs w:val="20"/>
                <w:lang w:eastAsia="zh-CN"/>
              </w:rPr>
              <w:t>the ratio of equity to total assets</w:t>
            </w:r>
            <w:r>
              <w:rPr>
                <w:rFonts w:eastAsiaTheme="minorEastAsia"/>
                <w:sz w:val="20"/>
                <w:szCs w:val="20"/>
                <w:lang w:eastAsia="zh-CN"/>
              </w:rPr>
              <w:t xml:space="preserve"> (</w:t>
            </w:r>
            <m:oMath>
              <m:r>
                <w:rPr>
                  <w:rFonts w:ascii="Cambria Math" w:eastAsiaTheme="minorEastAsia" w:hAnsi="Cambria Math"/>
                  <w:sz w:val="20"/>
                  <w:szCs w:val="20"/>
                  <w:lang w:eastAsia="zh-CN"/>
                </w:rPr>
                <m:t>CAPRISK</m:t>
              </m:r>
            </m:oMath>
            <w:r>
              <w:rPr>
                <w:rFonts w:eastAsiaTheme="minorEastAsia"/>
                <w:sz w:val="20"/>
                <w:szCs w:val="20"/>
                <w:lang w:eastAsia="zh-CN"/>
              </w:rPr>
              <w:t>),</w:t>
            </w:r>
          </w:p>
          <w:p w14:paraId="7905DEF0" w14:textId="21B68FF9" w:rsidR="008D3857"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DF4A70">
              <w:rPr>
                <w:rFonts w:eastAsiaTheme="minorEastAsia"/>
                <w:sz w:val="20"/>
                <w:szCs w:val="20"/>
                <w:lang w:eastAsia="zh-CN"/>
              </w:rPr>
              <w:t>the ratio of loan loss provisions to total loans</w:t>
            </w:r>
            <w:r>
              <w:rPr>
                <w:rFonts w:eastAsiaTheme="minorEastAsia"/>
                <w:sz w:val="20"/>
                <w:szCs w:val="20"/>
                <w:lang w:eastAsia="zh-CN"/>
              </w:rPr>
              <w:t xml:space="preserve"> (</w:t>
            </w:r>
            <m:oMath>
              <m:r>
                <w:rPr>
                  <w:rFonts w:ascii="Cambria Math" w:eastAsiaTheme="minorEastAsia" w:hAnsi="Cambria Math"/>
                  <w:sz w:val="20"/>
                  <w:szCs w:val="20"/>
                  <w:lang w:eastAsia="zh-CN"/>
                </w:rPr>
                <m:t>CREDRISK</m:t>
              </m:r>
            </m:oMath>
            <w:r>
              <w:rPr>
                <w:rFonts w:eastAsiaTheme="minorEastAsia"/>
                <w:sz w:val="20"/>
                <w:szCs w:val="20"/>
                <w:lang w:eastAsia="zh-CN"/>
              </w:rPr>
              <w:t>),</w:t>
            </w:r>
          </w:p>
          <w:p w14:paraId="6B488C94" w14:textId="59FBFD64" w:rsidR="008D3857" w:rsidRPr="00DF4A70"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DF4A70">
              <w:rPr>
                <w:rFonts w:eastAsiaTheme="minorEastAsia"/>
                <w:sz w:val="20"/>
                <w:szCs w:val="20"/>
                <w:lang w:eastAsia="zh-CN"/>
              </w:rPr>
              <w:t>the ratio between total loans and deposits</w:t>
            </w:r>
            <w:r>
              <w:rPr>
                <w:rFonts w:eastAsiaTheme="minorEastAsia"/>
                <w:sz w:val="20"/>
                <w:szCs w:val="20"/>
                <w:lang w:eastAsia="zh-CN"/>
              </w:rPr>
              <w:t xml:space="preserve"> (</w:t>
            </w:r>
            <m:oMath>
              <m:r>
                <w:rPr>
                  <w:rFonts w:ascii="Cambria Math" w:eastAsiaTheme="minorEastAsia" w:hAnsi="Cambria Math"/>
                  <w:sz w:val="20"/>
                  <w:szCs w:val="20"/>
                  <w:lang w:eastAsia="zh-CN"/>
                </w:rPr>
                <m:t>LTODEP</m:t>
              </m:r>
            </m:oMath>
            <w:r>
              <w:rPr>
                <w:rFonts w:eastAsiaTheme="minorEastAsia"/>
                <w:sz w:val="20"/>
                <w:szCs w:val="20"/>
                <w:lang w:eastAsia="zh-CN"/>
              </w:rPr>
              <w:t>)</w:t>
            </w:r>
          </w:p>
        </w:tc>
      </w:tr>
      <w:tr w:rsidR="008D3857" w:rsidRPr="00CE5391" w14:paraId="01224CBC"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7770D832" w14:textId="3EB4A534" w:rsidR="008D3857" w:rsidRPr="003242E9" w:rsidRDefault="008D3857" w:rsidP="008D3857">
            <w:pPr>
              <w:jc w:val="center"/>
              <w:rPr>
                <w:b w:val="0"/>
                <w:bCs w:val="0"/>
                <w:sz w:val="20"/>
                <w:szCs w:val="20"/>
              </w:rPr>
            </w:pPr>
            <w:r w:rsidRPr="003242E9">
              <w:rPr>
                <w:rFonts w:cs="Calibri"/>
                <w:b w:val="0"/>
                <w:bCs w:val="0"/>
                <w:sz w:val="20"/>
                <w:szCs w:val="20"/>
                <w:lang w:eastAsia="zh-CN"/>
              </w:rPr>
              <w:t>Fukuyama, et al. (2021)</w:t>
            </w:r>
          </w:p>
        </w:tc>
        <w:tc>
          <w:tcPr>
            <w:tcW w:w="1014" w:type="pct"/>
          </w:tcPr>
          <w:p w14:paraId="3F22E3B6" w14:textId="3C38547A" w:rsidR="008D3857" w:rsidRPr="00634383" w:rsidRDefault="00E2745D" w:rsidP="00634383">
            <w:pPr>
              <w:jc w:val="both"/>
              <w:cnfStyle w:val="000000000000" w:firstRow="0" w:lastRow="0" w:firstColumn="0" w:lastColumn="0" w:oddVBand="0" w:evenVBand="0" w:oddHBand="0" w:evenHBand="0" w:firstRowFirstColumn="0" w:firstRowLastColumn="0" w:lastRowFirstColumn="0" w:lastRowLastColumn="0"/>
              <w:rPr>
                <w:rFonts w:eastAsiaTheme="minorEastAsia" w:hint="eastAsia"/>
                <w:sz w:val="20"/>
                <w:szCs w:val="20"/>
                <w:lang w:eastAsia="zh-CN"/>
              </w:rPr>
            </w:pPr>
            <w:commentRangeStart w:id="2"/>
            <w:commentRangeEnd w:id="2"/>
            <w:r>
              <w:rPr>
                <w:rStyle w:val="CommentReference"/>
              </w:rPr>
              <w:commentReference w:id="2"/>
            </w:r>
            <w:r w:rsidR="00634383" w:rsidRPr="00634383">
              <w:rPr>
                <w:rFonts w:eastAsiaTheme="minorEastAsia"/>
                <w:sz w:val="20"/>
                <w:szCs w:val="20"/>
                <w:lang w:eastAsia="zh-CN"/>
              </w:rPr>
              <w:t>the risk from the</w:t>
            </w:r>
            <w:r w:rsidR="00634383">
              <w:rPr>
                <w:rFonts w:eastAsiaTheme="minorEastAsia" w:hint="eastAsia"/>
                <w:sz w:val="20"/>
                <w:szCs w:val="20"/>
                <w:lang w:eastAsia="zh-CN"/>
              </w:rPr>
              <w:t xml:space="preserve"> </w:t>
            </w:r>
            <w:r w:rsidR="00634383" w:rsidRPr="00634383">
              <w:rPr>
                <w:rFonts w:eastAsiaTheme="minorEastAsia"/>
                <w:sz w:val="20"/>
                <w:szCs w:val="20"/>
                <w:lang w:eastAsia="zh-CN"/>
              </w:rPr>
              <w:t>perspective</w:t>
            </w:r>
            <w:r w:rsidR="00634383">
              <w:rPr>
                <w:rFonts w:eastAsiaTheme="minorEastAsia"/>
                <w:sz w:val="20"/>
                <w:szCs w:val="20"/>
                <w:lang w:eastAsia="zh-CN"/>
              </w:rPr>
              <w:t xml:space="preserve"> </w:t>
            </w:r>
            <w:r w:rsidR="00634383" w:rsidRPr="00634383">
              <w:rPr>
                <w:rFonts w:eastAsiaTheme="minorEastAsia"/>
                <w:sz w:val="20"/>
                <w:szCs w:val="20"/>
                <w:lang w:eastAsia="zh-CN"/>
              </w:rPr>
              <w:t>related to banks’</w:t>
            </w:r>
            <w:r w:rsidR="00634383">
              <w:rPr>
                <w:rFonts w:eastAsiaTheme="minorEastAsia"/>
                <w:sz w:val="20"/>
                <w:szCs w:val="20"/>
                <w:lang w:eastAsia="zh-CN"/>
              </w:rPr>
              <w:t xml:space="preserve"> </w:t>
            </w:r>
            <w:r w:rsidR="00634383" w:rsidRPr="00634383">
              <w:rPr>
                <w:rFonts w:eastAsiaTheme="minorEastAsia"/>
                <w:sz w:val="20"/>
                <w:szCs w:val="20"/>
                <w:lang w:eastAsia="zh-CN"/>
              </w:rPr>
              <w:t>ability to</w:t>
            </w:r>
            <w:r w:rsidR="00634383">
              <w:rPr>
                <w:rFonts w:eastAsiaTheme="minorEastAsia"/>
                <w:sz w:val="20"/>
                <w:szCs w:val="20"/>
                <w:lang w:eastAsia="zh-CN"/>
              </w:rPr>
              <w:t xml:space="preserve"> </w:t>
            </w:r>
            <w:r w:rsidR="00634383" w:rsidRPr="00634383">
              <w:rPr>
                <w:rFonts w:eastAsiaTheme="minorEastAsia"/>
                <w:sz w:val="20"/>
                <w:szCs w:val="20"/>
                <w:lang w:eastAsia="zh-CN"/>
              </w:rPr>
              <w:t>withstand the</w:t>
            </w:r>
            <w:r w:rsidR="00634383">
              <w:rPr>
                <w:rFonts w:eastAsiaTheme="minorEastAsia"/>
                <w:sz w:val="20"/>
                <w:szCs w:val="20"/>
                <w:lang w:eastAsia="zh-CN"/>
              </w:rPr>
              <w:t xml:space="preserve"> </w:t>
            </w:r>
            <w:r w:rsidR="00634383" w:rsidRPr="00634383">
              <w:rPr>
                <w:rFonts w:eastAsiaTheme="minorEastAsia"/>
                <w:sz w:val="20"/>
                <w:szCs w:val="20"/>
                <w:lang w:eastAsia="zh-CN"/>
              </w:rPr>
              <w:t>potential negative shocks</w:t>
            </w:r>
          </w:p>
        </w:tc>
        <w:tc>
          <w:tcPr>
            <w:tcW w:w="1216" w:type="pct"/>
          </w:tcPr>
          <w:p w14:paraId="3886862C" w14:textId="5EB69AE5" w:rsidR="008D3857" w:rsidRPr="00B732C1" w:rsidRDefault="00DD4397" w:rsidP="008D3857">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highlight w:val="yellow"/>
                <w:lang w:eastAsia="zh-CN"/>
              </w:rPr>
            </w:pPr>
            <w:r w:rsidRPr="00DD4397">
              <w:rPr>
                <w:rFonts w:eastAsia="Arial Unicode MS" w:cs="Arial Unicode MS"/>
                <w:color w:val="000000" w:themeColor="text1"/>
                <w:sz w:val="20"/>
                <w:szCs w:val="20"/>
                <w:lang w:eastAsia="zh-CN"/>
              </w:rPr>
              <w:t>direct technical efficiency</w:t>
            </w:r>
          </w:p>
        </w:tc>
        <w:tc>
          <w:tcPr>
            <w:tcW w:w="1103" w:type="pct"/>
          </w:tcPr>
          <w:p w14:paraId="1BD623A6" w14:textId="61346E43" w:rsidR="008D3857" w:rsidRPr="00B732C1" w:rsidRDefault="00634383"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highlight w:val="yellow"/>
                <w:lang w:eastAsia="zh-CN"/>
              </w:rPr>
            </w:pPr>
            <w:r w:rsidRPr="00634383">
              <w:rPr>
                <w:rFonts w:eastAsiaTheme="minorEastAsia"/>
                <w:sz w:val="20"/>
                <w:szCs w:val="20"/>
                <w:lang w:eastAsia="zh-CN"/>
              </w:rPr>
              <w:t>LLRs</w:t>
            </w:r>
            <w:r>
              <w:rPr>
                <w:rFonts w:eastAsiaTheme="minorEastAsia"/>
                <w:sz w:val="20"/>
                <w:szCs w:val="20"/>
                <w:lang w:eastAsia="zh-CN"/>
              </w:rPr>
              <w:t xml:space="preserve"> (</w:t>
            </w:r>
            <w:r w:rsidRPr="00634383">
              <w:rPr>
                <w:rFonts w:eastAsiaTheme="minorEastAsia"/>
                <w:sz w:val="20"/>
                <w:szCs w:val="20"/>
                <w:lang w:eastAsia="zh-CN"/>
              </w:rPr>
              <w:t>loan loss reserves</w:t>
            </w:r>
            <w:r>
              <w:rPr>
                <w:rFonts w:eastAsiaTheme="minorEastAsia"/>
                <w:sz w:val="20"/>
                <w:szCs w:val="20"/>
                <w:lang w:eastAsia="zh-CN"/>
              </w:rPr>
              <w:t>)</w:t>
            </w:r>
            <w:r w:rsidRPr="00634383">
              <w:rPr>
                <w:rFonts w:eastAsiaTheme="minorEastAsia"/>
                <w:sz w:val="20"/>
                <w:szCs w:val="20"/>
                <w:lang w:eastAsia="zh-CN"/>
              </w:rPr>
              <w:t xml:space="preserve"> and total loans</w:t>
            </w:r>
          </w:p>
        </w:tc>
      </w:tr>
      <w:tr w:rsidR="008D3857" w:rsidRPr="00CE5391" w14:paraId="08F38D3A"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2E92C9F5" w14:textId="378A0E64" w:rsidR="008D3857" w:rsidRPr="003242E9" w:rsidRDefault="008D3857" w:rsidP="008D3857">
            <w:pPr>
              <w:jc w:val="center"/>
              <w:rPr>
                <w:b w:val="0"/>
                <w:bCs w:val="0"/>
                <w:sz w:val="20"/>
                <w:szCs w:val="20"/>
              </w:rPr>
            </w:pPr>
            <w:r w:rsidRPr="003242E9">
              <w:rPr>
                <w:rFonts w:cs="Calibri"/>
                <w:b w:val="0"/>
                <w:bCs w:val="0"/>
                <w:sz w:val="20"/>
                <w:szCs w:val="20"/>
                <w:lang w:eastAsia="zh-CN"/>
              </w:rPr>
              <w:t>Fukuyama, et al. (2021)</w:t>
            </w:r>
          </w:p>
        </w:tc>
        <w:tc>
          <w:tcPr>
            <w:tcW w:w="1014" w:type="pct"/>
          </w:tcPr>
          <w:p w14:paraId="505A85BC" w14:textId="372446AD" w:rsidR="008D3857" w:rsidRPr="00DF4A70" w:rsidRDefault="008D3857" w:rsidP="008D3857">
            <w:pPr>
              <w:jc w:val="both"/>
              <w:cnfStyle w:val="000000000000" w:firstRow="0" w:lastRow="0" w:firstColumn="0" w:lastColumn="0" w:oddVBand="0" w:evenVBand="0" w:oddHBand="0" w:evenHBand="0" w:firstRowFirstColumn="0" w:firstRowLastColumn="0" w:lastRowFirstColumn="0" w:lastRowLastColumn="0"/>
              <w:rPr>
                <w:sz w:val="20"/>
                <w:szCs w:val="20"/>
              </w:rPr>
            </w:pPr>
            <w:r w:rsidRPr="00A40D09">
              <w:rPr>
                <w:sz w:val="20"/>
                <w:szCs w:val="20"/>
              </w:rPr>
              <w:t>the impact of CSR on bank efficiency</w:t>
            </w:r>
          </w:p>
        </w:tc>
        <w:tc>
          <w:tcPr>
            <w:tcW w:w="1216" w:type="pct"/>
          </w:tcPr>
          <w:p w14:paraId="3BC94CF2" w14:textId="1A4AF5D7" w:rsidR="008D3857" w:rsidRPr="00907FC2"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sidRPr="00A40D09">
              <w:rPr>
                <w:rFonts w:eastAsia="Arial Unicode MS" w:cs="Arial Unicode MS"/>
                <w:color w:val="000000" w:themeColor="text1"/>
                <w:sz w:val="20"/>
                <w:szCs w:val="20"/>
                <w:lang w:eastAsia="zh-CN"/>
              </w:rPr>
              <w:t>Indirect technical efficiency</w:t>
            </w:r>
            <w:r>
              <w:rPr>
                <w:rFonts w:eastAsia="Arial Unicode MS" w:cs="Arial Unicode MS"/>
                <w:color w:val="000000" w:themeColor="text1"/>
                <w:sz w:val="20"/>
                <w:szCs w:val="20"/>
                <w:lang w:eastAsia="zh-CN"/>
              </w:rPr>
              <w:t xml:space="preserve">, </w:t>
            </w:r>
            <w:proofErr w:type="gramStart"/>
            <w:r w:rsidRPr="00A40D09">
              <w:rPr>
                <w:rFonts w:eastAsia="Arial Unicode MS" w:cs="Arial Unicode MS"/>
                <w:color w:val="000000" w:themeColor="text1"/>
                <w:sz w:val="20"/>
                <w:szCs w:val="20"/>
                <w:lang w:eastAsia="zh-CN"/>
              </w:rPr>
              <w:t>Technical</w:t>
            </w:r>
            <w:proofErr w:type="gramEnd"/>
            <w:r w:rsidRPr="00A40D09">
              <w:rPr>
                <w:rFonts w:eastAsia="Arial Unicode MS" w:cs="Arial Unicode MS"/>
                <w:color w:val="000000" w:themeColor="text1"/>
                <w:sz w:val="20"/>
                <w:szCs w:val="20"/>
                <w:lang w:eastAsia="zh-CN"/>
              </w:rPr>
              <w:t xml:space="preserve"> efficiency</w:t>
            </w:r>
            <w:r>
              <w:rPr>
                <w:rFonts w:eastAsia="Arial Unicode MS" w:cs="Arial Unicode MS"/>
                <w:color w:val="000000" w:themeColor="text1"/>
                <w:sz w:val="20"/>
                <w:szCs w:val="20"/>
                <w:lang w:eastAsia="zh-CN"/>
              </w:rPr>
              <w:t xml:space="preserve">, </w:t>
            </w:r>
            <w:r w:rsidRPr="00A40D09">
              <w:rPr>
                <w:rFonts w:eastAsia="Arial Unicode MS" w:cs="Arial Unicode MS"/>
                <w:color w:val="000000" w:themeColor="text1"/>
                <w:sz w:val="20"/>
                <w:szCs w:val="20"/>
                <w:lang w:eastAsia="zh-CN"/>
              </w:rPr>
              <w:t>Indirect allocative efficiency</w:t>
            </w:r>
          </w:p>
        </w:tc>
        <w:tc>
          <w:tcPr>
            <w:tcW w:w="1103" w:type="pct"/>
          </w:tcPr>
          <w:p w14:paraId="53A746EE" w14:textId="30F5A0B9" w:rsidR="008D3857" w:rsidRPr="00A40D09"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A40D09">
              <w:rPr>
                <w:rFonts w:eastAsiaTheme="minorEastAsia"/>
                <w:sz w:val="20"/>
                <w:szCs w:val="20"/>
                <w:lang w:eastAsia="zh-CN"/>
              </w:rPr>
              <w:t>Donations (reflecting social contribution)</w:t>
            </w:r>
            <w:r>
              <w:rPr>
                <w:rFonts w:eastAsiaTheme="minorEastAsia"/>
                <w:sz w:val="20"/>
                <w:szCs w:val="20"/>
                <w:lang w:eastAsia="zh-CN"/>
              </w:rPr>
              <w:t xml:space="preserve">, </w:t>
            </w:r>
          </w:p>
          <w:p w14:paraId="53590D6C" w14:textId="257C11D6" w:rsidR="008D3857" w:rsidRPr="00A40D09"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A40D09">
              <w:rPr>
                <w:rFonts w:eastAsiaTheme="minorEastAsia"/>
                <w:sz w:val="20"/>
                <w:szCs w:val="20"/>
                <w:lang w:eastAsia="zh-CN"/>
              </w:rPr>
              <w:t>Balance of green credit (reflecting environmental responsibility)</w:t>
            </w:r>
            <w:r>
              <w:rPr>
                <w:rFonts w:eastAsiaTheme="minorEastAsia"/>
                <w:sz w:val="20"/>
                <w:szCs w:val="20"/>
                <w:lang w:eastAsia="zh-CN"/>
              </w:rPr>
              <w:t xml:space="preserve">, </w:t>
            </w:r>
          </w:p>
          <w:p w14:paraId="3499BCFA" w14:textId="1A64D6D5" w:rsidR="008D3857" w:rsidRPr="00DF4A70" w:rsidRDefault="008D3857"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A40D09">
              <w:rPr>
                <w:rFonts w:eastAsiaTheme="minorEastAsia"/>
                <w:sz w:val="20"/>
                <w:szCs w:val="20"/>
                <w:lang w:eastAsia="zh-CN"/>
              </w:rPr>
              <w:t>Loans to Small and Medium-sized enterprises (SMEs)</w:t>
            </w:r>
          </w:p>
        </w:tc>
      </w:tr>
      <w:tr w:rsidR="008D3857" w:rsidRPr="00CE5391" w14:paraId="04DCDD8B"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32F6BB08" w14:textId="36608EFA" w:rsidR="008D3857" w:rsidRPr="00EF20BD" w:rsidRDefault="003242E9" w:rsidP="008D3857">
            <w:pPr>
              <w:jc w:val="center"/>
              <w:rPr>
                <w:b w:val="0"/>
                <w:bCs w:val="0"/>
                <w:sz w:val="20"/>
                <w:szCs w:val="20"/>
              </w:rPr>
            </w:pPr>
            <w:r w:rsidRPr="003242E9">
              <w:rPr>
                <w:b w:val="0"/>
                <w:bCs w:val="0"/>
                <w:sz w:val="20"/>
                <w:szCs w:val="20"/>
              </w:rPr>
              <w:t>Dong et al. (2016)</w:t>
            </w:r>
          </w:p>
        </w:tc>
        <w:tc>
          <w:tcPr>
            <w:tcW w:w="1014" w:type="pct"/>
          </w:tcPr>
          <w:p w14:paraId="3E72015E" w14:textId="35B088F1" w:rsidR="008D3857" w:rsidRPr="005F2933" w:rsidRDefault="005F2933"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216" w:type="pct"/>
          </w:tcPr>
          <w:p w14:paraId="36AB365C" w14:textId="0076521A" w:rsidR="008D3857" w:rsidRPr="00907FC2" w:rsidRDefault="005F2933" w:rsidP="008D3857">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n</w:t>
            </w:r>
            <w:r>
              <w:rPr>
                <w:rFonts w:eastAsia="Arial Unicode MS" w:cs="Arial Unicode MS"/>
                <w:color w:val="000000" w:themeColor="text1"/>
                <w:sz w:val="20"/>
                <w:szCs w:val="20"/>
                <w:lang w:eastAsia="zh-CN"/>
              </w:rPr>
              <w:t>/a</w:t>
            </w:r>
          </w:p>
        </w:tc>
        <w:tc>
          <w:tcPr>
            <w:tcW w:w="1103" w:type="pct"/>
          </w:tcPr>
          <w:p w14:paraId="61513EA3" w14:textId="5A3BF52D" w:rsidR="008D3857" w:rsidRPr="00DF4A70" w:rsidRDefault="005F2933"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8D3857" w:rsidRPr="00CE5391" w14:paraId="374D6B7A"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29C19276" w14:textId="00C09C17" w:rsidR="008D3857" w:rsidRPr="00EF20BD" w:rsidRDefault="00C414AD" w:rsidP="008D3857">
            <w:pPr>
              <w:jc w:val="center"/>
              <w:rPr>
                <w:b w:val="0"/>
                <w:bCs w:val="0"/>
                <w:sz w:val="20"/>
                <w:szCs w:val="20"/>
              </w:rPr>
            </w:pPr>
            <w:r w:rsidRPr="00C414AD">
              <w:rPr>
                <w:b w:val="0"/>
                <w:bCs w:val="0"/>
                <w:sz w:val="20"/>
                <w:szCs w:val="20"/>
              </w:rPr>
              <w:t>Luo et al. (2011)</w:t>
            </w:r>
          </w:p>
        </w:tc>
        <w:tc>
          <w:tcPr>
            <w:tcW w:w="1014" w:type="pct"/>
          </w:tcPr>
          <w:p w14:paraId="021C7078" w14:textId="47628F1F" w:rsidR="008D3857" w:rsidRPr="00DF4A70" w:rsidRDefault="00A35BAF" w:rsidP="008D3857">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Theme="minorEastAsia" w:eastAsiaTheme="minorEastAsia" w:hAnsiTheme="minorEastAsia" w:hint="eastAsia"/>
                <w:sz w:val="20"/>
                <w:szCs w:val="20"/>
                <w:lang w:eastAsia="zh-CN"/>
              </w:rPr>
              <w:t>n</w:t>
            </w:r>
            <w:r>
              <w:rPr>
                <w:sz w:val="20"/>
                <w:szCs w:val="20"/>
              </w:rPr>
              <w:t>/a</w:t>
            </w:r>
          </w:p>
        </w:tc>
        <w:tc>
          <w:tcPr>
            <w:tcW w:w="1216" w:type="pct"/>
          </w:tcPr>
          <w:p w14:paraId="18135688" w14:textId="347EF56E" w:rsidR="008D3857" w:rsidRPr="00907FC2" w:rsidRDefault="00A35BAF" w:rsidP="008D3857">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n</w:t>
            </w:r>
            <w:r>
              <w:rPr>
                <w:rFonts w:eastAsia="Arial Unicode MS" w:cs="Arial Unicode MS"/>
                <w:color w:val="000000" w:themeColor="text1"/>
                <w:sz w:val="20"/>
                <w:szCs w:val="20"/>
                <w:lang w:eastAsia="zh-CN"/>
              </w:rPr>
              <w:t>/a</w:t>
            </w:r>
          </w:p>
        </w:tc>
        <w:tc>
          <w:tcPr>
            <w:tcW w:w="1103" w:type="pct"/>
          </w:tcPr>
          <w:p w14:paraId="38EB55F5" w14:textId="17442855" w:rsidR="008D3857" w:rsidRPr="00DF4A70" w:rsidRDefault="00A35BAF"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631ED8" w:rsidRPr="00CE5391" w14:paraId="4C9378AB"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6450A1A3" w14:textId="19D88636" w:rsidR="00631ED8" w:rsidRPr="00EE2037" w:rsidRDefault="00EE2037" w:rsidP="008D3857">
            <w:pPr>
              <w:jc w:val="center"/>
              <w:rPr>
                <w:b w:val="0"/>
                <w:bCs w:val="0"/>
                <w:sz w:val="20"/>
                <w:szCs w:val="20"/>
              </w:rPr>
            </w:pPr>
            <w:r w:rsidRPr="00EE2037">
              <w:rPr>
                <w:b w:val="0"/>
                <w:bCs w:val="0"/>
                <w:sz w:val="20"/>
                <w:szCs w:val="20"/>
              </w:rPr>
              <w:t>Antunes et al. (2022)</w:t>
            </w:r>
          </w:p>
        </w:tc>
        <w:tc>
          <w:tcPr>
            <w:tcW w:w="1014" w:type="pct"/>
          </w:tcPr>
          <w:p w14:paraId="3B2EC00C" w14:textId="45245C92" w:rsidR="00752D40" w:rsidRPr="00752D40" w:rsidRDefault="00752D40" w:rsidP="00752D40">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sidRPr="00752D40">
              <w:rPr>
                <w:rFonts w:eastAsia="Arial Unicode MS" w:cs="Arial Unicode MS"/>
                <w:color w:val="000000" w:themeColor="text1"/>
                <w:sz w:val="20"/>
                <w:szCs w:val="20"/>
                <w:lang w:eastAsia="zh-CN"/>
              </w:rPr>
              <w:t>B</w:t>
            </w:r>
            <w:r w:rsidRPr="00752D40">
              <w:rPr>
                <w:rFonts w:eastAsia="Arial Unicode MS" w:cs="Arial Unicode MS"/>
                <w:color w:val="000000" w:themeColor="text1"/>
                <w:sz w:val="20"/>
                <w:szCs w:val="20"/>
                <w:lang w:eastAsia="zh-CN"/>
              </w:rPr>
              <w:t>ank</w:t>
            </w:r>
            <w:r>
              <w:rPr>
                <w:rFonts w:eastAsia="Arial Unicode MS" w:cs="Arial Unicode MS" w:hint="eastAsia"/>
                <w:color w:val="000000" w:themeColor="text1"/>
                <w:sz w:val="20"/>
                <w:szCs w:val="20"/>
                <w:lang w:eastAsia="zh-CN"/>
              </w:rPr>
              <w:t xml:space="preserve"> </w:t>
            </w:r>
            <w:r w:rsidRPr="00752D40">
              <w:rPr>
                <w:rFonts w:eastAsia="Arial Unicode MS" w:cs="Arial Unicode MS"/>
                <w:color w:val="000000" w:themeColor="text1"/>
                <w:sz w:val="20"/>
                <w:szCs w:val="20"/>
                <w:lang w:eastAsia="zh-CN"/>
              </w:rPr>
              <w:t>profitability, bank size, expenses</w:t>
            </w:r>
            <w:r>
              <w:rPr>
                <w:rFonts w:eastAsia="Arial Unicode MS" w:cs="Arial Unicode MS"/>
                <w:color w:val="000000" w:themeColor="text1"/>
                <w:sz w:val="20"/>
                <w:szCs w:val="20"/>
                <w:lang w:eastAsia="zh-CN"/>
              </w:rPr>
              <w:t xml:space="preserve"> </w:t>
            </w:r>
            <w:r w:rsidRPr="00752D40">
              <w:rPr>
                <w:rFonts w:eastAsia="Arial Unicode MS" w:cs="Arial Unicode MS"/>
                <w:color w:val="000000" w:themeColor="text1"/>
                <w:sz w:val="20"/>
                <w:szCs w:val="20"/>
                <w:lang w:eastAsia="zh-CN"/>
              </w:rPr>
              <w:t>management, traditional business and non-traditional</w:t>
            </w:r>
          </w:p>
          <w:p w14:paraId="0455DEF5" w14:textId="0B8A5B56" w:rsidR="00631ED8" w:rsidRDefault="00752D40" w:rsidP="00752D40">
            <w:pPr>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lang w:eastAsia="zh-CN"/>
              </w:rPr>
            </w:pPr>
            <w:r w:rsidRPr="00752D40">
              <w:rPr>
                <w:rFonts w:eastAsia="Arial Unicode MS" w:cs="Arial Unicode MS"/>
                <w:color w:val="000000" w:themeColor="text1"/>
                <w:sz w:val="20"/>
                <w:szCs w:val="20"/>
                <w:lang w:eastAsia="zh-CN"/>
              </w:rPr>
              <w:t>business</w:t>
            </w:r>
          </w:p>
        </w:tc>
        <w:tc>
          <w:tcPr>
            <w:tcW w:w="1216" w:type="pct"/>
          </w:tcPr>
          <w:p w14:paraId="6D571054" w14:textId="47FCA42C" w:rsidR="00631ED8" w:rsidRDefault="00752D40" w:rsidP="008D3857">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sidRPr="00752D40">
              <w:rPr>
                <w:rFonts w:eastAsia="Arial Unicode MS" w:cs="Arial Unicode MS"/>
                <w:color w:val="000000" w:themeColor="text1"/>
                <w:sz w:val="20"/>
                <w:szCs w:val="20"/>
                <w:lang w:eastAsia="zh-CN"/>
              </w:rPr>
              <w:t>technical</w:t>
            </w:r>
            <w:r w:rsidR="00B632BE" w:rsidRPr="00B632BE">
              <w:rPr>
                <w:rFonts w:eastAsia="Arial Unicode MS" w:cs="Arial Unicode MS"/>
                <w:color w:val="000000" w:themeColor="text1"/>
                <w:sz w:val="20"/>
                <w:szCs w:val="20"/>
                <w:lang w:eastAsia="zh-CN"/>
              </w:rPr>
              <w:t xml:space="preserve"> efficiency</w:t>
            </w:r>
          </w:p>
        </w:tc>
        <w:tc>
          <w:tcPr>
            <w:tcW w:w="1103" w:type="pct"/>
          </w:tcPr>
          <w:p w14:paraId="302C7814" w14:textId="77777777" w:rsidR="00B632BE" w:rsidRPr="00B632BE"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bank size (natural</w:t>
            </w:r>
          </w:p>
          <w:p w14:paraId="612D31A0" w14:textId="77777777" w:rsidR="00B632BE"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logarithm of total assets),</w:t>
            </w:r>
          </w:p>
          <w:p w14:paraId="2C699D68" w14:textId="77777777" w:rsidR="00B632BE"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 xml:space="preserve"> bank profitability (return on assets),</w:t>
            </w:r>
          </w:p>
          <w:p w14:paraId="35076D36" w14:textId="1DD5C169" w:rsidR="00B632BE" w:rsidRPr="00B632BE"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 xml:space="preserve"> expense management (the</w:t>
            </w:r>
          </w:p>
          <w:p w14:paraId="78F57134" w14:textId="77777777" w:rsidR="00B632BE" w:rsidRPr="00B632BE"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sum of total interest expenses and non-interest expenses over total assets); traditional bank</w:t>
            </w:r>
          </w:p>
          <w:p w14:paraId="7B04C7C1" w14:textId="77777777" w:rsidR="00B632BE" w:rsidRPr="00B632BE"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 xml:space="preserve">business (the ratio of interest income to total assets); and </w:t>
            </w:r>
            <w:r w:rsidRPr="00B632BE">
              <w:rPr>
                <w:rFonts w:eastAsiaTheme="minorEastAsia"/>
                <w:sz w:val="20"/>
                <w:szCs w:val="20"/>
                <w:lang w:eastAsia="zh-CN"/>
              </w:rPr>
              <w:lastRenderedPageBreak/>
              <w:t>non-traditional bank business (the</w:t>
            </w:r>
          </w:p>
          <w:p w14:paraId="401A509D" w14:textId="01703EAA" w:rsidR="00631ED8" w:rsidRDefault="00B632BE" w:rsidP="00B632BE">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sidRPr="00B632BE">
              <w:rPr>
                <w:rFonts w:eastAsiaTheme="minorEastAsia"/>
                <w:sz w:val="20"/>
                <w:szCs w:val="20"/>
                <w:lang w:eastAsia="zh-CN"/>
              </w:rPr>
              <w:t>ratio of non-interest operating income to total assets).</w:t>
            </w:r>
          </w:p>
        </w:tc>
      </w:tr>
      <w:tr w:rsidR="00631ED8" w:rsidRPr="00CE5391" w14:paraId="0A8B22A7"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50890599" w14:textId="250925E6" w:rsidR="00631ED8" w:rsidRPr="009E1275" w:rsidRDefault="00B429DD" w:rsidP="008D3857">
            <w:pPr>
              <w:jc w:val="center"/>
              <w:rPr>
                <w:b w:val="0"/>
                <w:bCs w:val="0"/>
                <w:sz w:val="20"/>
                <w:szCs w:val="20"/>
              </w:rPr>
            </w:pPr>
            <w:proofErr w:type="spellStart"/>
            <w:r w:rsidRPr="009E1275">
              <w:rPr>
                <w:b w:val="0"/>
                <w:bCs w:val="0"/>
                <w:sz w:val="20"/>
                <w:szCs w:val="20"/>
              </w:rPr>
              <w:lastRenderedPageBreak/>
              <w:t>Bingquan</w:t>
            </w:r>
            <w:proofErr w:type="spellEnd"/>
            <w:r w:rsidRPr="009E1275">
              <w:rPr>
                <w:b w:val="0"/>
                <w:bCs w:val="0"/>
                <w:sz w:val="20"/>
                <w:szCs w:val="20"/>
              </w:rPr>
              <w:t xml:space="preserve"> et al. (2019)</w:t>
            </w:r>
          </w:p>
        </w:tc>
        <w:tc>
          <w:tcPr>
            <w:tcW w:w="1014" w:type="pct"/>
          </w:tcPr>
          <w:p w14:paraId="33A89161" w14:textId="43C4487C" w:rsidR="00631ED8" w:rsidRDefault="009E1275" w:rsidP="008D3857">
            <w:pPr>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lang w:eastAsia="zh-CN"/>
              </w:rPr>
            </w:pPr>
            <w:r>
              <w:rPr>
                <w:rFonts w:asciiTheme="minorEastAsia" w:eastAsiaTheme="minorEastAsia" w:hAnsiTheme="minorEastAsia" w:hint="eastAsia"/>
                <w:sz w:val="20"/>
                <w:szCs w:val="20"/>
                <w:lang w:eastAsia="zh-CN"/>
              </w:rPr>
              <w:t>n</w:t>
            </w:r>
            <w:r>
              <w:rPr>
                <w:rFonts w:asciiTheme="minorEastAsia" w:eastAsiaTheme="minorEastAsia" w:hAnsiTheme="minorEastAsia"/>
                <w:sz w:val="20"/>
                <w:szCs w:val="20"/>
                <w:lang w:eastAsia="zh-CN"/>
              </w:rPr>
              <w:t>/a</w:t>
            </w:r>
          </w:p>
        </w:tc>
        <w:tc>
          <w:tcPr>
            <w:tcW w:w="1216" w:type="pct"/>
          </w:tcPr>
          <w:p w14:paraId="64DE0510" w14:textId="32D61E61" w:rsidR="00631ED8" w:rsidRDefault="009E1275" w:rsidP="008D3857">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n</w:t>
            </w:r>
            <w:r>
              <w:rPr>
                <w:rFonts w:eastAsia="Arial Unicode MS" w:cs="Arial Unicode MS"/>
                <w:color w:val="000000" w:themeColor="text1"/>
                <w:sz w:val="20"/>
                <w:szCs w:val="20"/>
                <w:lang w:eastAsia="zh-CN"/>
              </w:rPr>
              <w:t>/a</w:t>
            </w:r>
          </w:p>
        </w:tc>
        <w:tc>
          <w:tcPr>
            <w:tcW w:w="1103" w:type="pct"/>
          </w:tcPr>
          <w:p w14:paraId="347513F3" w14:textId="385AD939" w:rsidR="00631ED8" w:rsidRDefault="009E1275" w:rsidP="008D3857">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805E0C" w:rsidRPr="00CE5391" w14:paraId="4B203F38"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16BD1E30" w14:textId="79F20F78" w:rsidR="00805E0C" w:rsidRPr="00C414AD" w:rsidRDefault="00805E0C" w:rsidP="00805E0C">
            <w:pPr>
              <w:jc w:val="center"/>
              <w:rPr>
                <w:sz w:val="20"/>
                <w:szCs w:val="20"/>
              </w:rPr>
            </w:pPr>
            <w:r w:rsidRPr="00BD66CC">
              <w:rPr>
                <w:sz w:val="20"/>
                <w:szCs w:val="20"/>
              </w:rPr>
              <w:t>Luo et al. (2010)</w:t>
            </w:r>
          </w:p>
        </w:tc>
        <w:tc>
          <w:tcPr>
            <w:tcW w:w="1014" w:type="pct"/>
          </w:tcPr>
          <w:p w14:paraId="703BCFC8" w14:textId="306A8F90"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216" w:type="pct"/>
          </w:tcPr>
          <w:p w14:paraId="419F1C46" w14:textId="0312655A"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n</w:t>
            </w:r>
            <w:r>
              <w:rPr>
                <w:rFonts w:eastAsia="Arial Unicode MS" w:cs="Arial Unicode MS"/>
                <w:color w:val="000000" w:themeColor="text1"/>
                <w:sz w:val="20"/>
                <w:szCs w:val="20"/>
                <w:lang w:eastAsia="zh-CN"/>
              </w:rPr>
              <w:t>/a</w:t>
            </w:r>
          </w:p>
        </w:tc>
        <w:tc>
          <w:tcPr>
            <w:tcW w:w="1103" w:type="pct"/>
          </w:tcPr>
          <w:p w14:paraId="100C8392" w14:textId="73C6DF98"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805E0C" w:rsidRPr="00CE5391" w14:paraId="02DFEA9B"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2F26369D" w14:textId="77777777" w:rsidR="00805E0C" w:rsidRPr="00C414AD" w:rsidRDefault="00805E0C" w:rsidP="00805E0C">
            <w:pPr>
              <w:jc w:val="center"/>
              <w:rPr>
                <w:sz w:val="20"/>
                <w:szCs w:val="20"/>
              </w:rPr>
            </w:pPr>
          </w:p>
        </w:tc>
        <w:tc>
          <w:tcPr>
            <w:tcW w:w="1014" w:type="pct"/>
          </w:tcPr>
          <w:p w14:paraId="6809F4C2"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lang w:eastAsia="zh-CN"/>
              </w:rPr>
            </w:pPr>
          </w:p>
        </w:tc>
        <w:tc>
          <w:tcPr>
            <w:tcW w:w="1216" w:type="pct"/>
          </w:tcPr>
          <w:p w14:paraId="60FF9A81"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p>
        </w:tc>
        <w:tc>
          <w:tcPr>
            <w:tcW w:w="1103" w:type="pct"/>
          </w:tcPr>
          <w:p w14:paraId="48D73382"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p>
        </w:tc>
      </w:tr>
      <w:tr w:rsidR="00805E0C" w:rsidRPr="00CE5391" w14:paraId="6CB7BCF8"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6337F0C2" w14:textId="77777777" w:rsidR="00805E0C" w:rsidRPr="00C414AD" w:rsidRDefault="00805E0C" w:rsidP="00805E0C">
            <w:pPr>
              <w:jc w:val="center"/>
              <w:rPr>
                <w:sz w:val="20"/>
                <w:szCs w:val="20"/>
              </w:rPr>
            </w:pPr>
          </w:p>
        </w:tc>
        <w:tc>
          <w:tcPr>
            <w:tcW w:w="1014" w:type="pct"/>
          </w:tcPr>
          <w:p w14:paraId="741C2202"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lang w:eastAsia="zh-CN"/>
              </w:rPr>
            </w:pPr>
          </w:p>
        </w:tc>
        <w:tc>
          <w:tcPr>
            <w:tcW w:w="1216" w:type="pct"/>
          </w:tcPr>
          <w:p w14:paraId="7651AE45"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p>
        </w:tc>
        <w:tc>
          <w:tcPr>
            <w:tcW w:w="1103" w:type="pct"/>
          </w:tcPr>
          <w:p w14:paraId="36977D89"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p>
        </w:tc>
      </w:tr>
      <w:tr w:rsidR="00805E0C" w:rsidRPr="00CE5391" w14:paraId="55A18675" w14:textId="77777777" w:rsidTr="00B429DD">
        <w:trPr>
          <w:trHeight w:val="320"/>
        </w:trPr>
        <w:tc>
          <w:tcPr>
            <w:cnfStyle w:val="001000000000" w:firstRow="0" w:lastRow="0" w:firstColumn="1" w:lastColumn="0" w:oddVBand="0" w:evenVBand="0" w:oddHBand="0" w:evenHBand="0" w:firstRowFirstColumn="0" w:firstRowLastColumn="0" w:lastRowFirstColumn="0" w:lastRowLastColumn="0"/>
            <w:tcW w:w="1667" w:type="pct"/>
          </w:tcPr>
          <w:p w14:paraId="5FD96BE1" w14:textId="77777777" w:rsidR="00805E0C" w:rsidRPr="00C414AD" w:rsidRDefault="00805E0C" w:rsidP="00805E0C">
            <w:pPr>
              <w:jc w:val="center"/>
              <w:rPr>
                <w:sz w:val="20"/>
                <w:szCs w:val="20"/>
              </w:rPr>
            </w:pPr>
          </w:p>
        </w:tc>
        <w:tc>
          <w:tcPr>
            <w:tcW w:w="1014" w:type="pct"/>
          </w:tcPr>
          <w:p w14:paraId="330C8542"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0"/>
                <w:szCs w:val="20"/>
                <w:lang w:eastAsia="zh-CN"/>
              </w:rPr>
            </w:pPr>
          </w:p>
        </w:tc>
        <w:tc>
          <w:tcPr>
            <w:tcW w:w="1216" w:type="pct"/>
          </w:tcPr>
          <w:p w14:paraId="02610BBF"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themeColor="text1"/>
                <w:sz w:val="20"/>
                <w:szCs w:val="20"/>
                <w:lang w:eastAsia="zh-CN"/>
              </w:rPr>
            </w:pPr>
          </w:p>
        </w:tc>
        <w:tc>
          <w:tcPr>
            <w:tcW w:w="1103" w:type="pct"/>
          </w:tcPr>
          <w:p w14:paraId="600C5EE6" w14:textId="77777777" w:rsidR="00805E0C" w:rsidRDefault="00805E0C" w:rsidP="00805E0C">
            <w:pPr>
              <w:jc w:val="both"/>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zh-CN"/>
              </w:rPr>
            </w:pPr>
          </w:p>
        </w:tc>
      </w:tr>
    </w:tbl>
    <w:p w14:paraId="6C83BD16" w14:textId="77777777" w:rsidR="00980FBF" w:rsidRDefault="00980FBF" w:rsidP="00980FBF">
      <w:pPr>
        <w:pStyle w:val="ListParagraph"/>
        <w:ind w:left="360"/>
        <w:jc w:val="both"/>
        <w:rPr>
          <w:rFonts w:ascii="Calibri" w:eastAsia="Calibri" w:hAnsi="Calibri" w:cs="Calibri"/>
          <w:sz w:val="20"/>
          <w:szCs w:val="20"/>
        </w:rPr>
      </w:pPr>
    </w:p>
    <w:p w14:paraId="14F9E28A" w14:textId="77777777" w:rsidR="00980FBF" w:rsidRPr="00CE5391" w:rsidRDefault="00980FBF" w:rsidP="00980FBF">
      <w:pPr>
        <w:pStyle w:val="ListParagraph"/>
        <w:spacing w:after="0"/>
        <w:ind w:left="360"/>
        <w:jc w:val="both"/>
        <w:rPr>
          <w:rFonts w:ascii="Calibri" w:eastAsia="Calibri" w:hAnsi="Calibri" w:cs="Calibri"/>
          <w:sz w:val="20"/>
          <w:szCs w:val="20"/>
        </w:rPr>
      </w:pPr>
      <w:r w:rsidRPr="00CE5391">
        <w:rPr>
          <w:rFonts w:ascii="Calibri" w:eastAsia="Calibri" w:hAnsi="Calibri" w:cs="Calibri"/>
          <w:b/>
          <w:bCs/>
          <w:sz w:val="20"/>
          <w:szCs w:val="20"/>
        </w:rPr>
        <w:t>Table 6:</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Environmental variables used in three-stage analyses</w:t>
      </w:r>
      <w:r w:rsidRPr="00CE5391">
        <w:rPr>
          <w:rFonts w:ascii="Calibri" w:eastAsia="Calibri" w:hAnsi="Calibri" w:cs="Calibri"/>
          <w:sz w:val="20"/>
          <w:szCs w:val="20"/>
        </w:rPr>
        <w:t xml:space="preserve"> for assessing the efficiency profiles of DMUs </w:t>
      </w:r>
      <w:r w:rsidRPr="00CE5391">
        <w:rPr>
          <w:rFonts w:ascii="Calibri" w:eastAsia="Calibri" w:hAnsi="Calibri" w:cs="Calibri"/>
          <w:sz w:val="20"/>
          <w:szCs w:val="20"/>
          <w:u w:val="single"/>
        </w:rPr>
        <w:t>and the perspective that shapes the choice of these variables</w:t>
      </w:r>
      <w:r w:rsidRPr="00CE5391">
        <w:rPr>
          <w:rFonts w:ascii="Calibri" w:eastAsia="Calibri" w:hAnsi="Calibri" w:cs="Calibri"/>
          <w:sz w:val="20"/>
          <w:szCs w:val="20"/>
        </w:rPr>
        <w:t>; i.e., the perspective from which the analysis is performed &amp; environmental variables are chosen – we shall refer to this perspective as the environment perspective and should reflect the internal environment characteristics, the external environment characteristics, or both (</w:t>
      </w:r>
      <w:r w:rsidRPr="00CE5391">
        <w:rPr>
          <w:rFonts w:ascii="Calibri" w:eastAsia="Calibri" w:hAnsi="Calibri" w:cs="Calibri"/>
          <w:sz w:val="20"/>
          <w:szCs w:val="20"/>
          <w:u w:val="single"/>
        </w:rPr>
        <w:t>guidelines</w:t>
      </w:r>
      <w:r w:rsidRPr="00CE5391">
        <w:rPr>
          <w:rFonts w:ascii="Calibri" w:eastAsia="Calibri" w:hAnsi="Calibri" w:cs="Calibri"/>
          <w:sz w:val="20"/>
          <w:szCs w:val="20"/>
        </w:rPr>
        <w:t xml:space="preserve">: you are required to provide the list of environmental variables used by the authors in each reference; papers not using a three-stage analysis and thus not considering environmental variables should not be included in this table – recall that a three-stage analysis purges the efficiency scores from the effect of the environment, which requires the use of environmental variables. </w:t>
      </w:r>
      <w:proofErr w:type="spellStart"/>
      <w:r w:rsidRPr="00CE5391">
        <w:rPr>
          <w:rFonts w:ascii="Calibri" w:eastAsia="Calibri" w:hAnsi="Calibri" w:cs="Calibri"/>
          <w:sz w:val="20"/>
          <w:szCs w:val="20"/>
        </w:rPr>
        <w:t>Analyse</w:t>
      </w:r>
      <w:proofErr w:type="spellEnd"/>
      <w:r w:rsidRPr="00CE5391">
        <w:rPr>
          <w:rFonts w:ascii="Calibri" w:eastAsia="Calibri" w:hAnsi="Calibri" w:cs="Calibri"/>
          <w:sz w:val="20"/>
          <w:szCs w:val="20"/>
        </w:rPr>
        <w:t xml:space="preserve"> this table by perspective and for each perspective classify environmental variables in meaningful categories and discuss them in the main text)</w:t>
      </w:r>
    </w:p>
    <w:tbl>
      <w:tblPr>
        <w:tblStyle w:val="TableGrid"/>
        <w:tblW w:w="4803" w:type="pct"/>
        <w:tblInd w:w="355" w:type="dxa"/>
        <w:tblLook w:val="04A0" w:firstRow="1" w:lastRow="0" w:firstColumn="1" w:lastColumn="0" w:noHBand="0" w:noVBand="1"/>
      </w:tblPr>
      <w:tblGrid>
        <w:gridCol w:w="2992"/>
        <w:gridCol w:w="2828"/>
        <w:gridCol w:w="3162"/>
      </w:tblGrid>
      <w:tr w:rsidR="00980FBF" w:rsidRPr="00CE5391" w14:paraId="5573C01E" w14:textId="77777777" w:rsidTr="008D3857">
        <w:trPr>
          <w:trHeight w:val="284"/>
        </w:trPr>
        <w:tc>
          <w:tcPr>
            <w:tcW w:w="1666" w:type="pct"/>
          </w:tcPr>
          <w:p w14:paraId="51749130" w14:textId="77777777" w:rsidR="00980FBF" w:rsidRPr="00CE5391" w:rsidRDefault="00980FBF" w:rsidP="00DC1865">
            <w:pPr>
              <w:jc w:val="center"/>
              <w:rPr>
                <w:rFonts w:cs="Calibri"/>
                <w:b/>
                <w:bCs/>
                <w:sz w:val="20"/>
                <w:szCs w:val="20"/>
              </w:rPr>
            </w:pPr>
            <w:r w:rsidRPr="00CE5391">
              <w:rPr>
                <w:rFonts w:cs="Calibri"/>
                <w:b/>
                <w:bCs/>
                <w:sz w:val="20"/>
                <w:szCs w:val="20"/>
              </w:rPr>
              <w:t>Reference</w:t>
            </w:r>
          </w:p>
        </w:tc>
        <w:tc>
          <w:tcPr>
            <w:tcW w:w="1574" w:type="pct"/>
          </w:tcPr>
          <w:p w14:paraId="7FF2BC18" w14:textId="77777777" w:rsidR="00980FBF" w:rsidRPr="00CE5391" w:rsidRDefault="00980FBF" w:rsidP="00DC1865">
            <w:pPr>
              <w:jc w:val="center"/>
              <w:rPr>
                <w:rFonts w:cs="Calibri"/>
                <w:b/>
                <w:bCs/>
                <w:sz w:val="20"/>
                <w:szCs w:val="20"/>
              </w:rPr>
            </w:pPr>
            <w:r w:rsidRPr="00CE5391">
              <w:rPr>
                <w:rFonts w:cs="Calibri"/>
                <w:b/>
                <w:bCs/>
                <w:sz w:val="20"/>
                <w:szCs w:val="20"/>
              </w:rPr>
              <w:t>Environment Perspective</w:t>
            </w:r>
          </w:p>
        </w:tc>
        <w:tc>
          <w:tcPr>
            <w:tcW w:w="1760" w:type="pct"/>
          </w:tcPr>
          <w:p w14:paraId="1E26E6DF" w14:textId="77777777" w:rsidR="00980FBF" w:rsidRPr="00CE5391" w:rsidRDefault="00980FBF" w:rsidP="00DC1865">
            <w:pPr>
              <w:jc w:val="center"/>
              <w:rPr>
                <w:rFonts w:cs="Calibri"/>
                <w:b/>
                <w:bCs/>
                <w:sz w:val="20"/>
                <w:szCs w:val="20"/>
              </w:rPr>
            </w:pPr>
            <w:r w:rsidRPr="00CE5391">
              <w:rPr>
                <w:rFonts w:cs="Calibri"/>
                <w:b/>
                <w:bCs/>
                <w:sz w:val="20"/>
                <w:szCs w:val="20"/>
              </w:rPr>
              <w:t>Environmental Variables</w:t>
            </w:r>
          </w:p>
        </w:tc>
      </w:tr>
      <w:tr w:rsidR="00AB1BD9" w:rsidRPr="00CE5391" w14:paraId="3CE6D66D" w14:textId="77777777" w:rsidTr="008D3857">
        <w:trPr>
          <w:trHeight w:val="284"/>
        </w:trPr>
        <w:tc>
          <w:tcPr>
            <w:tcW w:w="1666" w:type="pct"/>
          </w:tcPr>
          <w:p w14:paraId="549E2733" w14:textId="201B4F91" w:rsidR="00AB1BD9" w:rsidRPr="00CE5391" w:rsidRDefault="00CC1490" w:rsidP="00AB1BD9">
            <w:pPr>
              <w:jc w:val="center"/>
              <w:rPr>
                <w:rFonts w:cs="Calibri"/>
                <w:sz w:val="20"/>
                <w:szCs w:val="20"/>
                <w:lang w:eastAsia="zh-CN"/>
              </w:rPr>
            </w:pPr>
            <w:r w:rsidRPr="00CC1490">
              <w:rPr>
                <w:rFonts w:cs="Calibri"/>
                <w:sz w:val="20"/>
                <w:szCs w:val="20"/>
                <w:lang w:val="en-US" w:eastAsia="zh-CN"/>
              </w:rPr>
              <w:t>Matthews, et al. (2010)</w:t>
            </w:r>
          </w:p>
        </w:tc>
        <w:tc>
          <w:tcPr>
            <w:tcW w:w="1574" w:type="pct"/>
          </w:tcPr>
          <w:p w14:paraId="5252A35F" w14:textId="46F4F686" w:rsidR="00AB1BD9" w:rsidRPr="00CE5391" w:rsidRDefault="00CC1490" w:rsidP="00AB1BD9">
            <w:pPr>
              <w:jc w:val="both"/>
              <w:rPr>
                <w:rFonts w:cs="Calibri"/>
                <w:sz w:val="20"/>
                <w:szCs w:val="20"/>
              </w:rPr>
            </w:pPr>
            <w:r>
              <w:rPr>
                <w:rFonts w:eastAsiaTheme="minorEastAsia"/>
                <w:sz w:val="20"/>
                <w:szCs w:val="20"/>
                <w:lang w:eastAsia="zh-CN"/>
              </w:rPr>
              <w:t>n/a</w:t>
            </w:r>
          </w:p>
        </w:tc>
        <w:tc>
          <w:tcPr>
            <w:tcW w:w="1760" w:type="pct"/>
          </w:tcPr>
          <w:p w14:paraId="4752572B" w14:textId="1E3A79C2" w:rsidR="00AB1BD9" w:rsidRPr="00CE5391" w:rsidRDefault="00CC1490" w:rsidP="00AB1BD9">
            <w:pPr>
              <w:jc w:val="both"/>
              <w:rPr>
                <w:rFonts w:cs="Calibri"/>
                <w:sz w:val="20"/>
                <w:szCs w:val="20"/>
              </w:rPr>
            </w:pPr>
            <w:r>
              <w:rPr>
                <w:sz w:val="20"/>
                <w:szCs w:val="20"/>
              </w:rPr>
              <w:t>n/a</w:t>
            </w:r>
          </w:p>
        </w:tc>
      </w:tr>
      <w:tr w:rsidR="00580D53" w:rsidRPr="00CE5391" w14:paraId="4EDEC5F0" w14:textId="77777777" w:rsidTr="008D3857">
        <w:trPr>
          <w:trHeight w:val="284"/>
        </w:trPr>
        <w:tc>
          <w:tcPr>
            <w:tcW w:w="1666" w:type="pct"/>
          </w:tcPr>
          <w:p w14:paraId="7EBCEA36" w14:textId="067E8DF8" w:rsidR="00580D53" w:rsidRPr="00CE5391" w:rsidRDefault="00580D53" w:rsidP="00580D53">
            <w:pPr>
              <w:jc w:val="center"/>
              <w:rPr>
                <w:rFonts w:cs="Calibri"/>
                <w:sz w:val="20"/>
                <w:szCs w:val="20"/>
                <w:lang w:eastAsia="zh-CN"/>
              </w:rPr>
            </w:pPr>
            <w:r w:rsidRPr="00AB1BD9">
              <w:rPr>
                <w:rFonts w:cs="Calibri"/>
                <w:sz w:val="20"/>
                <w:szCs w:val="20"/>
                <w:lang w:val="en-US" w:eastAsia="zh-CN"/>
              </w:rPr>
              <w:t xml:space="preserve">Hou, </w:t>
            </w:r>
            <w:r w:rsidRPr="008D3857">
              <w:rPr>
                <w:rFonts w:cs="Calibri"/>
                <w:sz w:val="20"/>
                <w:szCs w:val="20"/>
                <w:lang w:val="en-US" w:eastAsia="zh-CN"/>
              </w:rPr>
              <w:t>et</w:t>
            </w:r>
            <w:r>
              <w:rPr>
                <w:rFonts w:cs="Calibri"/>
                <w:sz w:val="20"/>
                <w:szCs w:val="20"/>
                <w:lang w:val="en-US" w:eastAsia="zh-CN"/>
              </w:rPr>
              <w:t xml:space="preserve"> al. </w:t>
            </w:r>
            <w:r w:rsidRPr="00AB1BD9">
              <w:rPr>
                <w:rFonts w:cs="Calibri"/>
                <w:sz w:val="20"/>
                <w:szCs w:val="20"/>
                <w:lang w:val="en-US" w:eastAsia="zh-CN"/>
              </w:rPr>
              <w:t>(2014)</w:t>
            </w:r>
          </w:p>
        </w:tc>
        <w:tc>
          <w:tcPr>
            <w:tcW w:w="1574" w:type="pct"/>
          </w:tcPr>
          <w:p w14:paraId="307218EC" w14:textId="5F13A756" w:rsidR="00580D53" w:rsidRPr="00CE5391" w:rsidRDefault="00580D53" w:rsidP="00580D53">
            <w:pPr>
              <w:jc w:val="both"/>
              <w:rPr>
                <w:rFonts w:cs="Calibri"/>
                <w:sz w:val="20"/>
                <w:szCs w:val="20"/>
              </w:rPr>
            </w:pPr>
            <w:r>
              <w:rPr>
                <w:rFonts w:eastAsiaTheme="minorEastAsia"/>
                <w:sz w:val="20"/>
                <w:szCs w:val="20"/>
                <w:lang w:eastAsia="zh-CN"/>
              </w:rPr>
              <w:t>n/a</w:t>
            </w:r>
          </w:p>
        </w:tc>
        <w:tc>
          <w:tcPr>
            <w:tcW w:w="1760" w:type="pct"/>
          </w:tcPr>
          <w:p w14:paraId="2432E097" w14:textId="5F965FF3" w:rsidR="00580D53" w:rsidRPr="00927C4B" w:rsidRDefault="00580D53" w:rsidP="00580D53">
            <w:pPr>
              <w:jc w:val="both"/>
              <w:rPr>
                <w:rFonts w:cs="Calibri"/>
                <w:sz w:val="20"/>
                <w:szCs w:val="20"/>
              </w:rPr>
            </w:pPr>
            <w:r>
              <w:rPr>
                <w:rFonts w:eastAsiaTheme="minorEastAsia"/>
                <w:sz w:val="20"/>
                <w:szCs w:val="20"/>
                <w:lang w:eastAsia="zh-CN"/>
              </w:rPr>
              <w:t>n/a</w:t>
            </w:r>
          </w:p>
        </w:tc>
      </w:tr>
      <w:tr w:rsidR="00580D53" w:rsidRPr="00CE5391" w14:paraId="648411DD" w14:textId="77777777" w:rsidTr="008D3857">
        <w:trPr>
          <w:trHeight w:val="284"/>
        </w:trPr>
        <w:tc>
          <w:tcPr>
            <w:tcW w:w="1666" w:type="pct"/>
          </w:tcPr>
          <w:p w14:paraId="22F4A5C1" w14:textId="1C0E0187" w:rsidR="00580D53" w:rsidRPr="00EF20BD" w:rsidRDefault="00580D53" w:rsidP="00580D53">
            <w:pPr>
              <w:jc w:val="center"/>
              <w:rPr>
                <w:rFonts w:cs="Calibri"/>
                <w:sz w:val="20"/>
                <w:szCs w:val="20"/>
                <w:lang w:eastAsia="zh-CN"/>
              </w:rPr>
            </w:pPr>
            <w:r w:rsidRPr="00AB1BD9">
              <w:rPr>
                <w:rFonts w:cs="Calibri"/>
                <w:sz w:val="20"/>
                <w:szCs w:val="20"/>
                <w:lang w:eastAsia="zh-CN"/>
              </w:rPr>
              <w:t>Fukuyama,</w:t>
            </w:r>
            <w:r>
              <w:rPr>
                <w:rFonts w:cs="Calibri"/>
                <w:sz w:val="20"/>
                <w:szCs w:val="20"/>
                <w:lang w:eastAsia="zh-CN"/>
              </w:rPr>
              <w:t xml:space="preserve"> et al.</w:t>
            </w:r>
            <w:r w:rsidRPr="00AB1BD9">
              <w:rPr>
                <w:rFonts w:cs="Calibri"/>
                <w:sz w:val="20"/>
                <w:szCs w:val="20"/>
                <w:lang w:eastAsia="zh-CN"/>
              </w:rPr>
              <w:t xml:space="preserve"> (2021)</w:t>
            </w:r>
          </w:p>
        </w:tc>
        <w:tc>
          <w:tcPr>
            <w:tcW w:w="1574" w:type="pct"/>
          </w:tcPr>
          <w:p w14:paraId="1E87A2CD" w14:textId="4E22766B" w:rsidR="00580D53" w:rsidRPr="000121A4" w:rsidRDefault="00E2745D" w:rsidP="00580D53">
            <w:pPr>
              <w:jc w:val="both"/>
              <w:rPr>
                <w:rFonts w:eastAsiaTheme="minorEastAsia"/>
                <w:sz w:val="20"/>
                <w:szCs w:val="20"/>
                <w:lang w:eastAsia="zh-CN"/>
              </w:rPr>
            </w:pPr>
            <w:r>
              <w:rPr>
                <w:rFonts w:eastAsiaTheme="minorEastAsia"/>
                <w:sz w:val="20"/>
                <w:szCs w:val="20"/>
                <w:lang w:eastAsia="zh-CN"/>
              </w:rPr>
              <w:t>n/a</w:t>
            </w:r>
          </w:p>
        </w:tc>
        <w:tc>
          <w:tcPr>
            <w:tcW w:w="1760" w:type="pct"/>
          </w:tcPr>
          <w:p w14:paraId="547D431A" w14:textId="3275E645" w:rsidR="00580D53" w:rsidRPr="000121A4" w:rsidRDefault="00E2745D" w:rsidP="00580D53">
            <w:pPr>
              <w:jc w:val="both"/>
              <w:rPr>
                <w:rFonts w:eastAsiaTheme="minorEastAsia"/>
                <w:sz w:val="20"/>
                <w:szCs w:val="20"/>
                <w:lang w:eastAsia="zh-CN"/>
              </w:rPr>
            </w:pPr>
            <w:r>
              <w:rPr>
                <w:rFonts w:eastAsiaTheme="minorEastAsia"/>
                <w:sz w:val="20"/>
                <w:szCs w:val="20"/>
                <w:lang w:eastAsia="zh-CN"/>
              </w:rPr>
              <w:t>n/a</w:t>
            </w:r>
          </w:p>
        </w:tc>
      </w:tr>
      <w:tr w:rsidR="00580D53" w:rsidRPr="00CE5391" w14:paraId="6489AE14" w14:textId="77777777" w:rsidTr="008D3857">
        <w:trPr>
          <w:trHeight w:val="284"/>
        </w:trPr>
        <w:tc>
          <w:tcPr>
            <w:tcW w:w="1666" w:type="pct"/>
          </w:tcPr>
          <w:p w14:paraId="13B03C87" w14:textId="75E20217" w:rsidR="00580D53" w:rsidRPr="00EF20BD" w:rsidRDefault="00580D53" w:rsidP="00580D53">
            <w:pPr>
              <w:jc w:val="center"/>
              <w:rPr>
                <w:rFonts w:cs="Calibri"/>
                <w:sz w:val="20"/>
                <w:szCs w:val="20"/>
                <w:lang w:eastAsia="zh-CN"/>
              </w:rPr>
            </w:pPr>
            <w:r w:rsidRPr="008D3857">
              <w:rPr>
                <w:rFonts w:cs="Calibri"/>
                <w:sz w:val="20"/>
                <w:szCs w:val="20"/>
                <w:lang w:eastAsia="zh-CN"/>
              </w:rPr>
              <w:t>Fukuyama, et al. (2021)</w:t>
            </w:r>
          </w:p>
        </w:tc>
        <w:tc>
          <w:tcPr>
            <w:tcW w:w="1574" w:type="pct"/>
          </w:tcPr>
          <w:p w14:paraId="6B0EC71B" w14:textId="2A394CB4" w:rsidR="00580D53" w:rsidRPr="000121A4" w:rsidRDefault="00580D53" w:rsidP="00580D53">
            <w:pPr>
              <w:jc w:val="both"/>
              <w:rPr>
                <w:rFonts w:eastAsiaTheme="minorEastAsia"/>
                <w:sz w:val="20"/>
                <w:szCs w:val="20"/>
                <w:lang w:eastAsia="zh-CN"/>
              </w:rPr>
            </w:pPr>
            <w:r>
              <w:rPr>
                <w:rFonts w:eastAsiaTheme="minorEastAsia"/>
                <w:sz w:val="20"/>
                <w:szCs w:val="20"/>
                <w:lang w:eastAsia="zh-CN"/>
              </w:rPr>
              <w:t>n/a</w:t>
            </w:r>
          </w:p>
        </w:tc>
        <w:tc>
          <w:tcPr>
            <w:tcW w:w="1760" w:type="pct"/>
          </w:tcPr>
          <w:p w14:paraId="30F93C43" w14:textId="23D0D879" w:rsidR="00580D53" w:rsidRPr="000121A4" w:rsidRDefault="00580D53" w:rsidP="00580D53">
            <w:pPr>
              <w:jc w:val="both"/>
              <w:rPr>
                <w:rFonts w:eastAsiaTheme="minorEastAsia"/>
                <w:sz w:val="20"/>
                <w:szCs w:val="20"/>
                <w:lang w:eastAsia="zh-CN"/>
              </w:rPr>
            </w:pPr>
            <w:r>
              <w:rPr>
                <w:rFonts w:eastAsiaTheme="minorEastAsia"/>
                <w:sz w:val="20"/>
                <w:szCs w:val="20"/>
                <w:lang w:eastAsia="zh-CN"/>
              </w:rPr>
              <w:t>n/a</w:t>
            </w:r>
          </w:p>
        </w:tc>
      </w:tr>
      <w:tr w:rsidR="00580D53" w:rsidRPr="00CE5391" w14:paraId="55E2E955" w14:textId="77777777" w:rsidTr="008D3857">
        <w:trPr>
          <w:trHeight w:val="284"/>
        </w:trPr>
        <w:tc>
          <w:tcPr>
            <w:tcW w:w="1666" w:type="pct"/>
          </w:tcPr>
          <w:p w14:paraId="4DC817EC" w14:textId="5F4293CA" w:rsidR="00580D53" w:rsidRPr="00EF20BD" w:rsidRDefault="003242E9" w:rsidP="00580D53">
            <w:pPr>
              <w:jc w:val="center"/>
              <w:rPr>
                <w:rFonts w:cs="Calibri"/>
                <w:sz w:val="20"/>
                <w:szCs w:val="20"/>
                <w:lang w:eastAsia="zh-CN"/>
              </w:rPr>
            </w:pPr>
            <w:r w:rsidRPr="003242E9">
              <w:rPr>
                <w:rFonts w:cs="Calibri"/>
                <w:sz w:val="20"/>
                <w:szCs w:val="20"/>
                <w:lang w:eastAsia="zh-CN"/>
              </w:rPr>
              <w:t>Dong et al. (2016)</w:t>
            </w:r>
          </w:p>
        </w:tc>
        <w:tc>
          <w:tcPr>
            <w:tcW w:w="1574" w:type="pct"/>
          </w:tcPr>
          <w:p w14:paraId="104A8637" w14:textId="14070CB9" w:rsidR="00580D53" w:rsidRPr="000121A4" w:rsidRDefault="005F2933"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760" w:type="pct"/>
          </w:tcPr>
          <w:p w14:paraId="160B986A" w14:textId="3D917076" w:rsidR="00580D53" w:rsidRPr="000121A4" w:rsidRDefault="005F2933"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580D53" w:rsidRPr="00CE5391" w14:paraId="2C43E689" w14:textId="77777777" w:rsidTr="008D3857">
        <w:trPr>
          <w:trHeight w:val="284"/>
        </w:trPr>
        <w:tc>
          <w:tcPr>
            <w:tcW w:w="1666" w:type="pct"/>
          </w:tcPr>
          <w:p w14:paraId="5037AEDB" w14:textId="6B2BC523" w:rsidR="00580D53" w:rsidRPr="00EF20BD" w:rsidRDefault="00C414AD" w:rsidP="00580D53">
            <w:pPr>
              <w:jc w:val="center"/>
              <w:rPr>
                <w:rFonts w:cs="Calibri"/>
                <w:sz w:val="20"/>
                <w:szCs w:val="20"/>
                <w:lang w:eastAsia="zh-CN"/>
              </w:rPr>
            </w:pPr>
            <w:r w:rsidRPr="00C414AD">
              <w:rPr>
                <w:rFonts w:cs="Calibri"/>
                <w:sz w:val="20"/>
                <w:szCs w:val="20"/>
                <w:lang w:eastAsia="zh-CN"/>
              </w:rPr>
              <w:t>Luo</w:t>
            </w:r>
            <w:r>
              <w:rPr>
                <w:rFonts w:cs="Calibri"/>
                <w:sz w:val="20"/>
                <w:szCs w:val="20"/>
                <w:lang w:eastAsia="zh-CN"/>
              </w:rPr>
              <w:t xml:space="preserve"> et al. (2011)</w:t>
            </w:r>
          </w:p>
        </w:tc>
        <w:tc>
          <w:tcPr>
            <w:tcW w:w="1574" w:type="pct"/>
          </w:tcPr>
          <w:p w14:paraId="033BF016" w14:textId="2A872EAD" w:rsidR="00580D53" w:rsidRPr="000121A4" w:rsidRDefault="00A35BAF" w:rsidP="00580D53">
            <w:pPr>
              <w:jc w:val="both"/>
              <w:rPr>
                <w:rFonts w:eastAsiaTheme="minorEastAsia"/>
                <w:sz w:val="20"/>
                <w:szCs w:val="20"/>
                <w:lang w:eastAsia="zh-CN"/>
              </w:rPr>
            </w:pPr>
            <w:r w:rsidRPr="00A35BAF">
              <w:rPr>
                <w:rFonts w:eastAsiaTheme="minorEastAsia"/>
                <w:sz w:val="20"/>
                <w:szCs w:val="20"/>
                <w:lang w:eastAsia="zh-CN"/>
              </w:rPr>
              <w:t>n/a</w:t>
            </w:r>
          </w:p>
        </w:tc>
        <w:tc>
          <w:tcPr>
            <w:tcW w:w="1760" w:type="pct"/>
          </w:tcPr>
          <w:p w14:paraId="2D763E61" w14:textId="20508D04" w:rsidR="00580D53" w:rsidRPr="000121A4" w:rsidRDefault="00A35BAF" w:rsidP="00580D53">
            <w:pPr>
              <w:jc w:val="both"/>
              <w:rPr>
                <w:rFonts w:eastAsiaTheme="minorEastAsia"/>
                <w:sz w:val="20"/>
                <w:szCs w:val="20"/>
                <w:lang w:eastAsia="zh-CN"/>
              </w:rPr>
            </w:pPr>
            <w:r w:rsidRPr="00A35BAF">
              <w:rPr>
                <w:rFonts w:eastAsiaTheme="minorEastAsia"/>
                <w:sz w:val="20"/>
                <w:szCs w:val="20"/>
                <w:lang w:eastAsia="zh-CN"/>
              </w:rPr>
              <w:t>n/a</w:t>
            </w:r>
          </w:p>
        </w:tc>
      </w:tr>
      <w:tr w:rsidR="00631ED8" w:rsidRPr="00CE5391" w14:paraId="76EA4815" w14:textId="77777777" w:rsidTr="008D3857">
        <w:trPr>
          <w:trHeight w:val="284"/>
        </w:trPr>
        <w:tc>
          <w:tcPr>
            <w:tcW w:w="1666" w:type="pct"/>
          </w:tcPr>
          <w:p w14:paraId="71ADB77D" w14:textId="31B04709" w:rsidR="00631ED8" w:rsidRPr="00C414AD" w:rsidRDefault="00EE2037" w:rsidP="00580D53">
            <w:pPr>
              <w:jc w:val="center"/>
              <w:rPr>
                <w:rFonts w:cs="Calibri"/>
                <w:sz w:val="20"/>
                <w:szCs w:val="20"/>
                <w:lang w:eastAsia="zh-CN"/>
              </w:rPr>
            </w:pPr>
            <w:r w:rsidRPr="00EE2037">
              <w:rPr>
                <w:rFonts w:cs="Calibri"/>
                <w:sz w:val="20"/>
                <w:szCs w:val="20"/>
                <w:lang w:eastAsia="zh-CN"/>
              </w:rPr>
              <w:t>Antunes et al. (2022)</w:t>
            </w:r>
          </w:p>
        </w:tc>
        <w:tc>
          <w:tcPr>
            <w:tcW w:w="1574" w:type="pct"/>
          </w:tcPr>
          <w:p w14:paraId="30652169" w14:textId="252B0299" w:rsidR="00631ED8" w:rsidRPr="00A35BAF" w:rsidRDefault="00EE2037"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760" w:type="pct"/>
          </w:tcPr>
          <w:p w14:paraId="32BF7B4F" w14:textId="3AFB2584" w:rsidR="00631ED8" w:rsidRPr="00A35BAF" w:rsidRDefault="00EE2037"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631ED8" w:rsidRPr="00CE5391" w14:paraId="7BFBEBC1" w14:textId="77777777" w:rsidTr="008D3857">
        <w:trPr>
          <w:trHeight w:val="284"/>
        </w:trPr>
        <w:tc>
          <w:tcPr>
            <w:tcW w:w="1666" w:type="pct"/>
          </w:tcPr>
          <w:p w14:paraId="14DC4B49" w14:textId="02A33E3A" w:rsidR="00631ED8" w:rsidRPr="00C414AD" w:rsidRDefault="00B429DD" w:rsidP="00580D53">
            <w:pPr>
              <w:jc w:val="center"/>
              <w:rPr>
                <w:rFonts w:cs="Calibri"/>
                <w:sz w:val="20"/>
                <w:szCs w:val="20"/>
                <w:lang w:eastAsia="zh-CN"/>
              </w:rPr>
            </w:pPr>
            <w:proofErr w:type="spellStart"/>
            <w:r w:rsidRPr="00B429DD">
              <w:rPr>
                <w:rFonts w:cs="Calibri"/>
                <w:sz w:val="20"/>
                <w:szCs w:val="20"/>
                <w:lang w:eastAsia="zh-CN"/>
              </w:rPr>
              <w:t>Bingquan</w:t>
            </w:r>
            <w:proofErr w:type="spellEnd"/>
            <w:r w:rsidRPr="00B429DD">
              <w:rPr>
                <w:rFonts w:cs="Calibri"/>
                <w:sz w:val="20"/>
                <w:szCs w:val="20"/>
                <w:lang w:eastAsia="zh-CN"/>
              </w:rPr>
              <w:t xml:space="preserve"> et al. (2019)</w:t>
            </w:r>
          </w:p>
        </w:tc>
        <w:tc>
          <w:tcPr>
            <w:tcW w:w="1574" w:type="pct"/>
          </w:tcPr>
          <w:p w14:paraId="6240FA85" w14:textId="296DAB34" w:rsidR="00631ED8" w:rsidRPr="00A35BAF" w:rsidRDefault="00B429DD"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760" w:type="pct"/>
          </w:tcPr>
          <w:p w14:paraId="71D7B9B3" w14:textId="752ABC38" w:rsidR="00631ED8" w:rsidRPr="00A35BAF" w:rsidRDefault="00B429DD" w:rsidP="00580D53">
            <w:pPr>
              <w:jc w:val="both"/>
              <w:rPr>
                <w:rFonts w:eastAsiaTheme="minorEastAsia"/>
                <w:sz w:val="20"/>
                <w:szCs w:val="20"/>
                <w:lang w:eastAsia="zh-CN"/>
              </w:rPr>
            </w:pPr>
            <w:r w:rsidRPr="00B429DD">
              <w:rPr>
                <w:rFonts w:eastAsiaTheme="minorEastAsia"/>
                <w:sz w:val="20"/>
                <w:szCs w:val="20"/>
                <w:lang w:eastAsia="zh-CN"/>
              </w:rPr>
              <w:t>n/a</w:t>
            </w:r>
          </w:p>
        </w:tc>
      </w:tr>
      <w:tr w:rsidR="00631ED8" w:rsidRPr="00CE5391" w14:paraId="0819CDBF" w14:textId="77777777" w:rsidTr="008D3857">
        <w:trPr>
          <w:trHeight w:val="284"/>
        </w:trPr>
        <w:tc>
          <w:tcPr>
            <w:tcW w:w="1666" w:type="pct"/>
          </w:tcPr>
          <w:p w14:paraId="0A904254" w14:textId="3E26E0F3" w:rsidR="00631ED8" w:rsidRPr="00C414AD" w:rsidRDefault="00BD66CC" w:rsidP="00580D53">
            <w:pPr>
              <w:jc w:val="center"/>
              <w:rPr>
                <w:rFonts w:cs="Calibri"/>
                <w:sz w:val="20"/>
                <w:szCs w:val="20"/>
                <w:lang w:eastAsia="zh-CN"/>
              </w:rPr>
            </w:pPr>
            <w:r w:rsidRPr="00BD66CC">
              <w:rPr>
                <w:rFonts w:cs="Calibri"/>
                <w:sz w:val="20"/>
                <w:szCs w:val="20"/>
                <w:lang w:eastAsia="zh-CN"/>
              </w:rPr>
              <w:t>Luo et al. (2010)</w:t>
            </w:r>
          </w:p>
        </w:tc>
        <w:tc>
          <w:tcPr>
            <w:tcW w:w="1574" w:type="pct"/>
          </w:tcPr>
          <w:p w14:paraId="5B4D43B1" w14:textId="73B8C9D5" w:rsidR="00631ED8" w:rsidRPr="00A35BAF" w:rsidRDefault="00BD66CC"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c>
          <w:tcPr>
            <w:tcW w:w="1760" w:type="pct"/>
          </w:tcPr>
          <w:p w14:paraId="3E2AB977" w14:textId="5C217809" w:rsidR="00631ED8" w:rsidRPr="00A35BAF" w:rsidRDefault="00BD66CC" w:rsidP="00580D53">
            <w:pPr>
              <w:jc w:val="both"/>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/a</w:t>
            </w:r>
          </w:p>
        </w:tc>
      </w:tr>
      <w:tr w:rsidR="00631ED8" w:rsidRPr="00CE5391" w14:paraId="2C400B95" w14:textId="77777777" w:rsidTr="008D3857">
        <w:trPr>
          <w:trHeight w:val="284"/>
        </w:trPr>
        <w:tc>
          <w:tcPr>
            <w:tcW w:w="1666" w:type="pct"/>
          </w:tcPr>
          <w:p w14:paraId="60F6BEC0" w14:textId="77777777" w:rsidR="00631ED8" w:rsidRPr="00C414AD" w:rsidRDefault="00631ED8" w:rsidP="00580D53">
            <w:pPr>
              <w:jc w:val="center"/>
              <w:rPr>
                <w:rFonts w:cs="Calibri"/>
                <w:sz w:val="20"/>
                <w:szCs w:val="20"/>
                <w:lang w:eastAsia="zh-CN"/>
              </w:rPr>
            </w:pPr>
          </w:p>
        </w:tc>
        <w:tc>
          <w:tcPr>
            <w:tcW w:w="1574" w:type="pct"/>
          </w:tcPr>
          <w:p w14:paraId="7500A596" w14:textId="77777777" w:rsidR="00631ED8" w:rsidRPr="00A35BAF" w:rsidRDefault="00631ED8" w:rsidP="00580D53">
            <w:pPr>
              <w:jc w:val="both"/>
              <w:rPr>
                <w:rFonts w:eastAsiaTheme="minorEastAsia"/>
                <w:sz w:val="20"/>
                <w:szCs w:val="20"/>
                <w:lang w:eastAsia="zh-CN"/>
              </w:rPr>
            </w:pPr>
          </w:p>
        </w:tc>
        <w:tc>
          <w:tcPr>
            <w:tcW w:w="1760" w:type="pct"/>
          </w:tcPr>
          <w:p w14:paraId="34DD6387" w14:textId="77777777" w:rsidR="00631ED8" w:rsidRPr="00A35BAF" w:rsidRDefault="00631ED8" w:rsidP="00580D53">
            <w:pPr>
              <w:jc w:val="both"/>
              <w:rPr>
                <w:rFonts w:eastAsiaTheme="minorEastAsia"/>
                <w:sz w:val="20"/>
                <w:szCs w:val="20"/>
                <w:lang w:eastAsia="zh-CN"/>
              </w:rPr>
            </w:pPr>
          </w:p>
        </w:tc>
      </w:tr>
      <w:tr w:rsidR="00631ED8" w:rsidRPr="00CE5391" w14:paraId="082292BC" w14:textId="77777777" w:rsidTr="008D3857">
        <w:trPr>
          <w:trHeight w:val="284"/>
        </w:trPr>
        <w:tc>
          <w:tcPr>
            <w:tcW w:w="1666" w:type="pct"/>
          </w:tcPr>
          <w:p w14:paraId="30092F4B" w14:textId="77777777" w:rsidR="00631ED8" w:rsidRPr="00C414AD" w:rsidRDefault="00631ED8" w:rsidP="00580D53">
            <w:pPr>
              <w:jc w:val="center"/>
              <w:rPr>
                <w:rFonts w:cs="Calibri"/>
                <w:sz w:val="20"/>
                <w:szCs w:val="20"/>
                <w:lang w:eastAsia="zh-CN"/>
              </w:rPr>
            </w:pPr>
          </w:p>
        </w:tc>
        <w:tc>
          <w:tcPr>
            <w:tcW w:w="1574" w:type="pct"/>
          </w:tcPr>
          <w:p w14:paraId="6B6813C1" w14:textId="77777777" w:rsidR="00631ED8" w:rsidRPr="00A35BAF" w:rsidRDefault="00631ED8" w:rsidP="00580D53">
            <w:pPr>
              <w:jc w:val="both"/>
              <w:rPr>
                <w:rFonts w:eastAsiaTheme="minorEastAsia"/>
                <w:sz w:val="20"/>
                <w:szCs w:val="20"/>
                <w:lang w:eastAsia="zh-CN"/>
              </w:rPr>
            </w:pPr>
          </w:p>
        </w:tc>
        <w:tc>
          <w:tcPr>
            <w:tcW w:w="1760" w:type="pct"/>
          </w:tcPr>
          <w:p w14:paraId="12CAC635" w14:textId="77777777" w:rsidR="00631ED8" w:rsidRPr="00A35BAF" w:rsidRDefault="00631ED8" w:rsidP="00580D53">
            <w:pPr>
              <w:jc w:val="both"/>
              <w:rPr>
                <w:rFonts w:eastAsiaTheme="minorEastAsia"/>
                <w:sz w:val="20"/>
                <w:szCs w:val="20"/>
                <w:lang w:eastAsia="zh-CN"/>
              </w:rPr>
            </w:pPr>
          </w:p>
        </w:tc>
      </w:tr>
      <w:tr w:rsidR="00631ED8" w:rsidRPr="00CE5391" w14:paraId="6A77565D" w14:textId="77777777" w:rsidTr="008D3857">
        <w:trPr>
          <w:trHeight w:val="284"/>
        </w:trPr>
        <w:tc>
          <w:tcPr>
            <w:tcW w:w="1666" w:type="pct"/>
          </w:tcPr>
          <w:p w14:paraId="3163E19B" w14:textId="77777777" w:rsidR="00631ED8" w:rsidRPr="00C414AD" w:rsidRDefault="00631ED8" w:rsidP="00580D53">
            <w:pPr>
              <w:jc w:val="center"/>
              <w:rPr>
                <w:rFonts w:cs="Calibri"/>
                <w:sz w:val="20"/>
                <w:szCs w:val="20"/>
                <w:lang w:eastAsia="zh-CN"/>
              </w:rPr>
            </w:pPr>
          </w:p>
        </w:tc>
        <w:tc>
          <w:tcPr>
            <w:tcW w:w="1574" w:type="pct"/>
          </w:tcPr>
          <w:p w14:paraId="5FD2D0B2" w14:textId="77777777" w:rsidR="00631ED8" w:rsidRPr="00A35BAF" w:rsidRDefault="00631ED8" w:rsidP="00580D53">
            <w:pPr>
              <w:jc w:val="both"/>
              <w:rPr>
                <w:rFonts w:eastAsiaTheme="minorEastAsia"/>
                <w:sz w:val="20"/>
                <w:szCs w:val="20"/>
                <w:lang w:eastAsia="zh-CN"/>
              </w:rPr>
            </w:pPr>
          </w:p>
        </w:tc>
        <w:tc>
          <w:tcPr>
            <w:tcW w:w="1760" w:type="pct"/>
          </w:tcPr>
          <w:p w14:paraId="359D3141" w14:textId="77777777" w:rsidR="00631ED8" w:rsidRPr="00A35BAF" w:rsidRDefault="00631ED8" w:rsidP="00580D53">
            <w:pPr>
              <w:jc w:val="both"/>
              <w:rPr>
                <w:rFonts w:eastAsiaTheme="minorEastAsia"/>
                <w:sz w:val="20"/>
                <w:szCs w:val="20"/>
                <w:lang w:eastAsia="zh-CN"/>
              </w:rPr>
            </w:pPr>
          </w:p>
        </w:tc>
      </w:tr>
    </w:tbl>
    <w:p w14:paraId="535C7429" w14:textId="77777777" w:rsidR="00980FBF" w:rsidRDefault="00980FBF" w:rsidP="00980FBF">
      <w:pPr>
        <w:pStyle w:val="ListParagraph"/>
        <w:ind w:left="360"/>
        <w:jc w:val="both"/>
        <w:rPr>
          <w:rFonts w:ascii="Times New Roman" w:hAnsi="Times New Roman" w:cs="Times New Roman"/>
          <w:sz w:val="24"/>
          <w:szCs w:val="24"/>
        </w:rPr>
      </w:pPr>
    </w:p>
    <w:p w14:paraId="1CE118EC" w14:textId="77777777" w:rsidR="00980FBF" w:rsidRPr="00CE5391" w:rsidRDefault="00980FBF" w:rsidP="00980FBF">
      <w:pPr>
        <w:pStyle w:val="ListParagraph"/>
        <w:spacing w:after="0" w:line="240" w:lineRule="auto"/>
        <w:ind w:left="360"/>
        <w:jc w:val="both"/>
        <w:rPr>
          <w:rFonts w:ascii="Calibri" w:eastAsia="Calibri" w:hAnsi="Calibri" w:cs="Calibri"/>
          <w:sz w:val="20"/>
          <w:szCs w:val="20"/>
        </w:rPr>
      </w:pPr>
      <w:r w:rsidRPr="00CE5391">
        <w:rPr>
          <w:rFonts w:ascii="Calibri" w:eastAsia="Calibri" w:hAnsi="Calibri" w:cs="Calibri"/>
          <w:b/>
          <w:bCs/>
          <w:sz w:val="20"/>
          <w:szCs w:val="20"/>
        </w:rPr>
        <w:t>Table 7:</w:t>
      </w:r>
      <w:r w:rsidRPr="00CE5391">
        <w:rPr>
          <w:rFonts w:ascii="Calibri" w:eastAsia="Calibri" w:hAnsi="Calibri" w:cs="Calibri"/>
          <w:sz w:val="20"/>
          <w:szCs w:val="20"/>
        </w:rPr>
        <w:t xml:space="preserve"> </w:t>
      </w:r>
      <w:r w:rsidRPr="00CE5391">
        <w:rPr>
          <w:rFonts w:ascii="Calibri" w:eastAsia="Calibri" w:hAnsi="Calibri" w:cs="Calibri"/>
          <w:sz w:val="20"/>
          <w:szCs w:val="20"/>
          <w:u w:val="single"/>
        </w:rPr>
        <w:t>Summary of Number of DMUs, Period of Analysis, Sample size, and Source(s) of Data</w:t>
      </w:r>
      <w:r w:rsidRPr="00CE5391">
        <w:rPr>
          <w:rFonts w:ascii="Calibri" w:eastAsia="Calibri" w:hAnsi="Calibri" w:cs="Calibri"/>
          <w:sz w:val="20"/>
          <w:szCs w:val="20"/>
        </w:rPr>
        <w:t xml:space="preserve"> (guidelines: </w:t>
      </w:r>
      <w:proofErr w:type="spellStart"/>
      <w:r w:rsidRPr="00CE5391">
        <w:rPr>
          <w:rFonts w:ascii="Calibri" w:eastAsia="Calibri" w:hAnsi="Calibri" w:cs="Calibri"/>
          <w:sz w:val="20"/>
          <w:szCs w:val="20"/>
        </w:rPr>
        <w:t>analyse</w:t>
      </w:r>
      <w:proofErr w:type="spellEnd"/>
      <w:r w:rsidRPr="00CE5391">
        <w:rPr>
          <w:rFonts w:ascii="Calibri" w:eastAsia="Calibri" w:hAnsi="Calibri" w:cs="Calibri"/>
          <w:sz w:val="20"/>
          <w:szCs w:val="20"/>
        </w:rPr>
        <w:t xml:space="preserve"> this table by type of DMU, when relevant, and classify them into meaningful categories and discuss them in the main text)</w:t>
      </w:r>
    </w:p>
    <w:tbl>
      <w:tblPr>
        <w:tblStyle w:val="TableGrid"/>
        <w:tblW w:w="4803" w:type="pct"/>
        <w:tblInd w:w="355" w:type="dxa"/>
        <w:tblLook w:val="04A0" w:firstRow="1" w:lastRow="0" w:firstColumn="1" w:lastColumn="0" w:noHBand="0" w:noVBand="1"/>
      </w:tblPr>
      <w:tblGrid>
        <w:gridCol w:w="2949"/>
        <w:gridCol w:w="1653"/>
        <w:gridCol w:w="1236"/>
        <w:gridCol w:w="1462"/>
        <w:gridCol w:w="1682"/>
      </w:tblGrid>
      <w:tr w:rsidR="00980FBF" w:rsidRPr="00CE5391" w14:paraId="0886D4CF" w14:textId="77777777" w:rsidTr="00CC1490">
        <w:trPr>
          <w:trHeight w:val="465"/>
        </w:trPr>
        <w:tc>
          <w:tcPr>
            <w:tcW w:w="1642" w:type="pct"/>
            <w:vAlign w:val="center"/>
          </w:tcPr>
          <w:p w14:paraId="0285C8EA" w14:textId="77777777" w:rsidR="00980FBF" w:rsidRPr="00CE5391" w:rsidRDefault="00980FBF" w:rsidP="00DC1865">
            <w:pPr>
              <w:spacing w:after="160" w:line="259" w:lineRule="auto"/>
              <w:jc w:val="center"/>
              <w:rPr>
                <w:rFonts w:cs="Calibri"/>
                <w:b/>
                <w:bCs/>
                <w:sz w:val="20"/>
                <w:szCs w:val="20"/>
                <w:lang w:eastAsia="zh-CN"/>
              </w:rPr>
            </w:pPr>
            <w:r w:rsidRPr="00CE5391">
              <w:rPr>
                <w:rFonts w:cs="Calibri"/>
                <w:b/>
                <w:bCs/>
                <w:sz w:val="20"/>
                <w:szCs w:val="20"/>
                <w:lang w:eastAsia="zh-CN"/>
              </w:rPr>
              <w:t>Reference</w:t>
            </w:r>
          </w:p>
        </w:tc>
        <w:tc>
          <w:tcPr>
            <w:tcW w:w="920" w:type="pct"/>
            <w:vAlign w:val="center"/>
          </w:tcPr>
          <w:p w14:paraId="61796ECE" w14:textId="7EBA52F3" w:rsidR="00980FBF" w:rsidRPr="00CE5391" w:rsidRDefault="00980FBF" w:rsidP="00DC1865">
            <w:pPr>
              <w:spacing w:after="160" w:line="259" w:lineRule="auto"/>
              <w:jc w:val="center"/>
              <w:rPr>
                <w:rFonts w:cs="Calibri"/>
                <w:b/>
                <w:bCs/>
                <w:sz w:val="20"/>
                <w:szCs w:val="20"/>
                <w:lang w:eastAsia="zh-CN"/>
              </w:rPr>
            </w:pPr>
            <w:r w:rsidRPr="00CE5391">
              <w:rPr>
                <w:rFonts w:cs="Calibri"/>
                <w:b/>
                <w:bCs/>
                <w:sz w:val="20"/>
                <w:szCs w:val="20"/>
                <w:lang w:eastAsia="zh-CN"/>
              </w:rPr>
              <w:t xml:space="preserve">Number of DMUs &amp; </w:t>
            </w:r>
            <w:proofErr w:type="spellStart"/>
            <w:r w:rsidRPr="00CE5391">
              <w:rPr>
                <w:rFonts w:cs="Calibri"/>
                <w:b/>
                <w:bCs/>
                <w:sz w:val="20"/>
                <w:szCs w:val="20"/>
                <w:lang w:eastAsia="zh-CN"/>
              </w:rPr>
              <w:t>th</w:t>
            </w:r>
            <w:r w:rsidR="00522F66">
              <w:rPr>
                <w:rFonts w:cs="Calibri"/>
                <w:b/>
                <w:bCs/>
                <w:sz w:val="20"/>
                <w:szCs w:val="20"/>
                <w:lang w:eastAsia="zh-CN"/>
              </w:rPr>
              <w:t>+</w:t>
            </w:r>
            <w:r w:rsidRPr="00CE5391">
              <w:rPr>
                <w:rFonts w:cs="Calibri"/>
                <w:b/>
                <w:bCs/>
                <w:sz w:val="20"/>
                <w:szCs w:val="20"/>
                <w:lang w:eastAsia="zh-CN"/>
              </w:rPr>
              <w:t>eir</w:t>
            </w:r>
            <w:proofErr w:type="spellEnd"/>
            <w:r w:rsidRPr="00CE5391">
              <w:rPr>
                <w:rFonts w:cs="Calibri"/>
                <w:b/>
                <w:bCs/>
                <w:sz w:val="20"/>
                <w:szCs w:val="20"/>
                <w:lang w:eastAsia="zh-CN"/>
              </w:rPr>
              <w:t xml:space="preserve"> country(</w:t>
            </w:r>
            <w:proofErr w:type="spellStart"/>
            <w:r w:rsidRPr="00CE5391">
              <w:rPr>
                <w:rFonts w:cs="Calibri"/>
                <w:b/>
                <w:bCs/>
                <w:sz w:val="20"/>
                <w:szCs w:val="20"/>
                <w:lang w:eastAsia="zh-CN"/>
              </w:rPr>
              <w:t>ies</w:t>
            </w:r>
            <w:proofErr w:type="spellEnd"/>
            <w:r w:rsidRPr="00CE5391">
              <w:rPr>
                <w:rFonts w:cs="Calibri"/>
                <w:b/>
                <w:bCs/>
                <w:sz w:val="20"/>
                <w:szCs w:val="20"/>
                <w:lang w:eastAsia="zh-CN"/>
              </w:rPr>
              <w:t>)</w:t>
            </w:r>
          </w:p>
        </w:tc>
        <w:tc>
          <w:tcPr>
            <w:tcW w:w="688" w:type="pct"/>
            <w:vAlign w:val="center"/>
          </w:tcPr>
          <w:p w14:paraId="0A9CBEB7" w14:textId="77777777" w:rsidR="00980FBF" w:rsidRPr="00CE5391" w:rsidRDefault="00980FBF" w:rsidP="00DC1865">
            <w:pPr>
              <w:spacing w:after="160" w:line="259" w:lineRule="auto"/>
              <w:jc w:val="center"/>
              <w:rPr>
                <w:rFonts w:cs="Calibri"/>
                <w:b/>
                <w:bCs/>
                <w:sz w:val="20"/>
                <w:szCs w:val="20"/>
                <w:lang w:eastAsia="zh-CN"/>
              </w:rPr>
            </w:pPr>
            <w:r w:rsidRPr="00CE5391">
              <w:rPr>
                <w:rFonts w:cs="Calibri"/>
                <w:b/>
                <w:bCs/>
                <w:sz w:val="20"/>
                <w:szCs w:val="20"/>
                <w:lang w:eastAsia="zh-CN"/>
              </w:rPr>
              <w:t>Period of analysis</w:t>
            </w:r>
          </w:p>
        </w:tc>
        <w:tc>
          <w:tcPr>
            <w:tcW w:w="814" w:type="pct"/>
            <w:vAlign w:val="center"/>
          </w:tcPr>
          <w:p w14:paraId="3A4D2FD9" w14:textId="77777777" w:rsidR="00980FBF" w:rsidRPr="00CE5391" w:rsidRDefault="00980FBF" w:rsidP="00DC1865">
            <w:pPr>
              <w:jc w:val="center"/>
              <w:rPr>
                <w:rFonts w:cs="Calibri"/>
                <w:b/>
                <w:bCs/>
                <w:sz w:val="20"/>
                <w:szCs w:val="20"/>
                <w:lang w:eastAsia="zh-CN"/>
              </w:rPr>
            </w:pPr>
            <w:r w:rsidRPr="00CE5391">
              <w:rPr>
                <w:rFonts w:cs="Calibri"/>
                <w:b/>
                <w:bCs/>
                <w:sz w:val="20"/>
                <w:szCs w:val="20"/>
                <w:lang w:eastAsia="zh-CN"/>
              </w:rPr>
              <w:t>Sample Size</w:t>
            </w:r>
          </w:p>
        </w:tc>
        <w:tc>
          <w:tcPr>
            <w:tcW w:w="936" w:type="pct"/>
            <w:vAlign w:val="center"/>
          </w:tcPr>
          <w:p w14:paraId="3E31689B" w14:textId="77777777" w:rsidR="00980FBF" w:rsidRPr="00CE5391" w:rsidRDefault="00980FBF" w:rsidP="00DC1865">
            <w:pPr>
              <w:jc w:val="center"/>
              <w:rPr>
                <w:rFonts w:cs="Calibri"/>
                <w:b/>
                <w:bCs/>
                <w:sz w:val="20"/>
                <w:szCs w:val="20"/>
                <w:lang w:eastAsia="zh-CN"/>
              </w:rPr>
            </w:pPr>
            <w:r w:rsidRPr="00CE5391">
              <w:rPr>
                <w:rFonts w:cs="Calibri"/>
                <w:b/>
                <w:bCs/>
                <w:sz w:val="20"/>
                <w:szCs w:val="20"/>
                <w:lang w:eastAsia="zh-CN"/>
              </w:rPr>
              <w:t>Source of Data</w:t>
            </w:r>
          </w:p>
        </w:tc>
      </w:tr>
      <w:tr w:rsidR="00AB1BD9" w:rsidRPr="00CE5391" w14:paraId="38AC1CA4" w14:textId="77777777" w:rsidTr="00CC1490">
        <w:tc>
          <w:tcPr>
            <w:tcW w:w="1642" w:type="pct"/>
          </w:tcPr>
          <w:p w14:paraId="379EBC27" w14:textId="728060C9" w:rsidR="00AB1BD9" w:rsidRPr="00CE5391" w:rsidRDefault="00CC1490" w:rsidP="00AB1BD9">
            <w:pPr>
              <w:jc w:val="center"/>
              <w:rPr>
                <w:rFonts w:cs="Calibri"/>
                <w:sz w:val="20"/>
                <w:szCs w:val="20"/>
                <w:lang w:eastAsia="zh-CN"/>
              </w:rPr>
            </w:pPr>
            <w:r w:rsidRPr="00CC1490">
              <w:rPr>
                <w:rFonts w:cs="Calibri"/>
                <w:sz w:val="20"/>
                <w:szCs w:val="20"/>
                <w:lang w:val="en-US" w:eastAsia="zh-CN"/>
              </w:rPr>
              <w:t>Matthews, et al. (2010)</w:t>
            </w:r>
          </w:p>
        </w:tc>
        <w:tc>
          <w:tcPr>
            <w:tcW w:w="920" w:type="pct"/>
            <w:vAlign w:val="center"/>
          </w:tcPr>
          <w:p w14:paraId="62D2EB6C" w14:textId="77777777" w:rsidR="00CC1490" w:rsidRPr="00CC1490" w:rsidRDefault="00CC1490" w:rsidP="00CC1490">
            <w:pPr>
              <w:jc w:val="center"/>
              <w:rPr>
                <w:rFonts w:eastAsia="Arial Unicode MS" w:cs="Arial Unicode MS"/>
                <w:color w:val="000000" w:themeColor="text1"/>
                <w:sz w:val="20"/>
                <w:szCs w:val="20"/>
              </w:rPr>
            </w:pPr>
            <w:r w:rsidRPr="00CC1490">
              <w:rPr>
                <w:rFonts w:eastAsia="Arial Unicode MS" w:cs="Arial Unicode MS"/>
                <w:color w:val="000000" w:themeColor="text1"/>
                <w:sz w:val="20"/>
                <w:szCs w:val="20"/>
              </w:rPr>
              <w:t>5 state-owned or state-controlled commercial</w:t>
            </w:r>
          </w:p>
          <w:p w14:paraId="54E88478" w14:textId="67F4739B" w:rsidR="00AB1BD9" w:rsidRPr="00CE5391" w:rsidRDefault="00CC1490" w:rsidP="00CC1490">
            <w:pPr>
              <w:jc w:val="center"/>
              <w:rPr>
                <w:rFonts w:eastAsia="Arial Unicode MS" w:cs="Arial Unicode MS"/>
                <w:color w:val="000000" w:themeColor="text1"/>
                <w:sz w:val="20"/>
                <w:szCs w:val="20"/>
              </w:rPr>
            </w:pPr>
            <w:r w:rsidRPr="00CC1490">
              <w:rPr>
                <w:rFonts w:eastAsia="Arial Unicode MS" w:cs="Arial Unicode MS"/>
                <w:color w:val="000000" w:themeColor="text1"/>
                <w:sz w:val="20"/>
                <w:szCs w:val="20"/>
              </w:rPr>
              <w:t xml:space="preserve">banks (SOCB), 9 joint-stock </w:t>
            </w:r>
            <w:r w:rsidRPr="00CC1490">
              <w:rPr>
                <w:rFonts w:eastAsia="Arial Unicode MS" w:cs="Arial Unicode MS"/>
                <w:color w:val="000000" w:themeColor="text1"/>
                <w:sz w:val="20"/>
                <w:szCs w:val="20"/>
              </w:rPr>
              <w:lastRenderedPageBreak/>
              <w:t>commercial banks (JSCB) and 47 city commercial banks (CCB)</w:t>
            </w:r>
          </w:p>
        </w:tc>
        <w:tc>
          <w:tcPr>
            <w:tcW w:w="688" w:type="pct"/>
            <w:vAlign w:val="center"/>
          </w:tcPr>
          <w:p w14:paraId="5C900F5A" w14:textId="0829D030" w:rsidR="00AB1BD9" w:rsidRPr="00CE5391" w:rsidRDefault="00CC1490" w:rsidP="00AB1BD9">
            <w:pPr>
              <w:jc w:val="center"/>
              <w:rPr>
                <w:rFonts w:eastAsia="Arial Unicode MS" w:cs="Arial Unicode MS"/>
                <w:color w:val="000000" w:themeColor="text1"/>
                <w:sz w:val="20"/>
                <w:szCs w:val="20"/>
              </w:rPr>
            </w:pPr>
            <w:r>
              <w:rPr>
                <w:rFonts w:eastAsia="Arial Unicode MS" w:cs="Arial Unicode MS"/>
                <w:color w:val="000000" w:themeColor="text1"/>
                <w:sz w:val="20"/>
                <w:szCs w:val="20"/>
              </w:rPr>
              <w:lastRenderedPageBreak/>
              <w:t>1997</w:t>
            </w:r>
            <w:r w:rsidR="00AB1BD9" w:rsidRPr="002D3781">
              <w:rPr>
                <w:rFonts w:eastAsia="Arial Unicode MS" w:cs="Arial Unicode MS"/>
                <w:color w:val="000000" w:themeColor="text1"/>
                <w:sz w:val="20"/>
                <w:szCs w:val="20"/>
              </w:rPr>
              <w:t>-20</w:t>
            </w:r>
            <w:r>
              <w:rPr>
                <w:rFonts w:eastAsia="Arial Unicode MS" w:cs="Arial Unicode MS"/>
                <w:color w:val="000000" w:themeColor="text1"/>
                <w:sz w:val="20"/>
                <w:szCs w:val="20"/>
              </w:rPr>
              <w:t>07</w:t>
            </w:r>
          </w:p>
        </w:tc>
        <w:tc>
          <w:tcPr>
            <w:tcW w:w="814" w:type="pct"/>
          </w:tcPr>
          <w:p w14:paraId="17EFC410" w14:textId="150F2C95" w:rsidR="00AB1BD9" w:rsidRPr="00CE5391" w:rsidRDefault="00CC1490" w:rsidP="00AB1BD9">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3</w:t>
            </w:r>
            <w:r>
              <w:rPr>
                <w:rFonts w:eastAsia="Arial Unicode MS" w:cs="Arial Unicode MS"/>
                <w:color w:val="000000" w:themeColor="text1"/>
                <w:sz w:val="20"/>
                <w:szCs w:val="20"/>
                <w:lang w:eastAsia="zh-CN"/>
              </w:rPr>
              <w:t>14</w:t>
            </w:r>
          </w:p>
        </w:tc>
        <w:tc>
          <w:tcPr>
            <w:tcW w:w="936" w:type="pct"/>
          </w:tcPr>
          <w:p w14:paraId="64415022" w14:textId="6EB1CE23" w:rsidR="00AB1BD9" w:rsidRPr="00CE5391" w:rsidRDefault="00CC1490" w:rsidP="00AB1BD9">
            <w:pPr>
              <w:jc w:val="center"/>
              <w:rPr>
                <w:rFonts w:eastAsia="Arial Unicode MS" w:cs="Arial Unicode MS"/>
                <w:color w:val="000000" w:themeColor="text1"/>
                <w:sz w:val="20"/>
                <w:szCs w:val="20"/>
                <w:lang w:eastAsia="zh-CN"/>
              </w:rPr>
            </w:pPr>
            <w:r w:rsidRPr="00CC1490">
              <w:rPr>
                <w:rFonts w:eastAsia="Arial Unicode MS" w:cs="Arial Unicode MS"/>
                <w:color w:val="000000" w:themeColor="text1"/>
                <w:sz w:val="20"/>
                <w:szCs w:val="20"/>
                <w:lang w:eastAsia="zh-CN"/>
              </w:rPr>
              <w:t>Fitch/</w:t>
            </w:r>
            <w:proofErr w:type="spellStart"/>
            <w:r w:rsidRPr="00CC1490">
              <w:rPr>
                <w:rFonts w:eastAsia="Arial Unicode MS" w:cs="Arial Unicode MS"/>
                <w:color w:val="000000" w:themeColor="text1"/>
                <w:sz w:val="20"/>
                <w:szCs w:val="20"/>
                <w:lang w:eastAsia="zh-CN"/>
              </w:rPr>
              <w:t>Bankscope</w:t>
            </w:r>
            <w:proofErr w:type="spellEnd"/>
          </w:p>
        </w:tc>
      </w:tr>
      <w:tr w:rsidR="008D3857" w:rsidRPr="00CE5391" w14:paraId="4BC24F51" w14:textId="77777777" w:rsidTr="00CC1490">
        <w:tc>
          <w:tcPr>
            <w:tcW w:w="1642" w:type="pct"/>
          </w:tcPr>
          <w:p w14:paraId="3DD395D2" w14:textId="22FE0A33" w:rsidR="008D3857" w:rsidRPr="00CE5391" w:rsidRDefault="008D3857" w:rsidP="008D3857">
            <w:pPr>
              <w:jc w:val="center"/>
              <w:rPr>
                <w:rFonts w:cs="Calibri"/>
                <w:sz w:val="20"/>
                <w:szCs w:val="20"/>
                <w:lang w:eastAsia="zh-CN"/>
              </w:rPr>
            </w:pPr>
            <w:r w:rsidRPr="00AB1BD9">
              <w:rPr>
                <w:rFonts w:cs="Calibri"/>
                <w:sz w:val="20"/>
                <w:szCs w:val="20"/>
                <w:lang w:val="en-US" w:eastAsia="zh-CN"/>
              </w:rPr>
              <w:t xml:space="preserve">Hou, </w:t>
            </w:r>
            <w:r w:rsidRPr="008D3857">
              <w:rPr>
                <w:rFonts w:cs="Calibri"/>
                <w:sz w:val="20"/>
                <w:szCs w:val="20"/>
                <w:lang w:val="en-US" w:eastAsia="zh-CN"/>
              </w:rPr>
              <w:t>et</w:t>
            </w:r>
            <w:r>
              <w:rPr>
                <w:rFonts w:cs="Calibri"/>
                <w:sz w:val="20"/>
                <w:szCs w:val="20"/>
                <w:lang w:val="en-US" w:eastAsia="zh-CN"/>
              </w:rPr>
              <w:t xml:space="preserve"> al. </w:t>
            </w:r>
            <w:r w:rsidRPr="00AB1BD9">
              <w:rPr>
                <w:rFonts w:cs="Calibri"/>
                <w:sz w:val="20"/>
                <w:szCs w:val="20"/>
                <w:lang w:val="en-US" w:eastAsia="zh-CN"/>
              </w:rPr>
              <w:t>(2014)</w:t>
            </w:r>
          </w:p>
        </w:tc>
        <w:tc>
          <w:tcPr>
            <w:tcW w:w="920" w:type="pct"/>
            <w:vAlign w:val="center"/>
          </w:tcPr>
          <w:p w14:paraId="11CE6A3A" w14:textId="77777777" w:rsidR="008D3857" w:rsidRPr="00EF362E" w:rsidRDefault="008D3857" w:rsidP="008D3857">
            <w:pPr>
              <w:jc w:val="center"/>
              <w:rPr>
                <w:rFonts w:eastAsia="Arial Unicode MS" w:cs="Arial Unicode MS"/>
                <w:color w:val="000000" w:themeColor="text1"/>
                <w:sz w:val="20"/>
                <w:szCs w:val="20"/>
              </w:rPr>
            </w:pPr>
            <w:r w:rsidRPr="00EF362E">
              <w:rPr>
                <w:rFonts w:eastAsia="Arial Unicode MS" w:cs="Arial Unicode MS"/>
                <w:color w:val="000000" w:themeColor="text1"/>
                <w:sz w:val="20"/>
                <w:szCs w:val="20"/>
              </w:rPr>
              <w:t>44 major Chinese</w:t>
            </w:r>
          </w:p>
          <w:p w14:paraId="792775BF" w14:textId="36CDE918" w:rsidR="008D3857" w:rsidRPr="00CE5391" w:rsidRDefault="008D3857" w:rsidP="008D3857">
            <w:pPr>
              <w:jc w:val="center"/>
              <w:rPr>
                <w:rFonts w:eastAsia="Arial Unicode MS" w:cs="Arial Unicode MS"/>
                <w:color w:val="000000" w:themeColor="text1"/>
                <w:sz w:val="20"/>
                <w:szCs w:val="20"/>
              </w:rPr>
            </w:pPr>
            <w:r w:rsidRPr="00EF362E">
              <w:rPr>
                <w:rFonts w:eastAsia="Arial Unicode MS" w:cs="Arial Unicode MS"/>
                <w:color w:val="000000" w:themeColor="text1"/>
                <w:sz w:val="20"/>
                <w:szCs w:val="20"/>
              </w:rPr>
              <w:t>commercial banks</w:t>
            </w:r>
          </w:p>
        </w:tc>
        <w:tc>
          <w:tcPr>
            <w:tcW w:w="688" w:type="pct"/>
            <w:vAlign w:val="center"/>
          </w:tcPr>
          <w:p w14:paraId="79DD2621" w14:textId="2FB64BB5" w:rsidR="008D3857" w:rsidRPr="00CE5391" w:rsidRDefault="008D3857" w:rsidP="008D3857">
            <w:pPr>
              <w:jc w:val="center"/>
              <w:rPr>
                <w:rFonts w:eastAsia="Arial Unicode MS" w:cs="Arial Unicode MS"/>
                <w:color w:val="000000" w:themeColor="text1"/>
                <w:sz w:val="20"/>
                <w:szCs w:val="20"/>
              </w:rPr>
            </w:pPr>
            <w:r w:rsidRPr="00EF362E">
              <w:rPr>
                <w:rFonts w:eastAsia="Arial Unicode MS" w:cs="Arial Unicode MS"/>
                <w:color w:val="000000" w:themeColor="text1"/>
                <w:sz w:val="20"/>
                <w:szCs w:val="20"/>
              </w:rPr>
              <w:t>2007-2011</w:t>
            </w:r>
          </w:p>
        </w:tc>
        <w:tc>
          <w:tcPr>
            <w:tcW w:w="814" w:type="pct"/>
          </w:tcPr>
          <w:p w14:paraId="340CC908" w14:textId="18B31AE2" w:rsidR="008D3857" w:rsidRPr="00CE5391" w:rsidRDefault="008D3857"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2</w:t>
            </w:r>
            <w:r>
              <w:rPr>
                <w:rFonts w:eastAsia="Arial Unicode MS" w:cs="Arial Unicode MS"/>
                <w:color w:val="000000" w:themeColor="text1"/>
                <w:sz w:val="20"/>
                <w:szCs w:val="20"/>
                <w:lang w:eastAsia="zh-CN"/>
              </w:rPr>
              <w:t>20</w:t>
            </w:r>
          </w:p>
        </w:tc>
        <w:tc>
          <w:tcPr>
            <w:tcW w:w="936" w:type="pct"/>
          </w:tcPr>
          <w:p w14:paraId="69891A49" w14:textId="48EA09DC" w:rsidR="008D3857" w:rsidRPr="00CE5391" w:rsidRDefault="008D3857" w:rsidP="008D3857">
            <w:pPr>
              <w:jc w:val="center"/>
              <w:rPr>
                <w:rFonts w:eastAsia="Arial Unicode MS" w:cs="Arial Unicode MS"/>
                <w:color w:val="000000" w:themeColor="text1"/>
                <w:sz w:val="20"/>
                <w:szCs w:val="20"/>
              </w:rPr>
            </w:pPr>
            <w:proofErr w:type="spellStart"/>
            <w:r w:rsidRPr="00EF362E">
              <w:rPr>
                <w:rFonts w:eastAsia="Arial Unicode MS" w:cs="Arial Unicode MS"/>
                <w:color w:val="000000" w:themeColor="text1"/>
                <w:sz w:val="20"/>
                <w:szCs w:val="20"/>
              </w:rPr>
              <w:t>BankScope</w:t>
            </w:r>
            <w:proofErr w:type="spellEnd"/>
            <w:r w:rsidRPr="00EF362E">
              <w:rPr>
                <w:rFonts w:eastAsia="Arial Unicode MS" w:cs="Arial Unicode MS"/>
                <w:color w:val="000000" w:themeColor="text1"/>
                <w:sz w:val="20"/>
                <w:szCs w:val="20"/>
              </w:rPr>
              <w:t xml:space="preserve"> database</w:t>
            </w:r>
          </w:p>
        </w:tc>
      </w:tr>
      <w:tr w:rsidR="008D3857" w:rsidRPr="00CE5391" w14:paraId="66152F56" w14:textId="77777777" w:rsidTr="00CC1490">
        <w:tc>
          <w:tcPr>
            <w:tcW w:w="1642" w:type="pct"/>
          </w:tcPr>
          <w:p w14:paraId="2D19C23A" w14:textId="7855109C" w:rsidR="008D3857" w:rsidRPr="00EF20BD" w:rsidRDefault="008D3857" w:rsidP="008D3857">
            <w:pPr>
              <w:jc w:val="center"/>
              <w:rPr>
                <w:rFonts w:cs="Calibri"/>
                <w:sz w:val="20"/>
                <w:szCs w:val="20"/>
                <w:lang w:eastAsia="zh-CN"/>
              </w:rPr>
            </w:pPr>
            <w:r w:rsidRPr="00AB1BD9">
              <w:rPr>
                <w:rFonts w:cs="Calibri"/>
                <w:sz w:val="20"/>
                <w:szCs w:val="20"/>
                <w:lang w:eastAsia="zh-CN"/>
              </w:rPr>
              <w:t>Fukuyama,</w:t>
            </w:r>
            <w:r>
              <w:rPr>
                <w:rFonts w:cs="Calibri"/>
                <w:sz w:val="20"/>
                <w:szCs w:val="20"/>
                <w:lang w:eastAsia="zh-CN"/>
              </w:rPr>
              <w:t xml:space="preserve"> et al.</w:t>
            </w:r>
            <w:r w:rsidRPr="00AB1BD9">
              <w:rPr>
                <w:rFonts w:cs="Calibri"/>
                <w:sz w:val="20"/>
                <w:szCs w:val="20"/>
                <w:lang w:eastAsia="zh-CN"/>
              </w:rPr>
              <w:t xml:space="preserve"> (2021)</w:t>
            </w:r>
          </w:p>
        </w:tc>
        <w:tc>
          <w:tcPr>
            <w:tcW w:w="920" w:type="pct"/>
            <w:vAlign w:val="center"/>
          </w:tcPr>
          <w:p w14:paraId="503CF014" w14:textId="2C1197AB" w:rsidR="008D3857" w:rsidRPr="00EF362E" w:rsidRDefault="008D3857" w:rsidP="008D3857">
            <w:pPr>
              <w:jc w:val="center"/>
              <w:rPr>
                <w:rFonts w:eastAsia="Arial Unicode MS" w:cs="Arial Unicode MS"/>
                <w:color w:val="000000" w:themeColor="text1"/>
                <w:sz w:val="20"/>
                <w:szCs w:val="20"/>
              </w:rPr>
            </w:pPr>
            <w:r w:rsidRPr="00927C4B">
              <w:rPr>
                <w:rFonts w:eastAsia="Arial Unicode MS" w:cs="Arial Unicode MS"/>
                <w:color w:val="000000" w:themeColor="text1"/>
                <w:sz w:val="20"/>
                <w:szCs w:val="20"/>
              </w:rPr>
              <w:t xml:space="preserve">43 </w:t>
            </w:r>
            <w:r>
              <w:rPr>
                <w:rFonts w:eastAsia="Arial Unicode MS" w:cs="Arial Unicode MS"/>
                <w:color w:val="000000" w:themeColor="text1"/>
                <w:sz w:val="20"/>
                <w:szCs w:val="20"/>
              </w:rPr>
              <w:t xml:space="preserve">Chinese </w:t>
            </w:r>
            <w:r w:rsidRPr="00927C4B">
              <w:rPr>
                <w:rFonts w:eastAsia="Arial Unicode MS" w:cs="Arial Unicode MS"/>
                <w:color w:val="000000" w:themeColor="text1"/>
                <w:sz w:val="20"/>
                <w:szCs w:val="20"/>
              </w:rPr>
              <w:t>banks</w:t>
            </w:r>
          </w:p>
        </w:tc>
        <w:tc>
          <w:tcPr>
            <w:tcW w:w="688" w:type="pct"/>
            <w:vAlign w:val="center"/>
          </w:tcPr>
          <w:p w14:paraId="4CD31445" w14:textId="52F3C277" w:rsidR="008D3857" w:rsidRPr="00EF362E" w:rsidRDefault="008D3857" w:rsidP="008D3857">
            <w:pPr>
              <w:jc w:val="center"/>
              <w:rPr>
                <w:rFonts w:eastAsia="Arial Unicode MS" w:cs="Arial Unicode MS"/>
                <w:color w:val="000000" w:themeColor="text1"/>
                <w:sz w:val="20"/>
                <w:szCs w:val="20"/>
              </w:rPr>
            </w:pPr>
            <w:r w:rsidRPr="00CA3EA5">
              <w:rPr>
                <w:rFonts w:eastAsia="Arial Unicode MS" w:cs="Arial Unicode MS"/>
                <w:color w:val="000000" w:themeColor="text1"/>
                <w:sz w:val="20"/>
                <w:szCs w:val="20"/>
              </w:rPr>
              <w:t>2010–2019</w:t>
            </w:r>
          </w:p>
        </w:tc>
        <w:tc>
          <w:tcPr>
            <w:tcW w:w="814" w:type="pct"/>
          </w:tcPr>
          <w:p w14:paraId="58BD6F36" w14:textId="30A2D99A" w:rsidR="008D3857" w:rsidRDefault="008D3857"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4</w:t>
            </w:r>
            <w:r>
              <w:rPr>
                <w:rFonts w:eastAsia="Arial Unicode MS" w:cs="Arial Unicode MS"/>
                <w:color w:val="000000" w:themeColor="text1"/>
                <w:sz w:val="20"/>
                <w:szCs w:val="20"/>
                <w:lang w:eastAsia="zh-CN"/>
              </w:rPr>
              <w:t>30</w:t>
            </w:r>
          </w:p>
        </w:tc>
        <w:tc>
          <w:tcPr>
            <w:tcW w:w="936" w:type="pct"/>
          </w:tcPr>
          <w:p w14:paraId="766043C7" w14:textId="455B09B5" w:rsidR="008D3857" w:rsidRPr="00EF362E" w:rsidRDefault="008D3857"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N</w:t>
            </w:r>
            <w:r>
              <w:rPr>
                <w:rFonts w:eastAsia="Arial Unicode MS" w:cs="Arial Unicode MS"/>
                <w:color w:val="000000" w:themeColor="text1"/>
                <w:sz w:val="20"/>
                <w:szCs w:val="20"/>
                <w:lang w:eastAsia="zh-CN"/>
              </w:rPr>
              <w:t>ot given</w:t>
            </w:r>
          </w:p>
        </w:tc>
      </w:tr>
      <w:tr w:rsidR="008D3857" w:rsidRPr="00CE5391" w14:paraId="6A751E81" w14:textId="77777777" w:rsidTr="00CC1490">
        <w:tc>
          <w:tcPr>
            <w:tcW w:w="1642" w:type="pct"/>
          </w:tcPr>
          <w:p w14:paraId="6154D457" w14:textId="16EDFFBA" w:rsidR="008D3857" w:rsidRPr="00EF20BD" w:rsidRDefault="008D3857" w:rsidP="008D3857">
            <w:pPr>
              <w:jc w:val="center"/>
              <w:rPr>
                <w:rFonts w:cs="Calibri"/>
                <w:sz w:val="20"/>
                <w:szCs w:val="20"/>
                <w:lang w:eastAsia="zh-CN"/>
              </w:rPr>
            </w:pPr>
            <w:r w:rsidRPr="008D3857">
              <w:rPr>
                <w:rFonts w:cs="Calibri"/>
                <w:sz w:val="20"/>
                <w:szCs w:val="20"/>
                <w:lang w:eastAsia="zh-CN"/>
              </w:rPr>
              <w:t>Fukuyama, et al. (2021)</w:t>
            </w:r>
          </w:p>
        </w:tc>
        <w:tc>
          <w:tcPr>
            <w:tcW w:w="920" w:type="pct"/>
            <w:vAlign w:val="center"/>
          </w:tcPr>
          <w:p w14:paraId="38DC506E" w14:textId="77777777" w:rsidR="008D3857" w:rsidRPr="00AB1BD9" w:rsidRDefault="008D3857" w:rsidP="008D3857">
            <w:pPr>
              <w:jc w:val="center"/>
              <w:rPr>
                <w:rFonts w:eastAsia="Arial Unicode MS" w:cs="Arial Unicode MS"/>
                <w:color w:val="000000" w:themeColor="text1"/>
                <w:sz w:val="20"/>
                <w:szCs w:val="20"/>
              </w:rPr>
            </w:pPr>
            <w:r w:rsidRPr="00AB1BD9">
              <w:rPr>
                <w:rFonts w:eastAsia="Arial Unicode MS" w:cs="Arial Unicode MS"/>
                <w:color w:val="000000" w:themeColor="text1"/>
                <w:sz w:val="20"/>
                <w:szCs w:val="20"/>
              </w:rPr>
              <w:t>72 Chinese commercial</w:t>
            </w:r>
          </w:p>
          <w:p w14:paraId="0E6309EA" w14:textId="77064DB5" w:rsidR="008D3857" w:rsidRPr="00EF362E" w:rsidRDefault="008D3857" w:rsidP="008D3857">
            <w:pPr>
              <w:jc w:val="center"/>
              <w:rPr>
                <w:rFonts w:eastAsia="Arial Unicode MS" w:cs="Arial Unicode MS"/>
                <w:color w:val="000000" w:themeColor="text1"/>
                <w:sz w:val="20"/>
                <w:szCs w:val="20"/>
              </w:rPr>
            </w:pPr>
            <w:r w:rsidRPr="00AB1BD9">
              <w:rPr>
                <w:rFonts w:eastAsia="Arial Unicode MS" w:cs="Arial Unicode MS"/>
                <w:color w:val="000000" w:themeColor="text1"/>
                <w:sz w:val="20"/>
                <w:szCs w:val="20"/>
              </w:rPr>
              <w:t>banks</w:t>
            </w:r>
          </w:p>
        </w:tc>
        <w:tc>
          <w:tcPr>
            <w:tcW w:w="688" w:type="pct"/>
            <w:vAlign w:val="center"/>
          </w:tcPr>
          <w:p w14:paraId="0880169A" w14:textId="19685575" w:rsidR="008D3857" w:rsidRPr="00EF362E" w:rsidRDefault="008D3857" w:rsidP="008D3857">
            <w:pPr>
              <w:jc w:val="center"/>
              <w:rPr>
                <w:rFonts w:eastAsia="Arial Unicode MS" w:cs="Arial Unicode MS"/>
                <w:color w:val="000000" w:themeColor="text1"/>
                <w:sz w:val="20"/>
                <w:szCs w:val="20"/>
              </w:rPr>
            </w:pPr>
            <w:r w:rsidRPr="00AB1BD9">
              <w:rPr>
                <w:rFonts w:eastAsia="Arial Unicode MS" w:cs="Arial Unicode MS"/>
                <w:color w:val="000000" w:themeColor="text1"/>
                <w:sz w:val="20"/>
                <w:szCs w:val="20"/>
              </w:rPr>
              <w:t>2007–2017</w:t>
            </w:r>
          </w:p>
        </w:tc>
        <w:tc>
          <w:tcPr>
            <w:tcW w:w="814" w:type="pct"/>
          </w:tcPr>
          <w:p w14:paraId="34EFB516" w14:textId="30262C09" w:rsidR="008D3857" w:rsidRDefault="008D3857"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7</w:t>
            </w:r>
            <w:r>
              <w:rPr>
                <w:rFonts w:eastAsia="Arial Unicode MS" w:cs="Arial Unicode MS"/>
                <w:color w:val="000000" w:themeColor="text1"/>
                <w:sz w:val="20"/>
                <w:szCs w:val="20"/>
                <w:lang w:eastAsia="zh-CN"/>
              </w:rPr>
              <w:t>92</w:t>
            </w:r>
          </w:p>
        </w:tc>
        <w:tc>
          <w:tcPr>
            <w:tcW w:w="936" w:type="pct"/>
          </w:tcPr>
          <w:p w14:paraId="6B02EE19" w14:textId="020AAC3E" w:rsidR="008D3857" w:rsidRPr="00EF362E" w:rsidRDefault="008D3857" w:rsidP="008D3857">
            <w:pPr>
              <w:jc w:val="center"/>
              <w:rPr>
                <w:rFonts w:eastAsia="Arial Unicode MS" w:cs="Arial Unicode MS"/>
                <w:color w:val="000000" w:themeColor="text1"/>
                <w:sz w:val="20"/>
                <w:szCs w:val="20"/>
              </w:rPr>
            </w:pPr>
            <w:r w:rsidRPr="00AB1BD9">
              <w:rPr>
                <w:rFonts w:eastAsia="Arial Unicode MS" w:cs="Arial Unicode MS"/>
                <w:color w:val="000000" w:themeColor="text1"/>
                <w:sz w:val="20"/>
                <w:szCs w:val="20"/>
              </w:rPr>
              <w:t>Fitch Connect</w:t>
            </w:r>
          </w:p>
        </w:tc>
      </w:tr>
      <w:tr w:rsidR="008D3857" w:rsidRPr="00CE5391" w14:paraId="7B93B71F" w14:textId="77777777" w:rsidTr="00CC1490">
        <w:tc>
          <w:tcPr>
            <w:tcW w:w="1642" w:type="pct"/>
          </w:tcPr>
          <w:p w14:paraId="473FA067" w14:textId="4BA1D52A" w:rsidR="008D3857" w:rsidRPr="00EF20BD" w:rsidRDefault="003242E9" w:rsidP="008D3857">
            <w:pPr>
              <w:jc w:val="center"/>
              <w:rPr>
                <w:rFonts w:cs="Calibri"/>
                <w:sz w:val="20"/>
                <w:szCs w:val="20"/>
                <w:lang w:eastAsia="zh-CN"/>
              </w:rPr>
            </w:pPr>
            <w:r w:rsidRPr="003242E9">
              <w:rPr>
                <w:rFonts w:cs="Calibri"/>
                <w:sz w:val="20"/>
                <w:szCs w:val="20"/>
                <w:lang w:eastAsia="zh-CN"/>
              </w:rPr>
              <w:t>Dong et al. (2016)</w:t>
            </w:r>
          </w:p>
        </w:tc>
        <w:tc>
          <w:tcPr>
            <w:tcW w:w="920" w:type="pct"/>
            <w:vAlign w:val="center"/>
          </w:tcPr>
          <w:p w14:paraId="6EF95ACB" w14:textId="2E10F83A" w:rsidR="008D3857" w:rsidRPr="00EF362E" w:rsidRDefault="003242E9" w:rsidP="008D3857">
            <w:pPr>
              <w:jc w:val="center"/>
              <w:rPr>
                <w:rFonts w:eastAsia="Arial Unicode MS" w:cs="Arial Unicode MS"/>
                <w:color w:val="000000" w:themeColor="text1"/>
                <w:sz w:val="20"/>
                <w:szCs w:val="20"/>
              </w:rPr>
            </w:pPr>
            <w:r w:rsidRPr="003242E9">
              <w:rPr>
                <w:rFonts w:eastAsia="Arial Unicode MS" w:cs="Arial Unicode MS"/>
                <w:color w:val="000000" w:themeColor="text1"/>
                <w:sz w:val="20"/>
                <w:szCs w:val="20"/>
              </w:rPr>
              <w:t>142 Chinese banks</w:t>
            </w:r>
          </w:p>
        </w:tc>
        <w:tc>
          <w:tcPr>
            <w:tcW w:w="688" w:type="pct"/>
            <w:vAlign w:val="center"/>
          </w:tcPr>
          <w:p w14:paraId="6F1D139B" w14:textId="06274CAA" w:rsidR="008D3857" w:rsidRPr="00EF362E" w:rsidRDefault="003242E9" w:rsidP="003242E9">
            <w:pPr>
              <w:jc w:val="center"/>
              <w:rPr>
                <w:rFonts w:eastAsia="Arial Unicode MS" w:cs="Arial Unicode MS"/>
                <w:color w:val="000000" w:themeColor="text1"/>
                <w:sz w:val="20"/>
                <w:szCs w:val="20"/>
              </w:rPr>
            </w:pPr>
            <w:r w:rsidRPr="003242E9">
              <w:rPr>
                <w:rFonts w:eastAsia="Arial Unicode MS" w:cs="Arial Unicode MS"/>
                <w:color w:val="000000" w:themeColor="text1"/>
                <w:sz w:val="20"/>
                <w:szCs w:val="20"/>
              </w:rPr>
              <w:t>2002</w:t>
            </w:r>
            <w:r>
              <w:rPr>
                <w:rFonts w:eastAsia="Arial Unicode MS" w:cs="Arial Unicode MS" w:hint="eastAsia"/>
                <w:color w:val="000000" w:themeColor="text1"/>
                <w:sz w:val="20"/>
                <w:szCs w:val="20"/>
                <w:lang w:eastAsia="zh-CN"/>
              </w:rPr>
              <w:t>-</w:t>
            </w:r>
            <w:r w:rsidRPr="003242E9">
              <w:rPr>
                <w:rFonts w:eastAsia="Arial Unicode MS" w:cs="Arial Unicode MS"/>
                <w:color w:val="000000" w:themeColor="text1"/>
                <w:sz w:val="20"/>
                <w:szCs w:val="20"/>
              </w:rPr>
              <w:t>2013</w:t>
            </w:r>
          </w:p>
        </w:tc>
        <w:tc>
          <w:tcPr>
            <w:tcW w:w="814" w:type="pct"/>
          </w:tcPr>
          <w:p w14:paraId="498616DF" w14:textId="40D98B67" w:rsidR="008D3857" w:rsidRDefault="003F6C64"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1</w:t>
            </w:r>
            <w:r>
              <w:rPr>
                <w:rFonts w:eastAsia="Arial Unicode MS" w:cs="Arial Unicode MS"/>
                <w:color w:val="000000" w:themeColor="text1"/>
                <w:sz w:val="20"/>
                <w:szCs w:val="20"/>
                <w:lang w:eastAsia="zh-CN"/>
              </w:rPr>
              <w:t>704</w:t>
            </w:r>
          </w:p>
        </w:tc>
        <w:tc>
          <w:tcPr>
            <w:tcW w:w="936" w:type="pct"/>
          </w:tcPr>
          <w:p w14:paraId="382842B4" w14:textId="45BD9CDA" w:rsidR="008D3857" w:rsidRPr="00EF362E" w:rsidRDefault="005F2933" w:rsidP="008D3857">
            <w:pPr>
              <w:jc w:val="center"/>
              <w:rPr>
                <w:rFonts w:eastAsia="Arial Unicode MS" w:cs="Arial Unicode MS"/>
                <w:color w:val="000000" w:themeColor="text1"/>
                <w:sz w:val="20"/>
                <w:szCs w:val="20"/>
              </w:rPr>
            </w:pPr>
            <w:proofErr w:type="spellStart"/>
            <w:r w:rsidRPr="005F2933">
              <w:rPr>
                <w:rFonts w:eastAsia="Arial Unicode MS" w:cs="Arial Unicode MS"/>
                <w:color w:val="000000" w:themeColor="text1"/>
                <w:sz w:val="20"/>
                <w:szCs w:val="20"/>
              </w:rPr>
              <w:t>BankScope</w:t>
            </w:r>
            <w:proofErr w:type="spellEnd"/>
          </w:p>
        </w:tc>
      </w:tr>
      <w:tr w:rsidR="008D3857" w:rsidRPr="00CE5391" w14:paraId="61B83F56" w14:textId="77777777" w:rsidTr="00CC1490">
        <w:tc>
          <w:tcPr>
            <w:tcW w:w="1642" w:type="pct"/>
          </w:tcPr>
          <w:p w14:paraId="2CACBD04" w14:textId="51A6F288" w:rsidR="008D3857" w:rsidRPr="00EF20BD" w:rsidRDefault="00C414AD" w:rsidP="008D3857">
            <w:pPr>
              <w:jc w:val="center"/>
              <w:rPr>
                <w:rFonts w:cs="Calibri"/>
                <w:sz w:val="20"/>
                <w:szCs w:val="20"/>
                <w:lang w:eastAsia="zh-CN"/>
              </w:rPr>
            </w:pPr>
            <w:r w:rsidRPr="00C414AD">
              <w:rPr>
                <w:rFonts w:cs="Calibri"/>
                <w:sz w:val="20"/>
                <w:szCs w:val="20"/>
                <w:lang w:eastAsia="zh-CN"/>
              </w:rPr>
              <w:t>Luo et al. (2011)</w:t>
            </w:r>
          </w:p>
        </w:tc>
        <w:tc>
          <w:tcPr>
            <w:tcW w:w="920" w:type="pct"/>
            <w:vAlign w:val="center"/>
          </w:tcPr>
          <w:p w14:paraId="7DB57925" w14:textId="77777777" w:rsidR="00A35BAF" w:rsidRPr="00A35BAF" w:rsidRDefault="00A35BAF" w:rsidP="00A35BAF">
            <w:pPr>
              <w:jc w:val="center"/>
              <w:rPr>
                <w:rFonts w:eastAsia="Arial Unicode MS" w:cs="Arial Unicode MS"/>
                <w:color w:val="000000" w:themeColor="text1"/>
                <w:sz w:val="20"/>
                <w:szCs w:val="20"/>
              </w:rPr>
            </w:pPr>
            <w:r w:rsidRPr="00A35BAF">
              <w:rPr>
                <w:rFonts w:eastAsia="Arial Unicode MS" w:cs="Arial Unicode MS"/>
                <w:color w:val="000000" w:themeColor="text1"/>
                <w:sz w:val="20"/>
                <w:szCs w:val="20"/>
              </w:rPr>
              <w:t>14 listed Chinese</w:t>
            </w:r>
          </w:p>
          <w:p w14:paraId="79DC0E34" w14:textId="35F570C3" w:rsidR="008D3857" w:rsidRPr="00EF362E" w:rsidRDefault="00A35BAF" w:rsidP="00A35BAF">
            <w:pPr>
              <w:jc w:val="center"/>
              <w:rPr>
                <w:rFonts w:eastAsia="Arial Unicode MS" w:cs="Arial Unicode MS"/>
                <w:color w:val="000000" w:themeColor="text1"/>
                <w:sz w:val="20"/>
                <w:szCs w:val="20"/>
              </w:rPr>
            </w:pPr>
            <w:r w:rsidRPr="00A35BAF">
              <w:rPr>
                <w:rFonts w:eastAsia="Arial Unicode MS" w:cs="Arial Unicode MS"/>
                <w:color w:val="000000" w:themeColor="text1"/>
                <w:sz w:val="20"/>
                <w:szCs w:val="20"/>
              </w:rPr>
              <w:t>commercial banks</w:t>
            </w:r>
          </w:p>
        </w:tc>
        <w:tc>
          <w:tcPr>
            <w:tcW w:w="688" w:type="pct"/>
            <w:vAlign w:val="center"/>
          </w:tcPr>
          <w:p w14:paraId="0A19D33C" w14:textId="597A14D1" w:rsidR="008D3857" w:rsidRPr="00EF362E" w:rsidRDefault="00A35BAF" w:rsidP="008D3857">
            <w:pPr>
              <w:jc w:val="center"/>
              <w:rPr>
                <w:rFonts w:eastAsia="Arial Unicode MS" w:cs="Arial Unicode MS"/>
                <w:color w:val="000000" w:themeColor="text1"/>
                <w:sz w:val="20"/>
                <w:szCs w:val="20"/>
              </w:rPr>
            </w:pPr>
            <w:r w:rsidRPr="00A35BAF">
              <w:rPr>
                <w:rFonts w:eastAsia="Arial Unicode MS" w:cs="Arial Unicode MS"/>
                <w:color w:val="000000" w:themeColor="text1"/>
                <w:sz w:val="20"/>
                <w:szCs w:val="20"/>
              </w:rPr>
              <w:t>1999–2008</w:t>
            </w:r>
          </w:p>
        </w:tc>
        <w:tc>
          <w:tcPr>
            <w:tcW w:w="814" w:type="pct"/>
          </w:tcPr>
          <w:p w14:paraId="1BC95F78" w14:textId="08A349D1" w:rsidR="008D3857" w:rsidRDefault="00A35BAF"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1</w:t>
            </w:r>
            <w:r>
              <w:rPr>
                <w:rFonts w:eastAsia="Arial Unicode MS" w:cs="Arial Unicode MS"/>
                <w:color w:val="000000" w:themeColor="text1"/>
                <w:sz w:val="20"/>
                <w:szCs w:val="20"/>
                <w:lang w:eastAsia="zh-CN"/>
              </w:rPr>
              <w:t>40</w:t>
            </w:r>
          </w:p>
        </w:tc>
        <w:tc>
          <w:tcPr>
            <w:tcW w:w="936" w:type="pct"/>
          </w:tcPr>
          <w:p w14:paraId="17603AB0" w14:textId="7D1504D9" w:rsidR="008D3857" w:rsidRPr="00EF362E" w:rsidRDefault="00A35BAF" w:rsidP="008D3857">
            <w:pPr>
              <w:jc w:val="center"/>
              <w:rPr>
                <w:rFonts w:eastAsia="Arial Unicode MS" w:cs="Arial Unicode MS"/>
                <w:color w:val="000000" w:themeColor="text1"/>
                <w:sz w:val="20"/>
                <w:szCs w:val="20"/>
              </w:rPr>
            </w:pPr>
            <w:r w:rsidRPr="00A35BAF">
              <w:rPr>
                <w:rFonts w:eastAsia="Arial Unicode MS" w:cs="Arial Unicode MS"/>
                <w:color w:val="000000" w:themeColor="text1"/>
                <w:sz w:val="20"/>
                <w:szCs w:val="20"/>
              </w:rPr>
              <w:t xml:space="preserve">Thompson’s </w:t>
            </w:r>
            <w:proofErr w:type="spellStart"/>
            <w:r w:rsidRPr="00A35BAF">
              <w:rPr>
                <w:rFonts w:eastAsia="Arial Unicode MS" w:cs="Arial Unicode MS"/>
                <w:color w:val="000000" w:themeColor="text1"/>
                <w:sz w:val="20"/>
                <w:szCs w:val="20"/>
              </w:rPr>
              <w:t>Bankscope</w:t>
            </w:r>
            <w:proofErr w:type="spellEnd"/>
          </w:p>
        </w:tc>
      </w:tr>
      <w:tr w:rsidR="00631ED8" w:rsidRPr="00CE5391" w14:paraId="215B2EB6" w14:textId="77777777" w:rsidTr="00CC1490">
        <w:tc>
          <w:tcPr>
            <w:tcW w:w="1642" w:type="pct"/>
          </w:tcPr>
          <w:p w14:paraId="724E7D22" w14:textId="1B171C3E" w:rsidR="00631ED8" w:rsidRPr="00C414AD" w:rsidRDefault="00EE2037" w:rsidP="008D3857">
            <w:pPr>
              <w:jc w:val="center"/>
              <w:rPr>
                <w:rFonts w:cs="Calibri"/>
                <w:sz w:val="20"/>
                <w:szCs w:val="20"/>
                <w:lang w:eastAsia="zh-CN"/>
              </w:rPr>
            </w:pPr>
            <w:r w:rsidRPr="00EE2037">
              <w:rPr>
                <w:rFonts w:cs="Calibri"/>
                <w:sz w:val="20"/>
                <w:szCs w:val="20"/>
                <w:lang w:eastAsia="zh-CN"/>
              </w:rPr>
              <w:t>Antunes</w:t>
            </w:r>
            <w:r>
              <w:rPr>
                <w:rFonts w:cs="Calibri"/>
                <w:sz w:val="20"/>
                <w:szCs w:val="20"/>
                <w:lang w:eastAsia="zh-CN"/>
              </w:rPr>
              <w:t xml:space="preserve"> et al. (2022)</w:t>
            </w:r>
          </w:p>
        </w:tc>
        <w:tc>
          <w:tcPr>
            <w:tcW w:w="920" w:type="pct"/>
            <w:vAlign w:val="center"/>
          </w:tcPr>
          <w:p w14:paraId="482363A9" w14:textId="6471F5F6" w:rsidR="00631ED8" w:rsidRPr="00A35BAF" w:rsidRDefault="00EE2037" w:rsidP="00EE2037">
            <w:pPr>
              <w:jc w:val="center"/>
              <w:rPr>
                <w:rFonts w:eastAsia="Arial Unicode MS" w:cs="Arial Unicode MS"/>
                <w:color w:val="000000" w:themeColor="text1"/>
                <w:sz w:val="20"/>
                <w:szCs w:val="20"/>
              </w:rPr>
            </w:pPr>
            <w:r>
              <w:rPr>
                <w:rFonts w:eastAsia="Arial Unicode MS" w:cs="Arial Unicode MS"/>
                <w:color w:val="000000" w:themeColor="text1"/>
                <w:sz w:val="20"/>
                <w:szCs w:val="20"/>
              </w:rPr>
              <w:t xml:space="preserve">39 </w:t>
            </w:r>
            <w:r w:rsidRPr="00EE2037">
              <w:rPr>
                <w:rFonts w:eastAsia="Arial Unicode MS" w:cs="Arial Unicode MS"/>
                <w:color w:val="000000" w:themeColor="text1"/>
                <w:sz w:val="20"/>
                <w:szCs w:val="20"/>
              </w:rPr>
              <w:t>Chinese</w:t>
            </w:r>
            <w:r>
              <w:rPr>
                <w:rFonts w:eastAsia="Arial Unicode MS" w:cs="Arial Unicode MS" w:hint="eastAsia"/>
                <w:color w:val="000000" w:themeColor="text1"/>
                <w:sz w:val="20"/>
                <w:szCs w:val="20"/>
                <w:lang w:eastAsia="zh-CN"/>
              </w:rPr>
              <w:t xml:space="preserve"> </w:t>
            </w:r>
            <w:r w:rsidRPr="00EE2037">
              <w:rPr>
                <w:rFonts w:eastAsia="Arial Unicode MS" w:cs="Arial Unicode MS"/>
                <w:color w:val="000000" w:themeColor="text1"/>
                <w:sz w:val="20"/>
                <w:szCs w:val="20"/>
              </w:rPr>
              <w:t>commercial banks</w:t>
            </w:r>
          </w:p>
        </w:tc>
        <w:tc>
          <w:tcPr>
            <w:tcW w:w="688" w:type="pct"/>
            <w:vAlign w:val="center"/>
          </w:tcPr>
          <w:p w14:paraId="10B317A6" w14:textId="55357CAA" w:rsidR="00631ED8" w:rsidRPr="00A35BAF" w:rsidRDefault="00EE2037" w:rsidP="008D3857">
            <w:pPr>
              <w:jc w:val="center"/>
              <w:rPr>
                <w:rFonts w:eastAsia="Arial Unicode MS" w:cs="Arial Unicode MS"/>
                <w:color w:val="000000" w:themeColor="text1"/>
                <w:sz w:val="20"/>
                <w:szCs w:val="20"/>
              </w:rPr>
            </w:pPr>
            <w:r w:rsidRPr="00EE2037">
              <w:rPr>
                <w:rFonts w:eastAsia="Arial Unicode MS" w:cs="Arial Unicode MS"/>
                <w:color w:val="000000" w:themeColor="text1"/>
                <w:sz w:val="20"/>
                <w:szCs w:val="20"/>
              </w:rPr>
              <w:t>2010–2018</w:t>
            </w:r>
          </w:p>
        </w:tc>
        <w:tc>
          <w:tcPr>
            <w:tcW w:w="814" w:type="pct"/>
          </w:tcPr>
          <w:p w14:paraId="419EF932" w14:textId="61D7DCB0" w:rsidR="00631ED8" w:rsidRDefault="00EE2037"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3</w:t>
            </w:r>
            <w:r>
              <w:rPr>
                <w:rFonts w:eastAsia="Arial Unicode MS" w:cs="Arial Unicode MS"/>
                <w:color w:val="000000" w:themeColor="text1"/>
                <w:sz w:val="20"/>
                <w:szCs w:val="20"/>
                <w:lang w:eastAsia="zh-CN"/>
              </w:rPr>
              <w:t>51</w:t>
            </w:r>
          </w:p>
        </w:tc>
        <w:tc>
          <w:tcPr>
            <w:tcW w:w="936" w:type="pct"/>
          </w:tcPr>
          <w:p w14:paraId="0ACACE5B" w14:textId="380E9EED" w:rsidR="00631ED8" w:rsidRPr="00A35BAF" w:rsidRDefault="00EE2037" w:rsidP="008D3857">
            <w:pPr>
              <w:jc w:val="center"/>
              <w:rPr>
                <w:rFonts w:eastAsia="Arial Unicode MS" w:cs="Arial Unicode MS"/>
                <w:color w:val="000000" w:themeColor="text1"/>
                <w:sz w:val="20"/>
                <w:szCs w:val="20"/>
              </w:rPr>
            </w:pPr>
            <w:proofErr w:type="spellStart"/>
            <w:r w:rsidRPr="00EE2037">
              <w:rPr>
                <w:rFonts w:eastAsia="Arial Unicode MS" w:cs="Arial Unicode MS"/>
                <w:color w:val="000000" w:themeColor="text1"/>
                <w:sz w:val="20"/>
                <w:szCs w:val="20"/>
              </w:rPr>
              <w:t>Fitchconnect</w:t>
            </w:r>
            <w:proofErr w:type="spellEnd"/>
          </w:p>
        </w:tc>
      </w:tr>
      <w:tr w:rsidR="00631ED8" w:rsidRPr="00CE5391" w14:paraId="4270762E" w14:textId="77777777" w:rsidTr="00CC1490">
        <w:tc>
          <w:tcPr>
            <w:tcW w:w="1642" w:type="pct"/>
          </w:tcPr>
          <w:p w14:paraId="421BB1B1" w14:textId="2458B554" w:rsidR="00631ED8" w:rsidRPr="00C414AD" w:rsidRDefault="00B429DD" w:rsidP="008D3857">
            <w:pPr>
              <w:jc w:val="center"/>
              <w:rPr>
                <w:rFonts w:cs="Calibri"/>
                <w:sz w:val="20"/>
                <w:szCs w:val="20"/>
                <w:lang w:eastAsia="zh-CN"/>
              </w:rPr>
            </w:pPr>
            <w:proofErr w:type="spellStart"/>
            <w:r w:rsidRPr="00B429DD">
              <w:rPr>
                <w:rFonts w:cs="Calibri"/>
                <w:sz w:val="20"/>
                <w:szCs w:val="20"/>
                <w:lang w:eastAsia="zh-CN"/>
              </w:rPr>
              <w:t>Bingquan</w:t>
            </w:r>
            <w:proofErr w:type="spellEnd"/>
            <w:r w:rsidRPr="00B429DD">
              <w:rPr>
                <w:rFonts w:cs="Calibri"/>
                <w:sz w:val="20"/>
                <w:szCs w:val="20"/>
                <w:lang w:eastAsia="zh-CN"/>
              </w:rPr>
              <w:t xml:space="preserve"> et al. (2019)</w:t>
            </w:r>
          </w:p>
        </w:tc>
        <w:tc>
          <w:tcPr>
            <w:tcW w:w="920" w:type="pct"/>
            <w:vAlign w:val="center"/>
          </w:tcPr>
          <w:p w14:paraId="3B7CA845" w14:textId="27D42C9E" w:rsidR="00631ED8" w:rsidRPr="00A35BAF" w:rsidRDefault="00B429DD" w:rsidP="00A35BAF">
            <w:pPr>
              <w:jc w:val="center"/>
              <w:rPr>
                <w:rFonts w:eastAsia="Arial Unicode MS" w:cs="Arial Unicode MS"/>
                <w:color w:val="000000" w:themeColor="text1"/>
                <w:sz w:val="20"/>
                <w:szCs w:val="20"/>
              </w:rPr>
            </w:pPr>
            <w:r w:rsidRPr="00B429DD">
              <w:rPr>
                <w:rFonts w:eastAsia="Arial Unicode MS" w:cs="Arial Unicode MS"/>
                <w:color w:val="000000" w:themeColor="text1"/>
                <w:sz w:val="20"/>
                <w:szCs w:val="20"/>
              </w:rPr>
              <w:t>65 Chinese</w:t>
            </w:r>
            <w:r>
              <w:rPr>
                <w:rFonts w:eastAsia="Arial Unicode MS" w:cs="Arial Unicode MS"/>
                <w:color w:val="000000" w:themeColor="text1"/>
                <w:sz w:val="20"/>
                <w:szCs w:val="20"/>
              </w:rPr>
              <w:t xml:space="preserve"> </w:t>
            </w:r>
            <w:r w:rsidRPr="00B429DD">
              <w:rPr>
                <w:rFonts w:eastAsia="Arial Unicode MS" w:cs="Arial Unicode MS"/>
                <w:color w:val="000000" w:themeColor="text1"/>
                <w:sz w:val="20"/>
                <w:szCs w:val="20"/>
              </w:rPr>
              <w:t>urban</w:t>
            </w:r>
            <w:r>
              <w:rPr>
                <w:rFonts w:eastAsia="Arial Unicode MS" w:cs="Arial Unicode MS"/>
                <w:color w:val="000000" w:themeColor="text1"/>
                <w:sz w:val="20"/>
                <w:szCs w:val="20"/>
              </w:rPr>
              <w:t xml:space="preserve"> </w:t>
            </w:r>
            <w:r w:rsidRPr="00B429DD">
              <w:rPr>
                <w:rFonts w:eastAsia="Arial Unicode MS" w:cs="Arial Unicode MS"/>
                <w:color w:val="000000" w:themeColor="text1"/>
                <w:sz w:val="20"/>
                <w:szCs w:val="20"/>
              </w:rPr>
              <w:t>commercial</w:t>
            </w:r>
            <w:r>
              <w:rPr>
                <w:rFonts w:eastAsia="Arial Unicode MS" w:cs="Arial Unicode MS"/>
                <w:color w:val="000000" w:themeColor="text1"/>
                <w:sz w:val="20"/>
                <w:szCs w:val="20"/>
              </w:rPr>
              <w:t xml:space="preserve"> </w:t>
            </w:r>
            <w:r w:rsidRPr="00B429DD">
              <w:rPr>
                <w:rFonts w:eastAsia="Arial Unicode MS" w:cs="Arial Unicode MS"/>
                <w:color w:val="000000" w:themeColor="text1"/>
                <w:sz w:val="20"/>
                <w:szCs w:val="20"/>
              </w:rPr>
              <w:t>banks</w:t>
            </w:r>
          </w:p>
        </w:tc>
        <w:tc>
          <w:tcPr>
            <w:tcW w:w="688" w:type="pct"/>
            <w:vAlign w:val="center"/>
          </w:tcPr>
          <w:p w14:paraId="38503828" w14:textId="44083552" w:rsidR="00631ED8" w:rsidRPr="00A35BAF" w:rsidRDefault="00B429DD" w:rsidP="008D3857">
            <w:pPr>
              <w:jc w:val="center"/>
              <w:rPr>
                <w:rFonts w:eastAsia="Arial Unicode MS" w:cs="Arial Unicode MS"/>
                <w:color w:val="000000" w:themeColor="text1"/>
                <w:sz w:val="20"/>
                <w:szCs w:val="20"/>
              </w:rPr>
            </w:pPr>
            <w:r w:rsidRPr="00B429DD">
              <w:rPr>
                <w:rFonts w:eastAsia="Arial Unicode MS" w:cs="Arial Unicode MS"/>
                <w:color w:val="000000" w:themeColor="text1"/>
                <w:sz w:val="20"/>
                <w:szCs w:val="20"/>
              </w:rPr>
              <w:t>2013–2017</w:t>
            </w:r>
          </w:p>
        </w:tc>
        <w:tc>
          <w:tcPr>
            <w:tcW w:w="814" w:type="pct"/>
          </w:tcPr>
          <w:p w14:paraId="78872F3E" w14:textId="4A77679A" w:rsidR="00631ED8" w:rsidRDefault="00B429DD"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3</w:t>
            </w:r>
            <w:r>
              <w:rPr>
                <w:rFonts w:eastAsia="Arial Unicode MS" w:cs="Arial Unicode MS"/>
                <w:color w:val="000000" w:themeColor="text1"/>
                <w:sz w:val="20"/>
                <w:szCs w:val="20"/>
                <w:lang w:eastAsia="zh-CN"/>
              </w:rPr>
              <w:t>25</w:t>
            </w:r>
          </w:p>
        </w:tc>
        <w:tc>
          <w:tcPr>
            <w:tcW w:w="936" w:type="pct"/>
          </w:tcPr>
          <w:p w14:paraId="752C601F" w14:textId="783EB16F" w:rsidR="00631ED8" w:rsidRPr="00A35BAF" w:rsidRDefault="00B429DD" w:rsidP="008D3857">
            <w:pPr>
              <w:jc w:val="center"/>
              <w:rPr>
                <w:rFonts w:eastAsia="Arial Unicode MS" w:cs="Arial Unicode MS"/>
                <w:color w:val="000000" w:themeColor="text1"/>
                <w:sz w:val="20"/>
                <w:szCs w:val="20"/>
              </w:rPr>
            </w:pPr>
            <w:r w:rsidRPr="00B429DD">
              <w:rPr>
                <w:rFonts w:eastAsia="Arial Unicode MS" w:cs="Arial Unicode MS"/>
                <w:color w:val="000000" w:themeColor="text1"/>
                <w:sz w:val="20"/>
                <w:szCs w:val="20"/>
              </w:rPr>
              <w:t>Orbis Bank</w:t>
            </w:r>
            <w:r>
              <w:rPr>
                <w:rFonts w:eastAsia="Arial Unicode MS" w:cs="Arial Unicode MS"/>
                <w:color w:val="000000" w:themeColor="text1"/>
                <w:sz w:val="20"/>
                <w:szCs w:val="20"/>
              </w:rPr>
              <w:t xml:space="preserve"> </w:t>
            </w:r>
            <w:r w:rsidRPr="00B429DD">
              <w:rPr>
                <w:rFonts w:eastAsia="Arial Unicode MS" w:cs="Arial Unicode MS"/>
                <w:color w:val="000000" w:themeColor="text1"/>
                <w:sz w:val="20"/>
                <w:szCs w:val="20"/>
              </w:rPr>
              <w:t>Focus</w:t>
            </w:r>
          </w:p>
        </w:tc>
      </w:tr>
      <w:tr w:rsidR="00631ED8" w:rsidRPr="00CE5391" w14:paraId="7A8F447B" w14:textId="77777777" w:rsidTr="00CC1490">
        <w:tc>
          <w:tcPr>
            <w:tcW w:w="1642" w:type="pct"/>
          </w:tcPr>
          <w:p w14:paraId="6F72925B" w14:textId="43D9269A" w:rsidR="00631ED8" w:rsidRPr="00C414AD" w:rsidRDefault="00BD66CC" w:rsidP="008D3857">
            <w:pPr>
              <w:jc w:val="center"/>
              <w:rPr>
                <w:rFonts w:cs="Calibri"/>
                <w:sz w:val="20"/>
                <w:szCs w:val="20"/>
                <w:lang w:eastAsia="zh-CN"/>
              </w:rPr>
            </w:pPr>
            <w:r w:rsidRPr="00BD66CC">
              <w:rPr>
                <w:rFonts w:cs="Calibri"/>
                <w:sz w:val="20"/>
                <w:szCs w:val="20"/>
                <w:lang w:eastAsia="zh-CN"/>
              </w:rPr>
              <w:t>Luo et al. (2010)</w:t>
            </w:r>
          </w:p>
        </w:tc>
        <w:tc>
          <w:tcPr>
            <w:tcW w:w="920" w:type="pct"/>
            <w:vAlign w:val="center"/>
          </w:tcPr>
          <w:p w14:paraId="1965B07C" w14:textId="0EB40E82" w:rsidR="00631ED8" w:rsidRPr="00A35BAF" w:rsidRDefault="00805E0C" w:rsidP="00A35BAF">
            <w:pPr>
              <w:jc w:val="center"/>
              <w:rPr>
                <w:rFonts w:eastAsia="Arial Unicode MS" w:cs="Arial Unicode MS"/>
                <w:color w:val="000000" w:themeColor="text1"/>
                <w:sz w:val="20"/>
                <w:szCs w:val="20"/>
              </w:rPr>
            </w:pPr>
            <w:r w:rsidRPr="00805E0C">
              <w:rPr>
                <w:rFonts w:eastAsia="Arial Unicode MS" w:cs="Arial Unicode MS"/>
                <w:color w:val="000000" w:themeColor="text1"/>
                <w:sz w:val="20"/>
                <w:szCs w:val="20"/>
              </w:rPr>
              <w:t>14 Chinese</w:t>
            </w:r>
            <w:r>
              <w:rPr>
                <w:rFonts w:eastAsia="Arial Unicode MS" w:cs="Arial Unicode MS"/>
                <w:color w:val="000000" w:themeColor="text1"/>
                <w:sz w:val="20"/>
                <w:szCs w:val="20"/>
              </w:rPr>
              <w:t xml:space="preserve"> listed</w:t>
            </w:r>
            <w:r w:rsidRPr="00805E0C">
              <w:rPr>
                <w:rFonts w:eastAsia="Arial Unicode MS" w:cs="Arial Unicode MS"/>
                <w:color w:val="000000" w:themeColor="text1"/>
                <w:sz w:val="20"/>
                <w:szCs w:val="20"/>
              </w:rPr>
              <w:t xml:space="preserve"> commercial banks</w:t>
            </w:r>
          </w:p>
        </w:tc>
        <w:tc>
          <w:tcPr>
            <w:tcW w:w="688" w:type="pct"/>
            <w:vAlign w:val="center"/>
          </w:tcPr>
          <w:p w14:paraId="6D304F99" w14:textId="57DC3FBC" w:rsidR="00631ED8" w:rsidRPr="00A35BAF" w:rsidRDefault="00805E0C" w:rsidP="008D3857">
            <w:pPr>
              <w:jc w:val="center"/>
              <w:rPr>
                <w:rFonts w:eastAsia="Arial Unicode MS" w:cs="Arial Unicode MS"/>
                <w:color w:val="000000" w:themeColor="text1"/>
                <w:sz w:val="20"/>
                <w:szCs w:val="20"/>
              </w:rPr>
            </w:pPr>
            <w:r w:rsidRPr="00805E0C">
              <w:rPr>
                <w:rFonts w:eastAsia="Arial Unicode MS" w:cs="Arial Unicode MS"/>
                <w:color w:val="000000" w:themeColor="text1"/>
                <w:sz w:val="20"/>
                <w:szCs w:val="20"/>
              </w:rPr>
              <w:t>1999-2008</w:t>
            </w:r>
          </w:p>
        </w:tc>
        <w:tc>
          <w:tcPr>
            <w:tcW w:w="814" w:type="pct"/>
          </w:tcPr>
          <w:p w14:paraId="716A9684" w14:textId="4DD347A6" w:rsidR="00631ED8" w:rsidRDefault="00805E0C" w:rsidP="008D3857">
            <w:pPr>
              <w:jc w:val="center"/>
              <w:rPr>
                <w:rFonts w:eastAsia="Arial Unicode MS" w:cs="Arial Unicode MS"/>
                <w:color w:val="000000" w:themeColor="text1"/>
                <w:sz w:val="20"/>
                <w:szCs w:val="20"/>
                <w:lang w:eastAsia="zh-CN"/>
              </w:rPr>
            </w:pPr>
            <w:r>
              <w:rPr>
                <w:rFonts w:eastAsia="Arial Unicode MS" w:cs="Arial Unicode MS" w:hint="eastAsia"/>
                <w:color w:val="000000" w:themeColor="text1"/>
                <w:sz w:val="20"/>
                <w:szCs w:val="20"/>
                <w:lang w:eastAsia="zh-CN"/>
              </w:rPr>
              <w:t>1</w:t>
            </w:r>
            <w:r>
              <w:rPr>
                <w:rFonts w:eastAsia="Arial Unicode MS" w:cs="Arial Unicode MS"/>
                <w:color w:val="000000" w:themeColor="text1"/>
                <w:sz w:val="20"/>
                <w:szCs w:val="20"/>
                <w:lang w:eastAsia="zh-CN"/>
              </w:rPr>
              <w:t>40</w:t>
            </w:r>
          </w:p>
        </w:tc>
        <w:tc>
          <w:tcPr>
            <w:tcW w:w="936" w:type="pct"/>
          </w:tcPr>
          <w:p w14:paraId="211D4290" w14:textId="591A4C0D" w:rsidR="00631ED8" w:rsidRPr="00A35BAF" w:rsidRDefault="00805E0C" w:rsidP="008D3857">
            <w:pPr>
              <w:jc w:val="center"/>
              <w:rPr>
                <w:rFonts w:eastAsia="Arial Unicode MS" w:cs="Arial Unicode MS"/>
                <w:color w:val="000000" w:themeColor="text1"/>
                <w:sz w:val="20"/>
                <w:szCs w:val="20"/>
              </w:rPr>
            </w:pPr>
            <w:proofErr w:type="spellStart"/>
            <w:r w:rsidRPr="00805E0C">
              <w:rPr>
                <w:rFonts w:eastAsia="Arial Unicode MS" w:cs="Arial Unicode MS"/>
                <w:color w:val="000000" w:themeColor="text1"/>
                <w:sz w:val="20"/>
                <w:szCs w:val="20"/>
              </w:rPr>
              <w:t>Bankscope</w:t>
            </w:r>
            <w:proofErr w:type="spellEnd"/>
          </w:p>
        </w:tc>
      </w:tr>
      <w:tr w:rsidR="00631ED8" w:rsidRPr="00CE5391" w14:paraId="0B634946" w14:textId="77777777" w:rsidTr="00CC1490">
        <w:tc>
          <w:tcPr>
            <w:tcW w:w="1642" w:type="pct"/>
          </w:tcPr>
          <w:p w14:paraId="65432F66" w14:textId="77777777" w:rsidR="00631ED8" w:rsidRPr="00C414AD" w:rsidRDefault="00631ED8" w:rsidP="008D3857">
            <w:pPr>
              <w:jc w:val="center"/>
              <w:rPr>
                <w:rFonts w:cs="Calibri"/>
                <w:sz w:val="20"/>
                <w:szCs w:val="20"/>
                <w:lang w:eastAsia="zh-CN"/>
              </w:rPr>
            </w:pPr>
          </w:p>
        </w:tc>
        <w:tc>
          <w:tcPr>
            <w:tcW w:w="920" w:type="pct"/>
            <w:vAlign w:val="center"/>
          </w:tcPr>
          <w:p w14:paraId="5D7E3AB0" w14:textId="77777777" w:rsidR="00631ED8" w:rsidRPr="00A35BAF" w:rsidRDefault="00631ED8" w:rsidP="00A35BAF">
            <w:pPr>
              <w:jc w:val="center"/>
              <w:rPr>
                <w:rFonts w:eastAsia="Arial Unicode MS" w:cs="Arial Unicode MS"/>
                <w:color w:val="000000" w:themeColor="text1"/>
                <w:sz w:val="20"/>
                <w:szCs w:val="20"/>
              </w:rPr>
            </w:pPr>
          </w:p>
        </w:tc>
        <w:tc>
          <w:tcPr>
            <w:tcW w:w="688" w:type="pct"/>
            <w:vAlign w:val="center"/>
          </w:tcPr>
          <w:p w14:paraId="4E9E5B96" w14:textId="77777777" w:rsidR="00631ED8" w:rsidRPr="00A35BAF" w:rsidRDefault="00631ED8" w:rsidP="008D3857">
            <w:pPr>
              <w:jc w:val="center"/>
              <w:rPr>
                <w:rFonts w:eastAsia="Arial Unicode MS" w:cs="Arial Unicode MS"/>
                <w:color w:val="000000" w:themeColor="text1"/>
                <w:sz w:val="20"/>
                <w:szCs w:val="20"/>
              </w:rPr>
            </w:pPr>
          </w:p>
        </w:tc>
        <w:tc>
          <w:tcPr>
            <w:tcW w:w="814" w:type="pct"/>
          </w:tcPr>
          <w:p w14:paraId="2C2C67AE" w14:textId="77777777" w:rsidR="00631ED8" w:rsidRDefault="00631ED8" w:rsidP="008D3857">
            <w:pPr>
              <w:jc w:val="center"/>
              <w:rPr>
                <w:rFonts w:eastAsia="Arial Unicode MS" w:cs="Arial Unicode MS"/>
                <w:color w:val="000000" w:themeColor="text1"/>
                <w:sz w:val="20"/>
                <w:szCs w:val="20"/>
                <w:lang w:eastAsia="zh-CN"/>
              </w:rPr>
            </w:pPr>
          </w:p>
        </w:tc>
        <w:tc>
          <w:tcPr>
            <w:tcW w:w="936" w:type="pct"/>
          </w:tcPr>
          <w:p w14:paraId="3E923E0D" w14:textId="77777777" w:rsidR="00631ED8" w:rsidRPr="00A35BAF" w:rsidRDefault="00631ED8" w:rsidP="008D3857">
            <w:pPr>
              <w:jc w:val="center"/>
              <w:rPr>
                <w:rFonts w:eastAsia="Arial Unicode MS" w:cs="Arial Unicode MS"/>
                <w:color w:val="000000" w:themeColor="text1"/>
                <w:sz w:val="20"/>
                <w:szCs w:val="20"/>
              </w:rPr>
            </w:pPr>
          </w:p>
        </w:tc>
      </w:tr>
      <w:tr w:rsidR="00631ED8" w:rsidRPr="00CE5391" w14:paraId="05AA555D" w14:textId="77777777" w:rsidTr="00CC1490">
        <w:tc>
          <w:tcPr>
            <w:tcW w:w="1642" w:type="pct"/>
          </w:tcPr>
          <w:p w14:paraId="7AFEC004" w14:textId="77777777" w:rsidR="00631ED8" w:rsidRPr="00C414AD" w:rsidRDefault="00631ED8" w:rsidP="008D3857">
            <w:pPr>
              <w:jc w:val="center"/>
              <w:rPr>
                <w:rFonts w:cs="Calibri"/>
                <w:sz w:val="20"/>
                <w:szCs w:val="20"/>
                <w:lang w:eastAsia="zh-CN"/>
              </w:rPr>
            </w:pPr>
          </w:p>
        </w:tc>
        <w:tc>
          <w:tcPr>
            <w:tcW w:w="920" w:type="pct"/>
            <w:vAlign w:val="center"/>
          </w:tcPr>
          <w:p w14:paraId="1A19657F" w14:textId="77777777" w:rsidR="00631ED8" w:rsidRPr="00A35BAF" w:rsidRDefault="00631ED8" w:rsidP="00A35BAF">
            <w:pPr>
              <w:jc w:val="center"/>
              <w:rPr>
                <w:rFonts w:eastAsia="Arial Unicode MS" w:cs="Arial Unicode MS"/>
                <w:color w:val="000000" w:themeColor="text1"/>
                <w:sz w:val="20"/>
                <w:szCs w:val="20"/>
              </w:rPr>
            </w:pPr>
          </w:p>
        </w:tc>
        <w:tc>
          <w:tcPr>
            <w:tcW w:w="688" w:type="pct"/>
            <w:vAlign w:val="center"/>
          </w:tcPr>
          <w:p w14:paraId="5B577F58" w14:textId="77777777" w:rsidR="00631ED8" w:rsidRPr="00A35BAF" w:rsidRDefault="00631ED8" w:rsidP="008D3857">
            <w:pPr>
              <w:jc w:val="center"/>
              <w:rPr>
                <w:rFonts w:eastAsia="Arial Unicode MS" w:cs="Arial Unicode MS"/>
                <w:color w:val="000000" w:themeColor="text1"/>
                <w:sz w:val="20"/>
                <w:szCs w:val="20"/>
              </w:rPr>
            </w:pPr>
          </w:p>
        </w:tc>
        <w:tc>
          <w:tcPr>
            <w:tcW w:w="814" w:type="pct"/>
          </w:tcPr>
          <w:p w14:paraId="46BD3460" w14:textId="77777777" w:rsidR="00631ED8" w:rsidRDefault="00631ED8" w:rsidP="008D3857">
            <w:pPr>
              <w:jc w:val="center"/>
              <w:rPr>
                <w:rFonts w:eastAsia="Arial Unicode MS" w:cs="Arial Unicode MS"/>
                <w:color w:val="000000" w:themeColor="text1"/>
                <w:sz w:val="20"/>
                <w:szCs w:val="20"/>
                <w:lang w:eastAsia="zh-CN"/>
              </w:rPr>
            </w:pPr>
          </w:p>
        </w:tc>
        <w:tc>
          <w:tcPr>
            <w:tcW w:w="936" w:type="pct"/>
          </w:tcPr>
          <w:p w14:paraId="638F25CF" w14:textId="77777777" w:rsidR="00631ED8" w:rsidRPr="00A35BAF" w:rsidRDefault="00631ED8" w:rsidP="008D3857">
            <w:pPr>
              <w:jc w:val="center"/>
              <w:rPr>
                <w:rFonts w:eastAsia="Arial Unicode MS" w:cs="Arial Unicode MS"/>
                <w:color w:val="000000" w:themeColor="text1"/>
                <w:sz w:val="20"/>
                <w:szCs w:val="20"/>
              </w:rPr>
            </w:pPr>
          </w:p>
        </w:tc>
      </w:tr>
      <w:tr w:rsidR="00631ED8" w:rsidRPr="00CE5391" w14:paraId="4A704430" w14:textId="77777777" w:rsidTr="00CC1490">
        <w:tc>
          <w:tcPr>
            <w:tcW w:w="1642" w:type="pct"/>
          </w:tcPr>
          <w:p w14:paraId="7299781F" w14:textId="77777777" w:rsidR="00631ED8" w:rsidRPr="00C414AD" w:rsidRDefault="00631ED8" w:rsidP="008D3857">
            <w:pPr>
              <w:jc w:val="center"/>
              <w:rPr>
                <w:rFonts w:cs="Calibri"/>
                <w:sz w:val="20"/>
                <w:szCs w:val="20"/>
                <w:lang w:eastAsia="zh-CN"/>
              </w:rPr>
            </w:pPr>
          </w:p>
        </w:tc>
        <w:tc>
          <w:tcPr>
            <w:tcW w:w="920" w:type="pct"/>
            <w:vAlign w:val="center"/>
          </w:tcPr>
          <w:p w14:paraId="04A224F7" w14:textId="77777777" w:rsidR="00631ED8" w:rsidRPr="00A35BAF" w:rsidRDefault="00631ED8" w:rsidP="00A35BAF">
            <w:pPr>
              <w:jc w:val="center"/>
              <w:rPr>
                <w:rFonts w:eastAsia="Arial Unicode MS" w:cs="Arial Unicode MS"/>
                <w:color w:val="000000" w:themeColor="text1"/>
                <w:sz w:val="20"/>
                <w:szCs w:val="20"/>
              </w:rPr>
            </w:pPr>
          </w:p>
        </w:tc>
        <w:tc>
          <w:tcPr>
            <w:tcW w:w="688" w:type="pct"/>
            <w:vAlign w:val="center"/>
          </w:tcPr>
          <w:p w14:paraId="5B70DA31" w14:textId="77777777" w:rsidR="00631ED8" w:rsidRPr="00A35BAF" w:rsidRDefault="00631ED8" w:rsidP="008D3857">
            <w:pPr>
              <w:jc w:val="center"/>
              <w:rPr>
                <w:rFonts w:eastAsia="Arial Unicode MS" w:cs="Arial Unicode MS"/>
                <w:color w:val="000000" w:themeColor="text1"/>
                <w:sz w:val="20"/>
                <w:szCs w:val="20"/>
              </w:rPr>
            </w:pPr>
          </w:p>
        </w:tc>
        <w:tc>
          <w:tcPr>
            <w:tcW w:w="814" w:type="pct"/>
          </w:tcPr>
          <w:p w14:paraId="136F6810" w14:textId="77777777" w:rsidR="00631ED8" w:rsidRDefault="00631ED8" w:rsidP="008D3857">
            <w:pPr>
              <w:jc w:val="center"/>
              <w:rPr>
                <w:rFonts w:eastAsia="Arial Unicode MS" w:cs="Arial Unicode MS"/>
                <w:color w:val="000000" w:themeColor="text1"/>
                <w:sz w:val="20"/>
                <w:szCs w:val="20"/>
                <w:lang w:eastAsia="zh-CN"/>
              </w:rPr>
            </w:pPr>
          </w:p>
        </w:tc>
        <w:tc>
          <w:tcPr>
            <w:tcW w:w="936" w:type="pct"/>
          </w:tcPr>
          <w:p w14:paraId="33F7F49F" w14:textId="77777777" w:rsidR="00631ED8" w:rsidRPr="00A35BAF" w:rsidRDefault="00631ED8" w:rsidP="008D3857">
            <w:pPr>
              <w:jc w:val="center"/>
              <w:rPr>
                <w:rFonts w:eastAsia="Arial Unicode MS" w:cs="Arial Unicode MS"/>
                <w:color w:val="000000" w:themeColor="text1"/>
                <w:sz w:val="20"/>
                <w:szCs w:val="20"/>
              </w:rPr>
            </w:pPr>
          </w:p>
        </w:tc>
      </w:tr>
    </w:tbl>
    <w:p w14:paraId="7869A65F" w14:textId="77777777" w:rsidR="00980FBF" w:rsidRDefault="00980FBF" w:rsidP="00980FBF">
      <w:pPr>
        <w:pStyle w:val="ListParagraph"/>
        <w:ind w:left="360"/>
        <w:jc w:val="both"/>
        <w:rPr>
          <w:rFonts w:ascii="Times New Roman" w:hAnsi="Times New Roman" w:cs="Times New Roman"/>
          <w:sz w:val="24"/>
          <w:szCs w:val="24"/>
        </w:rPr>
      </w:pPr>
    </w:p>
    <w:p w14:paraId="08208373" w14:textId="77777777" w:rsidR="00980FBF" w:rsidRDefault="00980FBF" w:rsidP="00980FB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ADVICE: Once you have completed reading the papers you selected for your literature survey and filled the above tables (Tables 1-7), </w:t>
      </w:r>
      <w:proofErr w:type="spellStart"/>
      <w:r w:rsidRPr="00410D01">
        <w:rPr>
          <w:rFonts w:ascii="Times New Roman" w:hAnsi="Times New Roman" w:cs="Times New Roman"/>
          <w:sz w:val="24"/>
          <w:szCs w:val="24"/>
          <w:u w:val="single"/>
        </w:rPr>
        <w:t>analyse</w:t>
      </w:r>
      <w:proofErr w:type="spellEnd"/>
      <w:r w:rsidRPr="00410D01">
        <w:rPr>
          <w:rFonts w:ascii="Times New Roman" w:hAnsi="Times New Roman" w:cs="Times New Roman"/>
          <w:sz w:val="24"/>
          <w:szCs w:val="24"/>
          <w:u w:val="single"/>
        </w:rPr>
        <w:t xml:space="preserve"> each table separately and write a paragraph or several on each table including a classification of the literature related to each of these tables. Then, craft a story to tell the reader based on these analyses of the tables. Remember, writing papers / reports / dissertations is all about crafting interesting stories to tell the reader based on facts / empirical evidence!</w:t>
      </w:r>
    </w:p>
    <w:sectPr w:rsidR="00980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瑞德皓 希" w:date="2024-02-02T17:33:00Z" w:initials="瑞希">
    <w:p w14:paraId="54F0796B" w14:textId="68464221" w:rsidR="00E2745D" w:rsidRPr="00E2745D" w:rsidRDefault="00E2745D">
      <w:pPr>
        <w:pStyle w:val="CommentText"/>
        <w:rPr>
          <w:rFonts w:eastAsiaTheme="minorEastAsia"/>
          <w:lang w:eastAsia="zh-CN"/>
        </w:rPr>
      </w:pPr>
      <w:r>
        <w:rPr>
          <w:rStyle w:val="CommentReference"/>
        </w:rPr>
        <w:annotationRef/>
      </w:r>
      <w:r>
        <w:rPr>
          <w:rFonts w:eastAsiaTheme="minorEastAsia"/>
          <w:lang w:eastAsia="zh-CN"/>
        </w:rPr>
        <w:t>Ask Jamal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079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BC2AA7" w16cex:dateUtc="2024-02-02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0796B" w16cid:durableId="31BC2A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E15B" w14:textId="77777777" w:rsidR="00905211" w:rsidRDefault="00905211" w:rsidP="00707B52">
      <w:pPr>
        <w:spacing w:after="0" w:line="240" w:lineRule="auto"/>
      </w:pPr>
      <w:r>
        <w:separator/>
      </w:r>
    </w:p>
  </w:endnote>
  <w:endnote w:type="continuationSeparator" w:id="0">
    <w:p w14:paraId="287D7781" w14:textId="77777777" w:rsidR="00905211" w:rsidRDefault="00905211" w:rsidP="0070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433D" w14:textId="77777777" w:rsidR="00905211" w:rsidRDefault="00905211" w:rsidP="00707B52">
      <w:pPr>
        <w:spacing w:after="0" w:line="240" w:lineRule="auto"/>
      </w:pPr>
      <w:r>
        <w:separator/>
      </w:r>
    </w:p>
  </w:footnote>
  <w:footnote w:type="continuationSeparator" w:id="0">
    <w:p w14:paraId="1576B4BE" w14:textId="77777777" w:rsidR="00905211" w:rsidRDefault="00905211" w:rsidP="0070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E1107"/>
    <w:multiLevelType w:val="multilevel"/>
    <w:tmpl w:val="D85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0953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瑞德皓 希">
    <w15:presenceInfo w15:providerId="Windows Live" w15:userId="9a478f21ca11c0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BF"/>
    <w:rsid w:val="000121A4"/>
    <w:rsid w:val="00052730"/>
    <w:rsid w:val="00083334"/>
    <w:rsid w:val="000B3A6A"/>
    <w:rsid w:val="000E5524"/>
    <w:rsid w:val="00196BEC"/>
    <w:rsid w:val="001F4D92"/>
    <w:rsid w:val="002D3781"/>
    <w:rsid w:val="003007ED"/>
    <w:rsid w:val="003242E9"/>
    <w:rsid w:val="00353500"/>
    <w:rsid w:val="00354ACD"/>
    <w:rsid w:val="00395810"/>
    <w:rsid w:val="00395C24"/>
    <w:rsid w:val="003F6C64"/>
    <w:rsid w:val="004F10B6"/>
    <w:rsid w:val="004F1E2E"/>
    <w:rsid w:val="00522F66"/>
    <w:rsid w:val="00555291"/>
    <w:rsid w:val="005620A1"/>
    <w:rsid w:val="00564B62"/>
    <w:rsid w:val="00580D53"/>
    <w:rsid w:val="005C01EE"/>
    <w:rsid w:val="005E32D3"/>
    <w:rsid w:val="005F0C5C"/>
    <w:rsid w:val="005F2933"/>
    <w:rsid w:val="00631ED8"/>
    <w:rsid w:val="00634383"/>
    <w:rsid w:val="006718E3"/>
    <w:rsid w:val="006831BA"/>
    <w:rsid w:val="00693308"/>
    <w:rsid w:val="00694715"/>
    <w:rsid w:val="00707B52"/>
    <w:rsid w:val="00747112"/>
    <w:rsid w:val="00752D40"/>
    <w:rsid w:val="00753E78"/>
    <w:rsid w:val="007F7221"/>
    <w:rsid w:val="00805E0C"/>
    <w:rsid w:val="008704E4"/>
    <w:rsid w:val="008C0F5E"/>
    <w:rsid w:val="008D3857"/>
    <w:rsid w:val="00905211"/>
    <w:rsid w:val="00907FC2"/>
    <w:rsid w:val="009119E9"/>
    <w:rsid w:val="00927C4B"/>
    <w:rsid w:val="00980FBF"/>
    <w:rsid w:val="00984240"/>
    <w:rsid w:val="009C42AA"/>
    <w:rsid w:val="009E1275"/>
    <w:rsid w:val="009F5F25"/>
    <w:rsid w:val="00A35BAF"/>
    <w:rsid w:val="00A40D09"/>
    <w:rsid w:val="00AB1BD9"/>
    <w:rsid w:val="00AE3833"/>
    <w:rsid w:val="00AF6188"/>
    <w:rsid w:val="00B429DD"/>
    <w:rsid w:val="00B569DE"/>
    <w:rsid w:val="00B632BE"/>
    <w:rsid w:val="00B732C1"/>
    <w:rsid w:val="00BC46E2"/>
    <w:rsid w:val="00BD66CC"/>
    <w:rsid w:val="00BF2F9D"/>
    <w:rsid w:val="00C13675"/>
    <w:rsid w:val="00C414AD"/>
    <w:rsid w:val="00C6026F"/>
    <w:rsid w:val="00C651B1"/>
    <w:rsid w:val="00CA3EA5"/>
    <w:rsid w:val="00CB6851"/>
    <w:rsid w:val="00CC1490"/>
    <w:rsid w:val="00DD4397"/>
    <w:rsid w:val="00DF37BC"/>
    <w:rsid w:val="00DF4A70"/>
    <w:rsid w:val="00E00458"/>
    <w:rsid w:val="00E22A2C"/>
    <w:rsid w:val="00E2745D"/>
    <w:rsid w:val="00EC2311"/>
    <w:rsid w:val="00EE2037"/>
    <w:rsid w:val="00EF20BD"/>
    <w:rsid w:val="00EF362E"/>
    <w:rsid w:val="00F14A86"/>
    <w:rsid w:val="00F5584A"/>
    <w:rsid w:val="00FD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1D31"/>
  <w15:chartTrackingRefBased/>
  <w15:docId w15:val="{0B2E6460-9110-49F3-A535-A4FFCE2A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C2"/>
    <w:rPr>
      <w:rFonts w:eastAsia="PMingLiU"/>
      <w:kern w:val="0"/>
      <w:lang w:val="en-GB"/>
      <w14:ligatures w14:val="none"/>
    </w:rPr>
  </w:style>
  <w:style w:type="paragraph" w:styleId="Heading1">
    <w:name w:val="heading 1"/>
    <w:basedOn w:val="Normal"/>
    <w:next w:val="Normal"/>
    <w:link w:val="Heading1Char"/>
    <w:uiPriority w:val="9"/>
    <w:qFormat/>
    <w:rsid w:val="00980FBF"/>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80FBF"/>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80FBF"/>
    <w:pPr>
      <w:keepNext/>
      <w:keepLines/>
      <w:spacing w:before="160" w:after="80"/>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80FBF"/>
    <w:pPr>
      <w:keepNext/>
      <w:keepLines/>
      <w:spacing w:before="80" w:after="40"/>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980FBF"/>
    <w:pPr>
      <w:keepNext/>
      <w:keepLines/>
      <w:spacing w:before="80" w:after="40"/>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980FBF"/>
    <w:pPr>
      <w:keepNext/>
      <w:keepLines/>
      <w:spacing w:before="40" w:after="0"/>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980FBF"/>
    <w:pPr>
      <w:keepNext/>
      <w:keepLines/>
      <w:spacing w:before="40" w:after="0"/>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980FBF"/>
    <w:pPr>
      <w:keepNext/>
      <w:keepLines/>
      <w:spacing w:after="0"/>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980FBF"/>
    <w:pPr>
      <w:keepNext/>
      <w:keepLines/>
      <w:spacing w:after="0"/>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FBF"/>
    <w:rPr>
      <w:rFonts w:eastAsiaTheme="majorEastAsia" w:cstheme="majorBidi"/>
      <w:color w:val="272727" w:themeColor="text1" w:themeTint="D8"/>
    </w:rPr>
  </w:style>
  <w:style w:type="paragraph" w:styleId="Title">
    <w:name w:val="Title"/>
    <w:basedOn w:val="Normal"/>
    <w:next w:val="Normal"/>
    <w:link w:val="TitleChar"/>
    <w:uiPriority w:val="10"/>
    <w:qFormat/>
    <w:rsid w:val="00980FBF"/>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8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FBF"/>
    <w:pPr>
      <w:numPr>
        <w:ilvl w:val="1"/>
      </w:numPr>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98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FBF"/>
    <w:pPr>
      <w:spacing w:before="160"/>
      <w:jc w:val="center"/>
    </w:pPr>
    <w:rPr>
      <w:rFonts w:eastAsiaTheme="minorHAns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980FBF"/>
    <w:rPr>
      <w:i/>
      <w:iCs/>
      <w:color w:val="404040" w:themeColor="text1" w:themeTint="BF"/>
    </w:rPr>
  </w:style>
  <w:style w:type="paragraph" w:styleId="ListParagraph">
    <w:name w:val="List Paragraph"/>
    <w:basedOn w:val="Normal"/>
    <w:uiPriority w:val="34"/>
    <w:qFormat/>
    <w:rsid w:val="00980FBF"/>
    <w:pPr>
      <w:ind w:left="720"/>
      <w:contextualSpacing/>
    </w:pPr>
    <w:rPr>
      <w:rFonts w:eastAsiaTheme="minorHAnsi"/>
      <w:kern w:val="2"/>
      <w:lang w:val="en-US"/>
      <w14:ligatures w14:val="standardContextual"/>
    </w:rPr>
  </w:style>
  <w:style w:type="character" w:styleId="IntenseEmphasis">
    <w:name w:val="Intense Emphasis"/>
    <w:basedOn w:val="DefaultParagraphFont"/>
    <w:uiPriority w:val="21"/>
    <w:qFormat/>
    <w:rsid w:val="00980FBF"/>
    <w:rPr>
      <w:i/>
      <w:iCs/>
      <w:color w:val="0F4761" w:themeColor="accent1" w:themeShade="BF"/>
    </w:rPr>
  </w:style>
  <w:style w:type="paragraph" w:styleId="IntenseQuote">
    <w:name w:val="Intense Quote"/>
    <w:basedOn w:val="Normal"/>
    <w:next w:val="Normal"/>
    <w:link w:val="IntenseQuoteChar"/>
    <w:uiPriority w:val="30"/>
    <w:qFormat/>
    <w:rsid w:val="00980FBF"/>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980FBF"/>
    <w:rPr>
      <w:i/>
      <w:iCs/>
      <w:color w:val="0F4761" w:themeColor="accent1" w:themeShade="BF"/>
    </w:rPr>
  </w:style>
  <w:style w:type="character" w:styleId="IntenseReference">
    <w:name w:val="Intense Reference"/>
    <w:basedOn w:val="DefaultParagraphFont"/>
    <w:uiPriority w:val="32"/>
    <w:qFormat/>
    <w:rsid w:val="00980FBF"/>
    <w:rPr>
      <w:b/>
      <w:bCs/>
      <w:smallCaps/>
      <w:color w:val="0F4761" w:themeColor="accent1" w:themeShade="BF"/>
      <w:spacing w:val="5"/>
    </w:rPr>
  </w:style>
  <w:style w:type="table" w:styleId="TableGrid">
    <w:name w:val="Table Grid"/>
    <w:basedOn w:val="TableNormal"/>
    <w:uiPriority w:val="39"/>
    <w:rsid w:val="00980FBF"/>
    <w:pPr>
      <w:spacing w:after="0" w:line="240" w:lineRule="auto"/>
    </w:pPr>
    <w:rPr>
      <w:rFonts w:eastAsia="PMingLiU"/>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80FBF"/>
    <w:pPr>
      <w:spacing w:after="0" w:line="240" w:lineRule="auto"/>
    </w:pPr>
    <w:rPr>
      <w:kern w:val="0"/>
      <w:lang w:val="en-GB"/>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C0F5E"/>
    <w:rPr>
      <w:color w:val="666666"/>
    </w:rPr>
  </w:style>
  <w:style w:type="paragraph" w:styleId="Header">
    <w:name w:val="header"/>
    <w:basedOn w:val="Normal"/>
    <w:link w:val="HeaderChar"/>
    <w:uiPriority w:val="99"/>
    <w:unhideWhenUsed/>
    <w:rsid w:val="00707B52"/>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07B52"/>
    <w:rPr>
      <w:rFonts w:eastAsia="PMingLiU"/>
      <w:kern w:val="0"/>
      <w:sz w:val="18"/>
      <w:szCs w:val="18"/>
      <w:lang w:val="en-GB"/>
      <w14:ligatures w14:val="none"/>
    </w:rPr>
  </w:style>
  <w:style w:type="paragraph" w:styleId="Footer">
    <w:name w:val="footer"/>
    <w:basedOn w:val="Normal"/>
    <w:link w:val="FooterChar"/>
    <w:uiPriority w:val="99"/>
    <w:unhideWhenUsed/>
    <w:rsid w:val="00707B5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07B52"/>
    <w:rPr>
      <w:rFonts w:eastAsia="PMingLiU"/>
      <w:kern w:val="0"/>
      <w:sz w:val="18"/>
      <w:szCs w:val="18"/>
      <w:lang w:val="en-GB"/>
      <w14:ligatures w14:val="none"/>
    </w:rPr>
  </w:style>
  <w:style w:type="character" w:styleId="CommentReference">
    <w:name w:val="annotation reference"/>
    <w:basedOn w:val="DefaultParagraphFont"/>
    <w:uiPriority w:val="99"/>
    <w:semiHidden/>
    <w:unhideWhenUsed/>
    <w:rsid w:val="00E2745D"/>
    <w:rPr>
      <w:sz w:val="21"/>
      <w:szCs w:val="21"/>
    </w:rPr>
  </w:style>
  <w:style w:type="paragraph" w:styleId="CommentText">
    <w:name w:val="annotation text"/>
    <w:basedOn w:val="Normal"/>
    <w:link w:val="CommentTextChar"/>
    <w:uiPriority w:val="99"/>
    <w:semiHidden/>
    <w:unhideWhenUsed/>
    <w:rsid w:val="00E2745D"/>
  </w:style>
  <w:style w:type="character" w:customStyle="1" w:styleId="CommentTextChar">
    <w:name w:val="Comment Text Char"/>
    <w:basedOn w:val="DefaultParagraphFont"/>
    <w:link w:val="CommentText"/>
    <w:uiPriority w:val="99"/>
    <w:semiHidden/>
    <w:rsid w:val="00E2745D"/>
    <w:rPr>
      <w:rFonts w:eastAsia="PMingLiU"/>
      <w:kern w:val="0"/>
      <w:lang w:val="en-GB"/>
      <w14:ligatures w14:val="none"/>
    </w:rPr>
  </w:style>
  <w:style w:type="paragraph" w:styleId="CommentSubject">
    <w:name w:val="annotation subject"/>
    <w:basedOn w:val="CommentText"/>
    <w:next w:val="CommentText"/>
    <w:link w:val="CommentSubjectChar"/>
    <w:uiPriority w:val="99"/>
    <w:semiHidden/>
    <w:unhideWhenUsed/>
    <w:rsid w:val="00E2745D"/>
    <w:rPr>
      <w:b/>
      <w:bCs/>
    </w:rPr>
  </w:style>
  <w:style w:type="character" w:customStyle="1" w:styleId="CommentSubjectChar">
    <w:name w:val="Comment Subject Char"/>
    <w:basedOn w:val="CommentTextChar"/>
    <w:link w:val="CommentSubject"/>
    <w:uiPriority w:val="99"/>
    <w:semiHidden/>
    <w:rsid w:val="00E2745D"/>
    <w:rPr>
      <w:rFonts w:eastAsia="PMingLiU"/>
      <w:b/>
      <w:bCs/>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5668">
      <w:bodyDiv w:val="1"/>
      <w:marLeft w:val="0"/>
      <w:marRight w:val="0"/>
      <w:marTop w:val="0"/>
      <w:marBottom w:val="0"/>
      <w:divBdr>
        <w:top w:val="none" w:sz="0" w:space="0" w:color="auto"/>
        <w:left w:val="none" w:sz="0" w:space="0" w:color="auto"/>
        <w:bottom w:val="none" w:sz="0" w:space="0" w:color="auto"/>
        <w:right w:val="none" w:sz="0" w:space="0" w:color="auto"/>
      </w:divBdr>
    </w:div>
    <w:div w:id="1132751967">
      <w:bodyDiv w:val="1"/>
      <w:marLeft w:val="0"/>
      <w:marRight w:val="0"/>
      <w:marTop w:val="0"/>
      <w:marBottom w:val="0"/>
      <w:divBdr>
        <w:top w:val="none" w:sz="0" w:space="0" w:color="auto"/>
        <w:left w:val="none" w:sz="0" w:space="0" w:color="auto"/>
        <w:bottom w:val="none" w:sz="0" w:space="0" w:color="auto"/>
        <w:right w:val="none" w:sz="0" w:space="0" w:color="auto"/>
      </w:divBdr>
    </w:div>
    <w:div w:id="1578903333">
      <w:bodyDiv w:val="1"/>
      <w:marLeft w:val="0"/>
      <w:marRight w:val="0"/>
      <w:marTop w:val="0"/>
      <w:marBottom w:val="0"/>
      <w:divBdr>
        <w:top w:val="none" w:sz="0" w:space="0" w:color="auto"/>
        <w:left w:val="none" w:sz="0" w:space="0" w:color="auto"/>
        <w:bottom w:val="none" w:sz="0" w:space="0" w:color="auto"/>
        <w:right w:val="none" w:sz="0" w:space="0" w:color="auto"/>
      </w:divBdr>
    </w:div>
    <w:div w:id="1595934392">
      <w:bodyDiv w:val="1"/>
      <w:marLeft w:val="0"/>
      <w:marRight w:val="0"/>
      <w:marTop w:val="0"/>
      <w:marBottom w:val="0"/>
      <w:divBdr>
        <w:top w:val="none" w:sz="0" w:space="0" w:color="auto"/>
        <w:left w:val="none" w:sz="0" w:space="0" w:color="auto"/>
        <w:bottom w:val="none" w:sz="0" w:space="0" w:color="auto"/>
        <w:right w:val="none" w:sz="0" w:space="0" w:color="auto"/>
      </w:divBdr>
    </w:div>
    <w:div w:id="1610699898">
      <w:bodyDiv w:val="1"/>
      <w:marLeft w:val="0"/>
      <w:marRight w:val="0"/>
      <w:marTop w:val="0"/>
      <w:marBottom w:val="0"/>
      <w:divBdr>
        <w:top w:val="none" w:sz="0" w:space="0" w:color="auto"/>
        <w:left w:val="none" w:sz="0" w:space="0" w:color="auto"/>
        <w:bottom w:val="none" w:sz="0" w:space="0" w:color="auto"/>
        <w:right w:val="none" w:sz="0" w:space="0" w:color="auto"/>
      </w:divBdr>
    </w:div>
    <w:div w:id="1881890567">
      <w:bodyDiv w:val="1"/>
      <w:marLeft w:val="0"/>
      <w:marRight w:val="0"/>
      <w:marTop w:val="0"/>
      <w:marBottom w:val="0"/>
      <w:divBdr>
        <w:top w:val="none" w:sz="0" w:space="0" w:color="auto"/>
        <w:left w:val="none" w:sz="0" w:space="0" w:color="auto"/>
        <w:bottom w:val="none" w:sz="0" w:space="0" w:color="auto"/>
        <w:right w:val="none" w:sz="0" w:space="0" w:color="auto"/>
      </w:divBdr>
    </w:div>
    <w:div w:id="19785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7</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Muhtadi Muhtadi</dc:creator>
  <cp:keywords/>
  <dc:description/>
  <cp:lastModifiedBy>瑞德皓 希</cp:lastModifiedBy>
  <cp:revision>20</cp:revision>
  <dcterms:created xsi:type="dcterms:W3CDTF">2024-01-25T15:45:00Z</dcterms:created>
  <dcterms:modified xsi:type="dcterms:W3CDTF">2024-02-06T02:09:00Z</dcterms:modified>
</cp:coreProperties>
</file>